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533B2" w14:textId="77777777" w:rsidR="003C4941" w:rsidRDefault="00A7279C" w:rsidP="00E14D55">
      <w:pPr>
        <w:pStyle w:val="Heading1"/>
        <w:spacing w:before="0" w:after="60"/>
        <w:rPr>
          <w:noProof/>
          <w:lang w:eastAsia="en-AU"/>
        </w:rPr>
      </w:pPr>
      <w:r>
        <w:rPr>
          <w:noProof/>
          <w:lang w:eastAsia="en-AU"/>
        </w:rPr>
        <w:t>Overview</w:t>
      </w:r>
    </w:p>
    <w:p w14:paraId="73366DEB" w14:textId="1CE09CF0" w:rsidR="002C5A67" w:rsidRDefault="002C5A67" w:rsidP="00826B71">
      <w:pPr>
        <w:spacing w:after="120"/>
        <w:rPr>
          <w:spacing w:val="-2"/>
          <w:sz w:val="21"/>
          <w:szCs w:val="21"/>
        </w:rPr>
      </w:pPr>
      <w:r>
        <w:rPr>
          <w:spacing w:val="-2"/>
          <w:sz w:val="21"/>
          <w:szCs w:val="21"/>
        </w:rPr>
        <w:t>State final demand (SFD) increased by 1.1% in the September quarter, driven by public consumption and investment. Public investment continues to trend up, reporting a 5.8% increase, for the highest quarterly level since 2014</w:t>
      </w:r>
      <w:r w:rsidR="00421F57">
        <w:rPr>
          <w:spacing w:val="-2"/>
          <w:sz w:val="21"/>
          <w:szCs w:val="21"/>
        </w:rPr>
        <w:t>, supported by spending on defence and in the university sector</w:t>
      </w:r>
      <w:r>
        <w:rPr>
          <w:spacing w:val="-2"/>
          <w:sz w:val="21"/>
          <w:szCs w:val="21"/>
        </w:rPr>
        <w:t xml:space="preserve">. Government consumption increased by 1.2%, </w:t>
      </w:r>
      <w:r w:rsidR="00E25A65">
        <w:rPr>
          <w:spacing w:val="-2"/>
          <w:sz w:val="21"/>
          <w:szCs w:val="21"/>
        </w:rPr>
        <w:t>with a 3.2% increase at the national level</w:t>
      </w:r>
      <w:r>
        <w:rPr>
          <w:spacing w:val="-2"/>
          <w:sz w:val="21"/>
          <w:szCs w:val="21"/>
        </w:rPr>
        <w:t xml:space="preserve"> </w:t>
      </w:r>
      <w:r w:rsidR="00421F57">
        <w:rPr>
          <w:spacing w:val="-2"/>
          <w:sz w:val="21"/>
          <w:szCs w:val="21"/>
        </w:rPr>
        <w:t xml:space="preserve">also </w:t>
      </w:r>
      <w:r w:rsidR="00FC2CBB">
        <w:rPr>
          <w:spacing w:val="-2"/>
          <w:sz w:val="21"/>
          <w:szCs w:val="21"/>
        </w:rPr>
        <w:t>driven</w:t>
      </w:r>
      <w:r>
        <w:rPr>
          <w:spacing w:val="-2"/>
          <w:sz w:val="21"/>
          <w:szCs w:val="21"/>
        </w:rPr>
        <w:t xml:space="preserve"> by defence </w:t>
      </w:r>
      <w:r w:rsidR="00421F57">
        <w:rPr>
          <w:spacing w:val="-2"/>
          <w:sz w:val="21"/>
          <w:szCs w:val="21"/>
        </w:rPr>
        <w:t>expenditure</w:t>
      </w:r>
      <w:r>
        <w:rPr>
          <w:spacing w:val="-2"/>
          <w:sz w:val="21"/>
          <w:szCs w:val="21"/>
        </w:rPr>
        <w:t>.</w:t>
      </w:r>
    </w:p>
    <w:p w14:paraId="1F874790" w14:textId="1CE84836" w:rsidR="00A22B63" w:rsidRDefault="00421F57" w:rsidP="0029403A">
      <w:pPr>
        <w:spacing w:after="120"/>
        <w:rPr>
          <w:spacing w:val="-2"/>
          <w:sz w:val="21"/>
          <w:szCs w:val="21"/>
        </w:rPr>
      </w:pPr>
      <w:r>
        <w:rPr>
          <w:spacing w:val="-2"/>
          <w:sz w:val="21"/>
          <w:szCs w:val="21"/>
        </w:rPr>
        <w:t xml:space="preserve">Private investment </w:t>
      </w:r>
      <w:r w:rsidR="00CC138B">
        <w:rPr>
          <w:spacing w:val="-2"/>
          <w:sz w:val="21"/>
          <w:szCs w:val="21"/>
        </w:rPr>
        <w:t>reported a 1.3% increase in the quarter</w:t>
      </w:r>
      <w:r w:rsidR="00570D1F">
        <w:rPr>
          <w:spacing w:val="-2"/>
          <w:sz w:val="21"/>
          <w:szCs w:val="21"/>
        </w:rPr>
        <w:t>,</w:t>
      </w:r>
      <w:r w:rsidR="00CC138B">
        <w:rPr>
          <w:spacing w:val="-2"/>
          <w:sz w:val="21"/>
          <w:szCs w:val="21"/>
        </w:rPr>
        <w:t xml:space="preserve"> driven by mining investment construction (up by 6.0%) and intellectual property (up by 5.0%)</w:t>
      </w:r>
      <w:r w:rsidR="00CD3085">
        <w:rPr>
          <w:spacing w:val="-2"/>
          <w:sz w:val="21"/>
          <w:szCs w:val="21"/>
        </w:rPr>
        <w:t xml:space="preserve"> on the back of a record quarter for mineral exploration expenditure</w:t>
      </w:r>
      <w:r w:rsidR="0083787F">
        <w:rPr>
          <w:spacing w:val="-2"/>
          <w:sz w:val="21"/>
          <w:szCs w:val="21"/>
        </w:rPr>
        <w:t xml:space="preserve">. This was somewhat </w:t>
      </w:r>
      <w:r w:rsidR="00CD3085">
        <w:rPr>
          <w:spacing w:val="-2"/>
          <w:sz w:val="21"/>
          <w:szCs w:val="21"/>
        </w:rPr>
        <w:t>offset by dwelling investment</w:t>
      </w:r>
      <w:r w:rsidR="00570D1F">
        <w:rPr>
          <w:spacing w:val="-2"/>
          <w:sz w:val="21"/>
          <w:szCs w:val="21"/>
        </w:rPr>
        <w:t xml:space="preserve"> (down by 6.4%). </w:t>
      </w:r>
      <w:r>
        <w:rPr>
          <w:spacing w:val="-2"/>
          <w:sz w:val="21"/>
          <w:szCs w:val="21"/>
        </w:rPr>
        <w:t>Household consumption</w:t>
      </w:r>
      <w:r w:rsidR="000E49D5">
        <w:rPr>
          <w:spacing w:val="-2"/>
          <w:sz w:val="21"/>
          <w:szCs w:val="21"/>
        </w:rPr>
        <w:t xml:space="preserve"> reported slight growth of 0.1% in the quarter and 0.6% annually, as tight monetary policy </w:t>
      </w:r>
      <w:r w:rsidR="006E1703">
        <w:rPr>
          <w:spacing w:val="-2"/>
          <w:sz w:val="21"/>
          <w:szCs w:val="21"/>
        </w:rPr>
        <w:t>acts</w:t>
      </w:r>
      <w:r w:rsidR="000E49D5">
        <w:rPr>
          <w:spacing w:val="-2"/>
          <w:sz w:val="21"/>
          <w:szCs w:val="21"/>
        </w:rPr>
        <w:t xml:space="preserve"> to quell consumer demand.</w:t>
      </w:r>
      <w:r w:rsidR="00A22B63">
        <w:rPr>
          <w:spacing w:val="-2"/>
          <w:sz w:val="21"/>
          <w:szCs w:val="21"/>
        </w:rPr>
        <w:t xml:space="preserve"> </w:t>
      </w:r>
      <w:r w:rsidR="00726CC3">
        <w:rPr>
          <w:spacing w:val="-2"/>
          <w:sz w:val="21"/>
          <w:szCs w:val="21"/>
        </w:rPr>
        <w:t>In year-on-year terms, growth in Territory SFD moderated to 1.1% in the year the September (Chart 1).</w:t>
      </w:r>
    </w:p>
    <w:p w14:paraId="3C5CAAD5" w14:textId="3B47075E" w:rsidR="00017A14" w:rsidRPr="00A22B63" w:rsidRDefault="00A63831" w:rsidP="0029403A">
      <w:pPr>
        <w:spacing w:after="120"/>
        <w:rPr>
          <w:spacing w:val="-2"/>
          <w:sz w:val="21"/>
          <w:szCs w:val="21"/>
        </w:rPr>
      </w:pPr>
      <w:r>
        <w:rPr>
          <w:spacing w:val="-6"/>
          <w:sz w:val="21"/>
          <w:szCs w:val="21"/>
        </w:rPr>
        <w:t xml:space="preserve">With the return of overseas migration from 2022 (Chart 2), the number of job vacancies has moderated albeit slightly, as </w:t>
      </w:r>
      <w:r w:rsidR="00973BEC">
        <w:rPr>
          <w:spacing w:val="-6"/>
          <w:sz w:val="21"/>
          <w:szCs w:val="21"/>
        </w:rPr>
        <w:t xml:space="preserve">many </w:t>
      </w:r>
      <w:r w:rsidRPr="00200964">
        <w:rPr>
          <w:spacing w:val="-6"/>
          <w:sz w:val="21"/>
          <w:szCs w:val="21"/>
        </w:rPr>
        <w:t xml:space="preserve">businesses continue to </w:t>
      </w:r>
      <w:r w:rsidR="00973BEC">
        <w:rPr>
          <w:spacing w:val="-6"/>
          <w:sz w:val="21"/>
          <w:szCs w:val="21"/>
        </w:rPr>
        <w:t>struggle to find</w:t>
      </w:r>
      <w:r w:rsidRPr="00200964">
        <w:rPr>
          <w:spacing w:val="-6"/>
          <w:sz w:val="21"/>
          <w:szCs w:val="21"/>
        </w:rPr>
        <w:t xml:space="preserve"> skilled workers. Th</w:t>
      </w:r>
      <w:r w:rsidR="0042273D">
        <w:rPr>
          <w:spacing w:val="-6"/>
          <w:sz w:val="21"/>
          <w:szCs w:val="21"/>
        </w:rPr>
        <w:t>e</w:t>
      </w:r>
      <w:r w:rsidRPr="00034E2A">
        <w:rPr>
          <w:spacing w:val="-6"/>
          <w:sz w:val="21"/>
          <w:szCs w:val="21"/>
        </w:rPr>
        <w:t xml:space="preserve"> </w:t>
      </w:r>
      <w:r>
        <w:rPr>
          <w:spacing w:val="-6"/>
          <w:sz w:val="21"/>
          <w:szCs w:val="21"/>
        </w:rPr>
        <w:t>challenge is</w:t>
      </w:r>
      <w:r w:rsidRPr="00034E2A">
        <w:rPr>
          <w:spacing w:val="-6"/>
          <w:sz w:val="21"/>
          <w:szCs w:val="21"/>
        </w:rPr>
        <w:t xml:space="preserve"> particularly acute in the Territory</w:t>
      </w:r>
      <w:r>
        <w:rPr>
          <w:spacing w:val="-6"/>
          <w:sz w:val="21"/>
          <w:szCs w:val="21"/>
        </w:rPr>
        <w:t>,</w:t>
      </w:r>
      <w:r w:rsidRPr="00034E2A">
        <w:rPr>
          <w:spacing w:val="-6"/>
          <w:sz w:val="21"/>
          <w:szCs w:val="21"/>
        </w:rPr>
        <w:t xml:space="preserve"> with low spare capacity</w:t>
      </w:r>
      <w:r w:rsidR="0042273D">
        <w:rPr>
          <w:spacing w:val="-6"/>
          <w:sz w:val="21"/>
          <w:szCs w:val="21"/>
        </w:rPr>
        <w:t xml:space="preserve"> (</w:t>
      </w:r>
      <w:r w:rsidRPr="00034E2A">
        <w:rPr>
          <w:spacing w:val="-6"/>
          <w:sz w:val="21"/>
          <w:szCs w:val="21"/>
        </w:rPr>
        <w:t>eviden</w:t>
      </w:r>
      <w:r>
        <w:rPr>
          <w:spacing w:val="-6"/>
          <w:sz w:val="21"/>
          <w:szCs w:val="21"/>
        </w:rPr>
        <w:t>ced</w:t>
      </w:r>
      <w:r w:rsidRPr="00034E2A">
        <w:rPr>
          <w:spacing w:val="-6"/>
          <w:sz w:val="21"/>
          <w:szCs w:val="21"/>
        </w:rPr>
        <w:t xml:space="preserve"> </w:t>
      </w:r>
      <w:r>
        <w:rPr>
          <w:spacing w:val="-6"/>
          <w:sz w:val="21"/>
          <w:szCs w:val="21"/>
        </w:rPr>
        <w:t>by</w:t>
      </w:r>
      <w:r w:rsidR="00973BEC">
        <w:rPr>
          <w:spacing w:val="-6"/>
          <w:sz w:val="21"/>
          <w:szCs w:val="21"/>
        </w:rPr>
        <w:t xml:space="preserve"> the</w:t>
      </w:r>
      <w:r w:rsidRPr="00034E2A">
        <w:rPr>
          <w:spacing w:val="-6"/>
          <w:sz w:val="21"/>
          <w:szCs w:val="21"/>
        </w:rPr>
        <w:t xml:space="preserve"> higher participation rate than national</w:t>
      </w:r>
      <w:r>
        <w:rPr>
          <w:spacing w:val="-6"/>
          <w:sz w:val="21"/>
          <w:szCs w:val="21"/>
        </w:rPr>
        <w:t>ly</w:t>
      </w:r>
      <w:r w:rsidR="0042273D">
        <w:rPr>
          <w:spacing w:val="-6"/>
          <w:sz w:val="21"/>
          <w:szCs w:val="21"/>
        </w:rPr>
        <w:t xml:space="preserve">), and </w:t>
      </w:r>
      <w:r w:rsidR="0069444F">
        <w:rPr>
          <w:spacing w:val="-6"/>
          <w:sz w:val="21"/>
          <w:szCs w:val="21"/>
        </w:rPr>
        <w:t xml:space="preserve">a </w:t>
      </w:r>
      <w:r w:rsidR="0042273D">
        <w:rPr>
          <w:spacing w:val="-6"/>
          <w:sz w:val="21"/>
          <w:szCs w:val="21"/>
        </w:rPr>
        <w:t xml:space="preserve">significantly higher </w:t>
      </w:r>
      <w:r w:rsidR="0069444F">
        <w:rPr>
          <w:spacing w:val="-6"/>
          <w:sz w:val="21"/>
          <w:szCs w:val="21"/>
        </w:rPr>
        <w:t xml:space="preserve">number of advertised </w:t>
      </w:r>
      <w:r w:rsidR="0042273D">
        <w:rPr>
          <w:spacing w:val="-6"/>
          <w:sz w:val="21"/>
          <w:szCs w:val="21"/>
        </w:rPr>
        <w:t>job</w:t>
      </w:r>
      <w:r w:rsidR="0069444F">
        <w:rPr>
          <w:spacing w:val="-6"/>
          <w:sz w:val="21"/>
          <w:szCs w:val="21"/>
        </w:rPr>
        <w:t xml:space="preserve"> vacancies</w:t>
      </w:r>
      <w:r w:rsidR="0042273D">
        <w:rPr>
          <w:spacing w:val="-6"/>
          <w:sz w:val="21"/>
          <w:szCs w:val="21"/>
        </w:rPr>
        <w:t xml:space="preserve"> per unemployed people</w:t>
      </w:r>
      <w:r w:rsidR="0069444F">
        <w:rPr>
          <w:spacing w:val="-6"/>
          <w:sz w:val="21"/>
          <w:szCs w:val="21"/>
        </w:rPr>
        <w:t xml:space="preserve"> </w:t>
      </w:r>
      <w:r w:rsidR="005439AD" w:rsidRPr="00034E2A">
        <w:rPr>
          <w:spacing w:val="-6"/>
          <w:sz w:val="21"/>
          <w:szCs w:val="21"/>
        </w:rPr>
        <w:t>(Chart</w:t>
      </w:r>
      <w:r w:rsidR="005439AD">
        <w:rPr>
          <w:spacing w:val="-6"/>
          <w:sz w:val="21"/>
          <w:szCs w:val="21"/>
        </w:rPr>
        <w:t> 3</w:t>
      </w:r>
      <w:r w:rsidR="005439AD" w:rsidRPr="00034E2A">
        <w:rPr>
          <w:spacing w:val="-6"/>
          <w:sz w:val="21"/>
          <w:szCs w:val="21"/>
        </w:rPr>
        <w:t>).</w:t>
      </w:r>
      <w:r w:rsidR="005439AD">
        <w:rPr>
          <w:spacing w:val="-6"/>
          <w:sz w:val="21"/>
          <w:szCs w:val="21"/>
        </w:rPr>
        <w:t xml:space="preserve"> </w:t>
      </w:r>
      <w:r w:rsidR="00E91C70" w:rsidRPr="00034E2A">
        <w:rPr>
          <w:spacing w:val="-6"/>
          <w:sz w:val="21"/>
          <w:szCs w:val="21"/>
        </w:rPr>
        <w:t>Reflecting the tight labour market</w:t>
      </w:r>
      <w:r w:rsidR="005439AD">
        <w:rPr>
          <w:spacing w:val="-6"/>
          <w:sz w:val="21"/>
          <w:szCs w:val="21"/>
        </w:rPr>
        <w:t xml:space="preserve"> more broadly</w:t>
      </w:r>
      <w:r w:rsidR="00E91C70" w:rsidRPr="00034E2A">
        <w:rPr>
          <w:spacing w:val="-6"/>
          <w:sz w:val="21"/>
          <w:szCs w:val="21"/>
        </w:rPr>
        <w:t>, wage growth is accelerating,</w:t>
      </w:r>
      <w:r w:rsidR="00A22B63">
        <w:rPr>
          <w:spacing w:val="-6"/>
          <w:sz w:val="21"/>
          <w:szCs w:val="21"/>
        </w:rPr>
        <w:t xml:space="preserve"> </w:t>
      </w:r>
      <w:r w:rsidR="00E91C70" w:rsidRPr="00034E2A">
        <w:rPr>
          <w:spacing w:val="-6"/>
          <w:sz w:val="21"/>
          <w:szCs w:val="21"/>
        </w:rPr>
        <w:t>notably in the private sector (Chart</w:t>
      </w:r>
      <w:r w:rsidR="00A22B63">
        <w:rPr>
          <w:spacing w:val="-6"/>
          <w:sz w:val="21"/>
          <w:szCs w:val="21"/>
        </w:rPr>
        <w:t> </w:t>
      </w:r>
      <w:r w:rsidR="005439AD">
        <w:rPr>
          <w:spacing w:val="-6"/>
          <w:sz w:val="21"/>
          <w:szCs w:val="21"/>
        </w:rPr>
        <w:t>4</w:t>
      </w:r>
      <w:r w:rsidR="00E91C70" w:rsidRPr="00034E2A">
        <w:rPr>
          <w:spacing w:val="-6"/>
          <w:sz w:val="21"/>
          <w:szCs w:val="21"/>
        </w:rPr>
        <w:t>)</w:t>
      </w:r>
      <w:r w:rsidR="005439AD">
        <w:rPr>
          <w:spacing w:val="-6"/>
          <w:sz w:val="21"/>
          <w:szCs w:val="21"/>
        </w:rPr>
        <w:t>.</w:t>
      </w:r>
    </w:p>
    <w:tbl>
      <w:tblPr>
        <w:tblStyle w:val="NTGtable1"/>
        <w:tblW w:w="10397" w:type="dxa"/>
        <w:jc w:val="center"/>
        <w:tblLayout w:type="fixed"/>
        <w:tblLook w:val="04A0" w:firstRow="1" w:lastRow="0" w:firstColumn="1" w:lastColumn="0" w:noHBand="0" w:noVBand="1"/>
      </w:tblPr>
      <w:tblGrid>
        <w:gridCol w:w="3539"/>
        <w:gridCol w:w="938"/>
        <w:gridCol w:w="1271"/>
        <w:gridCol w:w="1083"/>
        <w:gridCol w:w="1076"/>
        <w:gridCol w:w="1055"/>
        <w:gridCol w:w="1435"/>
      </w:tblGrid>
      <w:tr w:rsidR="00B243D8" w:rsidRPr="00797CA2" w14:paraId="31063292" w14:textId="77777777" w:rsidTr="00BE289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539" w:type="dxa"/>
            <w:vAlign w:val="center"/>
          </w:tcPr>
          <w:p w14:paraId="1159313E" w14:textId="77777777" w:rsidR="004F7E54" w:rsidRPr="00BE2895" w:rsidRDefault="004F7E54" w:rsidP="00BE2895">
            <w:pPr>
              <w:spacing w:before="0" w:after="0"/>
              <w:jc w:val="center"/>
              <w:rPr>
                <w:rFonts w:ascii="Calibri" w:hAnsi="Calibri"/>
                <w:sz w:val="20"/>
              </w:rPr>
            </w:pPr>
            <w:r w:rsidRPr="00BE2895">
              <w:rPr>
                <w:rFonts w:ascii="Calibri" w:hAnsi="Calibri"/>
                <w:sz w:val="20"/>
              </w:rPr>
              <w:t>Indicator</w:t>
            </w:r>
          </w:p>
        </w:tc>
        <w:tc>
          <w:tcPr>
            <w:tcW w:w="938" w:type="dxa"/>
            <w:vAlign w:val="center"/>
          </w:tcPr>
          <w:p w14:paraId="25C2D651" w14:textId="77777777" w:rsidR="004F7E54" w:rsidRPr="00BE2895" w:rsidRDefault="004F7E54" w:rsidP="00BE289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0"/>
              </w:rPr>
            </w:pPr>
            <w:r w:rsidRPr="00BE2895">
              <w:rPr>
                <w:rFonts w:ascii="Calibri" w:hAnsi="Calibri"/>
                <w:sz w:val="20"/>
              </w:rPr>
              <w:t>Most recent</w:t>
            </w:r>
          </w:p>
        </w:tc>
        <w:tc>
          <w:tcPr>
            <w:tcW w:w="1271" w:type="dxa"/>
            <w:vAlign w:val="center"/>
          </w:tcPr>
          <w:p w14:paraId="3EA49D25" w14:textId="0369B866" w:rsidR="004F7E54" w:rsidRPr="00BE2895" w:rsidRDefault="002F648D" w:rsidP="00BE289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0"/>
              </w:rPr>
            </w:pPr>
            <w:r>
              <w:rPr>
                <w:rFonts w:ascii="Calibri" w:hAnsi="Calibri"/>
                <w:sz w:val="20"/>
              </w:rPr>
              <w:t>Measure</w:t>
            </w:r>
          </w:p>
        </w:tc>
        <w:tc>
          <w:tcPr>
            <w:tcW w:w="1083" w:type="dxa"/>
            <w:vAlign w:val="center"/>
          </w:tcPr>
          <w:p w14:paraId="4C2D655D" w14:textId="77777777" w:rsidR="004F7E54" w:rsidRPr="00BE2895" w:rsidRDefault="004F7E54" w:rsidP="00BE289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0"/>
              </w:rPr>
            </w:pPr>
            <w:r w:rsidRPr="00BE2895">
              <w:rPr>
                <w:rFonts w:ascii="Calibri" w:hAnsi="Calibri"/>
                <w:sz w:val="20"/>
              </w:rPr>
              <w:t>Period change</w:t>
            </w:r>
            <w:r w:rsidRPr="00BE2895">
              <w:rPr>
                <w:rFonts w:ascii="Calibri" w:hAnsi="Calibri" w:cs="Calibri"/>
                <w:sz w:val="20"/>
              </w:rPr>
              <w:t>¹</w:t>
            </w:r>
          </w:p>
        </w:tc>
        <w:tc>
          <w:tcPr>
            <w:tcW w:w="1076" w:type="dxa"/>
            <w:vAlign w:val="center"/>
          </w:tcPr>
          <w:p w14:paraId="04968139" w14:textId="77777777" w:rsidR="004F7E54" w:rsidRPr="00BE2895" w:rsidRDefault="004F7E54" w:rsidP="00BE289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0"/>
              </w:rPr>
            </w:pPr>
            <w:r w:rsidRPr="00BE2895">
              <w:rPr>
                <w:rFonts w:ascii="Calibri" w:hAnsi="Calibri"/>
                <w:sz w:val="20"/>
              </w:rPr>
              <w:t>Annual change</w:t>
            </w:r>
            <w:r w:rsidRPr="00BE2895">
              <w:rPr>
                <w:rFonts w:ascii="Calibri" w:hAnsi="Calibri" w:cs="Calibri"/>
                <w:sz w:val="20"/>
                <w:vertAlign w:val="superscript"/>
              </w:rPr>
              <w:t>2</w:t>
            </w:r>
          </w:p>
        </w:tc>
        <w:tc>
          <w:tcPr>
            <w:tcW w:w="1055" w:type="dxa"/>
            <w:vAlign w:val="center"/>
          </w:tcPr>
          <w:p w14:paraId="1CE8126B" w14:textId="77777777" w:rsidR="004F7E54" w:rsidRPr="00BE2895" w:rsidRDefault="004F7E54" w:rsidP="00BE289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0"/>
              </w:rPr>
            </w:pPr>
            <w:r w:rsidRPr="00BE2895">
              <w:rPr>
                <w:rFonts w:ascii="Calibri" w:hAnsi="Calibri"/>
                <w:sz w:val="20"/>
              </w:rPr>
              <w:t>Year on Year</w:t>
            </w:r>
            <w:r w:rsidRPr="00BE2895">
              <w:rPr>
                <w:rFonts w:ascii="Calibri" w:hAnsi="Calibri" w:cs="Calibri"/>
                <w:sz w:val="20"/>
                <w:vertAlign w:val="superscript"/>
              </w:rPr>
              <w:t>3</w:t>
            </w:r>
          </w:p>
        </w:tc>
        <w:tc>
          <w:tcPr>
            <w:tcW w:w="1435" w:type="dxa"/>
            <w:vAlign w:val="center"/>
          </w:tcPr>
          <w:p w14:paraId="0E175AE1" w14:textId="77777777" w:rsidR="004F7E54" w:rsidRPr="00BE2895" w:rsidRDefault="004F7E54" w:rsidP="00BE289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0"/>
              </w:rPr>
            </w:pPr>
            <w:r w:rsidRPr="00BE2895">
              <w:rPr>
                <w:rFonts w:ascii="Calibri" w:hAnsi="Calibri"/>
                <w:sz w:val="20"/>
              </w:rPr>
              <w:t>COVID period change</w:t>
            </w:r>
            <w:r w:rsidRPr="00BE2895">
              <w:rPr>
                <w:rFonts w:ascii="Calibri" w:hAnsi="Calibri"/>
                <w:sz w:val="20"/>
                <w:vertAlign w:val="superscript"/>
              </w:rPr>
              <w:t>4</w:t>
            </w:r>
          </w:p>
        </w:tc>
      </w:tr>
      <w:tr w:rsidR="00B243D8" w:rsidRPr="00797CA2" w14:paraId="62B537C3"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vAlign w:val="center"/>
          </w:tcPr>
          <w:p w14:paraId="55CED3CB" w14:textId="77777777" w:rsidR="004F7E54" w:rsidRPr="00995976" w:rsidRDefault="004F7E54" w:rsidP="00BE2895">
            <w:pPr>
              <w:spacing w:before="20" w:after="20"/>
              <w:rPr>
                <w:rFonts w:ascii="Calibri" w:hAnsi="Calibri" w:cs="Calibri"/>
                <w:b/>
                <w:bCs/>
                <w:color w:val="000000"/>
                <w:sz w:val="20"/>
              </w:rPr>
            </w:pPr>
            <w:r w:rsidRPr="00B243D8">
              <w:rPr>
                <w:rFonts w:ascii="Calibri" w:hAnsi="Calibri" w:cs="Calibri"/>
                <w:b/>
                <w:bCs/>
                <w:color w:val="000000"/>
                <w:sz w:val="20"/>
              </w:rPr>
              <w:t>Economic Growth</w:t>
            </w:r>
          </w:p>
        </w:tc>
        <w:tc>
          <w:tcPr>
            <w:tcW w:w="938" w:type="dxa"/>
            <w:shd w:val="clear" w:color="auto" w:fill="D9D9D9" w:themeFill="background1" w:themeFillShade="D9"/>
          </w:tcPr>
          <w:p w14:paraId="7A9FFAE5" w14:textId="77777777" w:rsidR="004F7E54" w:rsidRPr="00BE2895" w:rsidRDefault="004F7E54" w:rsidP="00BE2895">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sz w:val="20"/>
              </w:rPr>
            </w:pPr>
          </w:p>
        </w:tc>
        <w:tc>
          <w:tcPr>
            <w:tcW w:w="1271" w:type="dxa"/>
            <w:shd w:val="clear" w:color="auto" w:fill="D9D9D9" w:themeFill="background1" w:themeFillShade="D9"/>
          </w:tcPr>
          <w:p w14:paraId="66690F76" w14:textId="00F51519" w:rsidR="004F7E54" w:rsidRPr="00BE2895" w:rsidRDefault="001E6821" w:rsidP="00BE2895">
            <w:pPr>
              <w:spacing w:before="20" w:after="20"/>
              <w:ind w:right="80"/>
              <w:jc w:val="right"/>
              <w:cnfStyle w:val="000000100000" w:firstRow="0" w:lastRow="0" w:firstColumn="0" w:lastColumn="0" w:oddVBand="0" w:evenVBand="0" w:oddHBand="1" w:evenHBand="0" w:firstRowFirstColumn="0" w:firstRowLastColumn="0" w:lastRowFirstColumn="0" w:lastRowLastColumn="0"/>
              <w:rPr>
                <w:rFonts w:ascii="Calibri" w:hAnsi="Calibri"/>
                <w:b/>
                <w:sz w:val="20"/>
              </w:rPr>
            </w:pPr>
            <w:r w:rsidRPr="00BE2895">
              <w:rPr>
                <w:rFonts w:ascii="Calibri" w:hAnsi="Calibri"/>
                <w:b/>
                <w:sz w:val="20"/>
              </w:rPr>
              <w:t>$B</w:t>
            </w:r>
          </w:p>
        </w:tc>
        <w:tc>
          <w:tcPr>
            <w:tcW w:w="1083" w:type="dxa"/>
            <w:shd w:val="clear" w:color="auto" w:fill="D9D9D9" w:themeFill="background1" w:themeFillShade="D9"/>
          </w:tcPr>
          <w:p w14:paraId="67830DD6" w14:textId="77777777" w:rsidR="004F7E54" w:rsidRPr="00BE2895" w:rsidRDefault="004F7E54" w:rsidP="00BE2895">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sz w:val="20"/>
              </w:rPr>
            </w:pPr>
          </w:p>
        </w:tc>
        <w:tc>
          <w:tcPr>
            <w:tcW w:w="1076" w:type="dxa"/>
            <w:shd w:val="clear" w:color="auto" w:fill="D9D9D9" w:themeFill="background1" w:themeFillShade="D9"/>
          </w:tcPr>
          <w:p w14:paraId="29B6C121" w14:textId="77777777" w:rsidR="004F7E54" w:rsidRPr="00BE2895" w:rsidRDefault="004F7E54" w:rsidP="00BE2895">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sz w:val="20"/>
              </w:rPr>
            </w:pPr>
          </w:p>
        </w:tc>
        <w:tc>
          <w:tcPr>
            <w:tcW w:w="1055" w:type="dxa"/>
            <w:shd w:val="clear" w:color="auto" w:fill="D9D9D9" w:themeFill="background1" w:themeFillShade="D9"/>
          </w:tcPr>
          <w:p w14:paraId="631BE887" w14:textId="77777777" w:rsidR="004F7E54" w:rsidRPr="00BE2895" w:rsidRDefault="004F7E54" w:rsidP="00BE2895">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sz w:val="20"/>
              </w:rPr>
            </w:pPr>
          </w:p>
        </w:tc>
        <w:tc>
          <w:tcPr>
            <w:tcW w:w="1435" w:type="dxa"/>
            <w:shd w:val="clear" w:color="auto" w:fill="D9D9D9" w:themeFill="background1" w:themeFillShade="D9"/>
            <w:vAlign w:val="center"/>
          </w:tcPr>
          <w:p w14:paraId="40B45F34" w14:textId="77777777" w:rsidR="004F7E54" w:rsidRPr="00BE2895" w:rsidRDefault="004F7E54" w:rsidP="00BE2895">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sz w:val="20"/>
              </w:rPr>
            </w:pPr>
          </w:p>
        </w:tc>
      </w:tr>
      <w:tr w:rsidR="00B243D8" w:rsidRPr="00797CA2" w14:paraId="2FE16DFB" w14:textId="77777777" w:rsidTr="00BE289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5D2926EE" w14:textId="77777777" w:rsidR="00C54EB6" w:rsidRPr="004A4BC9" w:rsidRDefault="00C54EB6" w:rsidP="00C54EB6">
            <w:pPr>
              <w:spacing w:before="0" w:after="0"/>
              <w:ind w:firstLineChars="200" w:firstLine="400"/>
              <w:rPr>
                <w:rFonts w:ascii="Calibri" w:hAnsi="Calibri" w:cs="Calibri"/>
                <w:iCs/>
                <w:color w:val="000000"/>
                <w:sz w:val="20"/>
              </w:rPr>
            </w:pPr>
            <w:r w:rsidRPr="004A4BC9">
              <w:rPr>
                <w:rFonts w:ascii="Calibri" w:hAnsi="Calibri" w:cs="Calibri"/>
                <w:iCs/>
                <w:color w:val="000000"/>
                <w:sz w:val="20"/>
              </w:rPr>
              <w:t>State final demand (NT) (sa)</w:t>
            </w:r>
          </w:p>
        </w:tc>
        <w:tc>
          <w:tcPr>
            <w:tcW w:w="938" w:type="dxa"/>
            <w:shd w:val="clear" w:color="auto" w:fill="auto"/>
            <w:vAlign w:val="center"/>
          </w:tcPr>
          <w:p w14:paraId="0EC7524E" w14:textId="70188133" w:rsidR="00C54EB6" w:rsidRPr="00E00EC5" w:rsidRDefault="00F96702" w:rsidP="00CB1326">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E00EC5">
              <w:rPr>
                <w:rFonts w:ascii="Calibri" w:hAnsi="Calibri" w:cs="Calibri"/>
                <w:color w:val="000000"/>
                <w:sz w:val="20"/>
              </w:rPr>
              <w:t>Sep-23</w:t>
            </w:r>
          </w:p>
        </w:tc>
        <w:tc>
          <w:tcPr>
            <w:tcW w:w="1271" w:type="dxa"/>
            <w:shd w:val="clear" w:color="auto" w:fill="auto"/>
            <w:vAlign w:val="center"/>
          </w:tcPr>
          <w:p w14:paraId="0FAD25A6" w14:textId="713A3FC5" w:rsidR="00C54EB6" w:rsidRPr="00E00EC5" w:rsidRDefault="00F96702" w:rsidP="00CB1326">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E00EC5">
              <w:rPr>
                <w:rFonts w:ascii="Calibri" w:hAnsi="Calibri" w:cs="Calibri"/>
                <w:color w:val="000000"/>
                <w:sz w:val="20"/>
              </w:rPr>
              <w:t>7.428</w:t>
            </w:r>
          </w:p>
        </w:tc>
        <w:tc>
          <w:tcPr>
            <w:tcW w:w="1083" w:type="dxa"/>
            <w:shd w:val="clear" w:color="auto" w:fill="auto"/>
            <w:vAlign w:val="center"/>
          </w:tcPr>
          <w:p w14:paraId="008A0456" w14:textId="76D94A07" w:rsidR="00C54EB6" w:rsidRPr="00E00EC5" w:rsidRDefault="00F96702" w:rsidP="00CB132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E00EC5">
              <w:rPr>
                <w:rFonts w:ascii="Calibri" w:hAnsi="Calibri" w:cs="Calibri"/>
                <w:color w:val="000000"/>
                <w:sz w:val="20"/>
              </w:rPr>
              <w:t>1.1</w:t>
            </w:r>
            <w:r w:rsidR="00CF1103" w:rsidRPr="00E00EC5">
              <w:rPr>
                <w:rFonts w:ascii="Calibri" w:hAnsi="Calibri" w:cs="Calibri"/>
                <w:color w:val="000000"/>
                <w:sz w:val="20"/>
              </w:rPr>
              <w:t>%</w:t>
            </w:r>
          </w:p>
        </w:tc>
        <w:tc>
          <w:tcPr>
            <w:tcW w:w="1076" w:type="dxa"/>
            <w:shd w:val="clear" w:color="auto" w:fill="auto"/>
            <w:vAlign w:val="center"/>
          </w:tcPr>
          <w:p w14:paraId="49D4FF1B" w14:textId="245D7AD3" w:rsidR="00C54EB6" w:rsidRPr="00E00EC5" w:rsidRDefault="00CF1103" w:rsidP="00F96702">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E00EC5">
              <w:rPr>
                <w:rFonts w:ascii="Calibri" w:hAnsi="Calibri" w:cs="Calibri"/>
                <w:color w:val="000000"/>
                <w:sz w:val="20"/>
              </w:rPr>
              <w:t>0.</w:t>
            </w:r>
            <w:r w:rsidR="00F96702" w:rsidRPr="00E00EC5">
              <w:rPr>
                <w:rFonts w:ascii="Calibri" w:hAnsi="Calibri" w:cs="Calibri"/>
                <w:color w:val="000000"/>
                <w:sz w:val="20"/>
              </w:rPr>
              <w:t>9</w:t>
            </w:r>
            <w:r w:rsidRPr="00E00EC5">
              <w:rPr>
                <w:rFonts w:ascii="Calibri" w:hAnsi="Calibri" w:cs="Calibri"/>
                <w:color w:val="000000"/>
                <w:sz w:val="20"/>
              </w:rPr>
              <w:t>%</w:t>
            </w:r>
          </w:p>
        </w:tc>
        <w:tc>
          <w:tcPr>
            <w:tcW w:w="1055" w:type="dxa"/>
            <w:shd w:val="clear" w:color="auto" w:fill="auto"/>
            <w:vAlign w:val="center"/>
          </w:tcPr>
          <w:p w14:paraId="0B4B7A91" w14:textId="592CE91F" w:rsidR="00C54EB6" w:rsidRPr="00343100" w:rsidRDefault="00E00EC5"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43100">
              <w:rPr>
                <w:rFonts w:ascii="Calibri" w:hAnsi="Calibri" w:cs="Calibri"/>
                <w:color w:val="000000"/>
                <w:sz w:val="20"/>
              </w:rPr>
              <w:t>1.1%</w:t>
            </w:r>
          </w:p>
        </w:tc>
        <w:tc>
          <w:tcPr>
            <w:tcW w:w="1435" w:type="dxa"/>
            <w:shd w:val="clear" w:color="auto" w:fill="auto"/>
            <w:vAlign w:val="center"/>
          </w:tcPr>
          <w:p w14:paraId="69A9BDC0" w14:textId="30D88FD8" w:rsidR="00C54EB6" w:rsidRPr="004A4BC9" w:rsidRDefault="000C344D" w:rsidP="00F96702">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highlight w:val="yellow"/>
              </w:rPr>
            </w:pPr>
            <w:r w:rsidRPr="00E00EC5">
              <w:rPr>
                <w:rFonts w:ascii="Calibri" w:hAnsi="Calibri" w:cs="Calibri"/>
                <w:color w:val="000000"/>
                <w:sz w:val="20"/>
              </w:rPr>
              <w:t>1</w:t>
            </w:r>
            <w:r w:rsidR="00F96702" w:rsidRPr="00E00EC5">
              <w:rPr>
                <w:rFonts w:ascii="Calibri" w:hAnsi="Calibri" w:cs="Calibri"/>
                <w:color w:val="000000"/>
                <w:sz w:val="20"/>
              </w:rPr>
              <w:t>5</w:t>
            </w:r>
            <w:r w:rsidRPr="00E00EC5">
              <w:rPr>
                <w:rFonts w:ascii="Calibri" w:hAnsi="Calibri" w:cs="Calibri"/>
                <w:color w:val="000000"/>
                <w:sz w:val="20"/>
              </w:rPr>
              <w:t>.</w:t>
            </w:r>
            <w:r w:rsidR="00F96702" w:rsidRPr="00E00EC5">
              <w:rPr>
                <w:rFonts w:ascii="Calibri" w:hAnsi="Calibri" w:cs="Calibri"/>
                <w:color w:val="000000"/>
                <w:sz w:val="20"/>
              </w:rPr>
              <w:t>3</w:t>
            </w:r>
            <w:r w:rsidR="00CF1103" w:rsidRPr="00E00EC5">
              <w:rPr>
                <w:rFonts w:ascii="Calibri" w:hAnsi="Calibri" w:cs="Calibri"/>
                <w:color w:val="000000"/>
                <w:sz w:val="20"/>
              </w:rPr>
              <w:t>%</w:t>
            </w:r>
          </w:p>
        </w:tc>
      </w:tr>
      <w:tr w:rsidR="00797CA2" w:rsidRPr="00797CA2" w14:paraId="27904C02"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F2F2F2" w:themeFill="background1" w:themeFillShade="F2"/>
            <w:vAlign w:val="center"/>
          </w:tcPr>
          <w:p w14:paraId="4F877EFE" w14:textId="0325755D" w:rsidR="00DC1968" w:rsidRPr="004A4BC9" w:rsidRDefault="00DC1968" w:rsidP="00BE2895">
            <w:pPr>
              <w:tabs>
                <w:tab w:val="left" w:pos="630"/>
              </w:tabs>
              <w:spacing w:before="0" w:after="0"/>
              <w:ind w:firstLineChars="200" w:firstLine="400"/>
              <w:rPr>
                <w:rFonts w:ascii="Calibri" w:hAnsi="Calibri" w:cs="Calibri"/>
                <w:iCs/>
                <w:color w:val="000000"/>
                <w:sz w:val="20"/>
              </w:rPr>
            </w:pPr>
            <w:r w:rsidRPr="004A4BC9">
              <w:rPr>
                <w:rFonts w:ascii="Calibri" w:hAnsi="Calibri" w:cs="Calibri"/>
                <w:iCs/>
                <w:color w:val="000000"/>
                <w:sz w:val="20"/>
              </w:rPr>
              <w:tab/>
              <w:t>Consumption</w:t>
            </w:r>
          </w:p>
        </w:tc>
        <w:tc>
          <w:tcPr>
            <w:tcW w:w="938" w:type="dxa"/>
            <w:shd w:val="clear" w:color="auto" w:fill="F2F2F2" w:themeFill="background1" w:themeFillShade="F2"/>
            <w:vAlign w:val="center"/>
          </w:tcPr>
          <w:p w14:paraId="1C1FB091" w14:textId="77777777" w:rsidR="00DC1968" w:rsidRPr="004A4BC9" w:rsidRDefault="00DC1968" w:rsidP="00BE289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highlight w:val="yellow"/>
              </w:rPr>
            </w:pPr>
          </w:p>
        </w:tc>
        <w:tc>
          <w:tcPr>
            <w:tcW w:w="1271" w:type="dxa"/>
            <w:shd w:val="clear" w:color="auto" w:fill="F2F2F2" w:themeFill="background1" w:themeFillShade="F2"/>
            <w:vAlign w:val="center"/>
          </w:tcPr>
          <w:p w14:paraId="06C5596F" w14:textId="270DCC2C" w:rsidR="00DC1968" w:rsidRPr="00E00EC5" w:rsidDel="001E6821" w:rsidRDefault="00934BDD" w:rsidP="00F96702">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E00EC5">
              <w:rPr>
                <w:rFonts w:ascii="Calibri" w:hAnsi="Calibri" w:cs="Calibri"/>
                <w:color w:val="000000"/>
                <w:sz w:val="20"/>
              </w:rPr>
              <w:t>5.</w:t>
            </w:r>
            <w:r w:rsidR="00F96702" w:rsidRPr="00E00EC5">
              <w:rPr>
                <w:rFonts w:ascii="Calibri" w:hAnsi="Calibri" w:cs="Calibri"/>
                <w:color w:val="000000"/>
                <w:sz w:val="20"/>
              </w:rPr>
              <w:t>603</w:t>
            </w:r>
          </w:p>
        </w:tc>
        <w:tc>
          <w:tcPr>
            <w:tcW w:w="1083" w:type="dxa"/>
            <w:shd w:val="clear" w:color="auto" w:fill="F2F2F2" w:themeFill="background1" w:themeFillShade="F2"/>
            <w:vAlign w:val="center"/>
          </w:tcPr>
          <w:p w14:paraId="5C04B7FC" w14:textId="79C19ECE" w:rsidR="00DC1968" w:rsidRPr="00E00EC5" w:rsidRDefault="00F96702" w:rsidP="00BE289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E00EC5">
              <w:rPr>
                <w:rFonts w:ascii="Calibri" w:hAnsi="Calibri" w:cs="Calibri"/>
                <w:color w:val="000000"/>
                <w:sz w:val="20"/>
              </w:rPr>
              <w:t>0.6</w:t>
            </w:r>
            <w:r w:rsidR="00CF1103" w:rsidRPr="00E00EC5">
              <w:rPr>
                <w:rFonts w:ascii="Calibri" w:hAnsi="Calibri" w:cs="Calibri"/>
                <w:color w:val="000000"/>
                <w:sz w:val="20"/>
              </w:rPr>
              <w:t>%</w:t>
            </w:r>
          </w:p>
        </w:tc>
        <w:tc>
          <w:tcPr>
            <w:tcW w:w="1076" w:type="dxa"/>
            <w:shd w:val="clear" w:color="auto" w:fill="F2F2F2" w:themeFill="background1" w:themeFillShade="F2"/>
            <w:vAlign w:val="center"/>
          </w:tcPr>
          <w:p w14:paraId="3C133562" w14:textId="694A9DF6" w:rsidR="00DC1968" w:rsidRPr="00E00EC5" w:rsidRDefault="00CF1103" w:rsidP="00BE289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E00EC5">
              <w:rPr>
                <w:rFonts w:ascii="Calibri" w:hAnsi="Calibri" w:cs="Calibri"/>
                <w:color w:val="000000"/>
                <w:sz w:val="20"/>
              </w:rPr>
              <w:t>1.7%</w:t>
            </w:r>
          </w:p>
        </w:tc>
        <w:tc>
          <w:tcPr>
            <w:tcW w:w="1055" w:type="dxa"/>
            <w:shd w:val="clear" w:color="auto" w:fill="F2F2F2" w:themeFill="background1" w:themeFillShade="F2"/>
            <w:vAlign w:val="center"/>
          </w:tcPr>
          <w:p w14:paraId="47F3CD96" w14:textId="6650C3B3" w:rsidR="00DC1968" w:rsidRPr="00343100" w:rsidRDefault="00E00EC5" w:rsidP="006E31A4">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43100">
              <w:rPr>
                <w:rFonts w:ascii="Calibri" w:hAnsi="Calibri" w:cs="Calibri"/>
                <w:color w:val="000000"/>
                <w:sz w:val="20"/>
              </w:rPr>
              <w:t>0.5</w:t>
            </w:r>
            <w:r w:rsidR="00CF1103" w:rsidRPr="00343100">
              <w:rPr>
                <w:rFonts w:ascii="Calibri" w:hAnsi="Calibri" w:cs="Calibri"/>
                <w:color w:val="000000"/>
                <w:sz w:val="20"/>
              </w:rPr>
              <w:t>%</w:t>
            </w:r>
          </w:p>
        </w:tc>
        <w:tc>
          <w:tcPr>
            <w:tcW w:w="1435" w:type="dxa"/>
            <w:shd w:val="clear" w:color="auto" w:fill="F2F2F2" w:themeFill="background1" w:themeFillShade="F2"/>
            <w:vAlign w:val="center"/>
          </w:tcPr>
          <w:p w14:paraId="6F22DD4A" w14:textId="578B914F" w:rsidR="00DC1968" w:rsidRPr="00E00EC5" w:rsidRDefault="00F96702" w:rsidP="00CB1326">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E00EC5">
              <w:rPr>
                <w:rFonts w:ascii="Calibri" w:hAnsi="Calibri" w:cs="Calibri"/>
                <w:color w:val="000000"/>
                <w:sz w:val="20"/>
              </w:rPr>
              <w:t>9.3</w:t>
            </w:r>
            <w:r w:rsidR="00CF1103" w:rsidRPr="00E00EC5">
              <w:rPr>
                <w:rFonts w:ascii="Calibri" w:hAnsi="Calibri" w:cs="Calibri"/>
                <w:color w:val="000000"/>
                <w:sz w:val="20"/>
              </w:rPr>
              <w:t>%</w:t>
            </w:r>
          </w:p>
        </w:tc>
      </w:tr>
      <w:tr w:rsidR="00797CA2" w:rsidRPr="00797CA2" w14:paraId="6680B6F8" w14:textId="77777777" w:rsidTr="00BE289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F2F2F2" w:themeFill="background1" w:themeFillShade="F2"/>
            <w:vAlign w:val="center"/>
          </w:tcPr>
          <w:p w14:paraId="065B31C0" w14:textId="15F973DF" w:rsidR="001E6821" w:rsidRPr="004A4BC9" w:rsidRDefault="00DC1968" w:rsidP="00BE2895">
            <w:pPr>
              <w:tabs>
                <w:tab w:val="left" w:pos="630"/>
              </w:tabs>
              <w:spacing w:before="0" w:after="0"/>
              <w:ind w:firstLineChars="200" w:firstLine="400"/>
              <w:rPr>
                <w:rFonts w:ascii="Calibri" w:hAnsi="Calibri" w:cs="Calibri"/>
                <w:iCs/>
                <w:color w:val="000000"/>
                <w:sz w:val="20"/>
              </w:rPr>
            </w:pPr>
            <w:r w:rsidRPr="004A4BC9">
              <w:rPr>
                <w:rFonts w:ascii="Calibri" w:hAnsi="Calibri" w:cs="Calibri"/>
                <w:iCs/>
                <w:color w:val="000000"/>
                <w:sz w:val="20"/>
              </w:rPr>
              <w:tab/>
              <w:t>Investment</w:t>
            </w:r>
          </w:p>
        </w:tc>
        <w:tc>
          <w:tcPr>
            <w:tcW w:w="938" w:type="dxa"/>
            <w:shd w:val="clear" w:color="auto" w:fill="F2F2F2" w:themeFill="background1" w:themeFillShade="F2"/>
            <w:vAlign w:val="center"/>
          </w:tcPr>
          <w:p w14:paraId="739057E8" w14:textId="77777777" w:rsidR="001E6821" w:rsidRPr="004A4BC9" w:rsidRDefault="001E6821" w:rsidP="00BE289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highlight w:val="yellow"/>
              </w:rPr>
            </w:pPr>
          </w:p>
        </w:tc>
        <w:tc>
          <w:tcPr>
            <w:tcW w:w="1271" w:type="dxa"/>
            <w:shd w:val="clear" w:color="auto" w:fill="F2F2F2" w:themeFill="background1" w:themeFillShade="F2"/>
            <w:vAlign w:val="center"/>
          </w:tcPr>
          <w:p w14:paraId="0389523A" w14:textId="21E5318D" w:rsidR="001E6821" w:rsidRPr="00E00EC5" w:rsidDel="001E6821" w:rsidRDefault="00F96702" w:rsidP="00CB1326">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E00EC5">
              <w:rPr>
                <w:rFonts w:ascii="Calibri" w:hAnsi="Calibri" w:cs="Calibri"/>
                <w:color w:val="000000"/>
                <w:sz w:val="20"/>
              </w:rPr>
              <w:t>1.826</w:t>
            </w:r>
          </w:p>
        </w:tc>
        <w:tc>
          <w:tcPr>
            <w:tcW w:w="1083" w:type="dxa"/>
            <w:shd w:val="clear" w:color="auto" w:fill="F2F2F2" w:themeFill="background1" w:themeFillShade="F2"/>
            <w:vAlign w:val="center"/>
          </w:tcPr>
          <w:p w14:paraId="462420C2" w14:textId="1FB652BA" w:rsidR="001E6821" w:rsidRPr="00E00EC5" w:rsidRDefault="00F96702" w:rsidP="00CB132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E00EC5">
              <w:rPr>
                <w:rFonts w:ascii="Calibri" w:hAnsi="Calibri" w:cs="Calibri"/>
                <w:color w:val="000000"/>
                <w:sz w:val="20"/>
              </w:rPr>
              <w:t>2.6</w:t>
            </w:r>
            <w:r w:rsidR="00CF1103" w:rsidRPr="00E00EC5">
              <w:rPr>
                <w:rFonts w:ascii="Calibri" w:hAnsi="Calibri" w:cs="Calibri"/>
                <w:color w:val="000000"/>
                <w:sz w:val="20"/>
              </w:rPr>
              <w:t>%</w:t>
            </w:r>
          </w:p>
        </w:tc>
        <w:tc>
          <w:tcPr>
            <w:tcW w:w="1076" w:type="dxa"/>
            <w:shd w:val="clear" w:color="auto" w:fill="F2F2F2" w:themeFill="background1" w:themeFillShade="F2"/>
            <w:vAlign w:val="center"/>
          </w:tcPr>
          <w:p w14:paraId="73099A53" w14:textId="13909DEA" w:rsidR="001E6821" w:rsidRPr="00E00EC5" w:rsidRDefault="00F96702" w:rsidP="00CB132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E00EC5">
              <w:rPr>
                <w:rFonts w:ascii="Calibri" w:hAnsi="Calibri" w:cs="Calibri"/>
                <w:color w:val="000000"/>
                <w:sz w:val="20"/>
              </w:rPr>
              <w:t>-1</w:t>
            </w:r>
            <w:r w:rsidR="00CF1103" w:rsidRPr="00E00EC5">
              <w:rPr>
                <w:rFonts w:ascii="Calibri" w:hAnsi="Calibri" w:cs="Calibri"/>
                <w:color w:val="000000"/>
                <w:sz w:val="20"/>
              </w:rPr>
              <w:t>.5%</w:t>
            </w:r>
          </w:p>
        </w:tc>
        <w:tc>
          <w:tcPr>
            <w:tcW w:w="1055" w:type="dxa"/>
            <w:shd w:val="clear" w:color="auto" w:fill="F2F2F2" w:themeFill="background1" w:themeFillShade="F2"/>
            <w:vAlign w:val="center"/>
          </w:tcPr>
          <w:p w14:paraId="527258EA" w14:textId="61EBEE93" w:rsidR="001E6821" w:rsidRPr="00343100" w:rsidRDefault="00E00EC5" w:rsidP="00BE289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43100">
              <w:rPr>
                <w:rFonts w:ascii="Calibri" w:hAnsi="Calibri" w:cs="Calibri"/>
                <w:color w:val="000000"/>
                <w:sz w:val="20"/>
              </w:rPr>
              <w:t>2.7</w:t>
            </w:r>
            <w:r w:rsidR="00CF1103" w:rsidRPr="00343100">
              <w:rPr>
                <w:rFonts w:ascii="Calibri" w:hAnsi="Calibri" w:cs="Calibri"/>
                <w:color w:val="000000"/>
                <w:sz w:val="20"/>
              </w:rPr>
              <w:t>%</w:t>
            </w:r>
          </w:p>
        </w:tc>
        <w:tc>
          <w:tcPr>
            <w:tcW w:w="1435" w:type="dxa"/>
            <w:shd w:val="clear" w:color="auto" w:fill="F2F2F2" w:themeFill="background1" w:themeFillShade="F2"/>
            <w:vAlign w:val="center"/>
          </w:tcPr>
          <w:p w14:paraId="07C9DF1B" w14:textId="245F5417" w:rsidR="001E6821" w:rsidRPr="004A4BC9" w:rsidRDefault="00F96702" w:rsidP="00CB1326">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highlight w:val="yellow"/>
              </w:rPr>
            </w:pPr>
            <w:r w:rsidRPr="00E00EC5">
              <w:rPr>
                <w:rFonts w:ascii="Calibri" w:hAnsi="Calibri" w:cs="Calibri"/>
                <w:color w:val="000000"/>
                <w:sz w:val="20"/>
              </w:rPr>
              <w:t>35.2</w:t>
            </w:r>
            <w:r w:rsidR="00CF1103" w:rsidRPr="00E00EC5">
              <w:rPr>
                <w:rFonts w:ascii="Calibri" w:hAnsi="Calibri" w:cs="Calibri"/>
                <w:color w:val="000000"/>
                <w:sz w:val="20"/>
              </w:rPr>
              <w:t>%</w:t>
            </w:r>
          </w:p>
        </w:tc>
      </w:tr>
      <w:tr w:rsidR="00B243D8" w:rsidRPr="00797CA2" w14:paraId="228BC082"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7644F9FE" w14:textId="77777777" w:rsidR="00C54EB6" w:rsidRPr="004A4BC9" w:rsidRDefault="00C54EB6" w:rsidP="00C54EB6">
            <w:pPr>
              <w:spacing w:before="0" w:after="0"/>
              <w:ind w:firstLineChars="200" w:firstLine="400"/>
              <w:rPr>
                <w:rFonts w:ascii="Calibri" w:hAnsi="Calibri" w:cs="Calibri"/>
                <w:iCs/>
                <w:color w:val="000000"/>
                <w:sz w:val="20"/>
              </w:rPr>
            </w:pPr>
            <w:r w:rsidRPr="004A4BC9">
              <w:rPr>
                <w:rFonts w:ascii="Calibri" w:hAnsi="Calibri" w:cs="Calibri"/>
                <w:iCs/>
                <w:color w:val="000000"/>
                <w:sz w:val="20"/>
              </w:rPr>
              <w:t>Domestic final demand (Aus) (sa)</w:t>
            </w:r>
          </w:p>
        </w:tc>
        <w:tc>
          <w:tcPr>
            <w:tcW w:w="938" w:type="dxa"/>
            <w:vAlign w:val="center"/>
          </w:tcPr>
          <w:p w14:paraId="4F376DDF" w14:textId="4C64BC20" w:rsidR="00C54EB6" w:rsidRPr="0048769F" w:rsidRDefault="00F96702" w:rsidP="00CB1326">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48769F">
              <w:rPr>
                <w:rFonts w:ascii="Calibri" w:hAnsi="Calibri" w:cs="Calibri"/>
                <w:color w:val="000000"/>
                <w:sz w:val="20"/>
              </w:rPr>
              <w:t>Sep</w:t>
            </w:r>
            <w:r w:rsidR="00CF1103" w:rsidRPr="0048769F">
              <w:rPr>
                <w:rFonts w:ascii="Calibri" w:hAnsi="Calibri" w:cs="Calibri"/>
                <w:color w:val="000000"/>
                <w:sz w:val="20"/>
              </w:rPr>
              <w:t>-23</w:t>
            </w:r>
          </w:p>
        </w:tc>
        <w:tc>
          <w:tcPr>
            <w:tcW w:w="1271" w:type="dxa"/>
            <w:vAlign w:val="center"/>
          </w:tcPr>
          <w:p w14:paraId="1C7EF3BB" w14:textId="304F93BE" w:rsidR="00C54EB6" w:rsidRPr="0048769F" w:rsidRDefault="00CF1103" w:rsidP="00F96702">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48769F">
              <w:rPr>
                <w:rFonts w:ascii="Calibri" w:hAnsi="Calibri" w:cs="Calibri"/>
                <w:color w:val="000000"/>
                <w:sz w:val="20"/>
              </w:rPr>
              <w:t>5</w:t>
            </w:r>
            <w:r w:rsidR="00F96702" w:rsidRPr="0048769F">
              <w:rPr>
                <w:rFonts w:ascii="Calibri" w:hAnsi="Calibri" w:cs="Calibri"/>
                <w:color w:val="000000"/>
                <w:sz w:val="20"/>
              </w:rPr>
              <w:t>75</w:t>
            </w:r>
            <w:r w:rsidRPr="0048769F">
              <w:rPr>
                <w:rFonts w:ascii="Calibri" w:hAnsi="Calibri" w:cs="Calibri"/>
                <w:color w:val="000000"/>
                <w:sz w:val="20"/>
              </w:rPr>
              <w:t>.</w:t>
            </w:r>
            <w:r w:rsidR="00F96702" w:rsidRPr="0048769F">
              <w:rPr>
                <w:rFonts w:ascii="Calibri" w:hAnsi="Calibri" w:cs="Calibri"/>
                <w:color w:val="000000"/>
                <w:sz w:val="20"/>
              </w:rPr>
              <w:t>376</w:t>
            </w:r>
          </w:p>
        </w:tc>
        <w:tc>
          <w:tcPr>
            <w:tcW w:w="1083" w:type="dxa"/>
            <w:vAlign w:val="center"/>
          </w:tcPr>
          <w:p w14:paraId="4D59201A" w14:textId="1008C6A5" w:rsidR="00C54EB6" w:rsidRPr="0048769F" w:rsidRDefault="00CF1103" w:rsidP="00F96702">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48769F">
              <w:rPr>
                <w:rFonts w:ascii="Calibri" w:hAnsi="Calibri" w:cs="Calibri"/>
                <w:color w:val="000000"/>
                <w:sz w:val="20"/>
              </w:rPr>
              <w:t>0.</w:t>
            </w:r>
            <w:r w:rsidR="00F96702" w:rsidRPr="0048769F">
              <w:rPr>
                <w:rFonts w:ascii="Calibri" w:hAnsi="Calibri" w:cs="Calibri"/>
                <w:color w:val="000000"/>
                <w:sz w:val="20"/>
              </w:rPr>
              <w:t>5</w:t>
            </w:r>
            <w:r w:rsidRPr="0048769F">
              <w:rPr>
                <w:rFonts w:ascii="Calibri" w:hAnsi="Calibri" w:cs="Calibri"/>
                <w:color w:val="000000"/>
                <w:sz w:val="20"/>
              </w:rPr>
              <w:t>%</w:t>
            </w:r>
          </w:p>
        </w:tc>
        <w:tc>
          <w:tcPr>
            <w:tcW w:w="1076" w:type="dxa"/>
            <w:vAlign w:val="center"/>
          </w:tcPr>
          <w:p w14:paraId="6F31771C" w14:textId="4D1576F5" w:rsidR="00C54EB6" w:rsidRPr="0048769F" w:rsidRDefault="00CF1103"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48769F">
              <w:rPr>
                <w:rFonts w:ascii="Calibri" w:hAnsi="Calibri" w:cs="Calibri"/>
                <w:color w:val="000000"/>
                <w:sz w:val="20"/>
              </w:rPr>
              <w:t>2.2%</w:t>
            </w:r>
          </w:p>
        </w:tc>
        <w:tc>
          <w:tcPr>
            <w:tcW w:w="1055" w:type="dxa"/>
            <w:vAlign w:val="center"/>
          </w:tcPr>
          <w:p w14:paraId="57B35C11" w14:textId="67ED0472" w:rsidR="00C54EB6" w:rsidRPr="0048769F" w:rsidRDefault="00F96702" w:rsidP="00CB132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48769F">
              <w:rPr>
                <w:rFonts w:ascii="Calibri" w:hAnsi="Calibri" w:cs="Calibri"/>
                <w:color w:val="000000"/>
                <w:sz w:val="20"/>
              </w:rPr>
              <w:t>2.5</w:t>
            </w:r>
            <w:r w:rsidR="00CF1103" w:rsidRPr="0048769F">
              <w:rPr>
                <w:rFonts w:ascii="Calibri" w:hAnsi="Calibri" w:cs="Calibri"/>
                <w:color w:val="000000"/>
                <w:sz w:val="20"/>
              </w:rPr>
              <w:t>%</w:t>
            </w:r>
          </w:p>
        </w:tc>
        <w:tc>
          <w:tcPr>
            <w:tcW w:w="1435" w:type="dxa"/>
            <w:vAlign w:val="center"/>
          </w:tcPr>
          <w:p w14:paraId="16DFCB6D" w14:textId="7D10CC61" w:rsidR="00C54EB6" w:rsidRPr="004A4BC9" w:rsidRDefault="000C344D" w:rsidP="00F96702">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highlight w:val="yellow"/>
              </w:rPr>
            </w:pPr>
            <w:r w:rsidRPr="0048769F">
              <w:rPr>
                <w:rFonts w:ascii="Calibri" w:hAnsi="Calibri" w:cs="Calibri"/>
                <w:color w:val="000000"/>
                <w:sz w:val="20"/>
              </w:rPr>
              <w:t>1</w:t>
            </w:r>
            <w:r w:rsidR="00F96702" w:rsidRPr="0048769F">
              <w:rPr>
                <w:rFonts w:ascii="Calibri" w:hAnsi="Calibri" w:cs="Calibri"/>
                <w:color w:val="000000"/>
                <w:sz w:val="20"/>
              </w:rPr>
              <w:t>1</w:t>
            </w:r>
            <w:r w:rsidRPr="0048769F">
              <w:rPr>
                <w:rFonts w:ascii="Calibri" w:hAnsi="Calibri" w:cs="Calibri"/>
                <w:color w:val="000000"/>
                <w:sz w:val="20"/>
              </w:rPr>
              <w:t>.4</w:t>
            </w:r>
            <w:r w:rsidR="00CF1103" w:rsidRPr="0048769F">
              <w:rPr>
                <w:rFonts w:ascii="Calibri" w:hAnsi="Calibri" w:cs="Calibri"/>
                <w:color w:val="000000"/>
                <w:sz w:val="20"/>
              </w:rPr>
              <w:t>%</w:t>
            </w:r>
          </w:p>
        </w:tc>
      </w:tr>
      <w:tr w:rsidR="00797CA2" w:rsidRPr="00797CA2" w14:paraId="3BF346B9" w14:textId="77777777" w:rsidTr="00BE289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F2F2F2" w:themeFill="background1" w:themeFillShade="F2"/>
            <w:vAlign w:val="center"/>
          </w:tcPr>
          <w:p w14:paraId="62E3F11E" w14:textId="77777777" w:rsidR="00DC1968" w:rsidRPr="004A4BC9" w:rsidRDefault="00DC1968" w:rsidP="00EB7ACC">
            <w:pPr>
              <w:tabs>
                <w:tab w:val="left" w:pos="630"/>
              </w:tabs>
              <w:spacing w:before="0" w:after="0"/>
              <w:ind w:firstLineChars="200" w:firstLine="400"/>
              <w:rPr>
                <w:rFonts w:ascii="Calibri" w:hAnsi="Calibri" w:cs="Calibri"/>
                <w:iCs/>
                <w:color w:val="000000"/>
                <w:sz w:val="20"/>
              </w:rPr>
            </w:pPr>
            <w:r w:rsidRPr="004A4BC9">
              <w:rPr>
                <w:rFonts w:ascii="Calibri" w:hAnsi="Calibri" w:cs="Calibri"/>
                <w:iCs/>
                <w:color w:val="000000"/>
                <w:sz w:val="20"/>
              </w:rPr>
              <w:tab/>
              <w:t>Consumption</w:t>
            </w:r>
          </w:p>
        </w:tc>
        <w:tc>
          <w:tcPr>
            <w:tcW w:w="938" w:type="dxa"/>
            <w:shd w:val="clear" w:color="auto" w:fill="F2F2F2" w:themeFill="background1" w:themeFillShade="F2"/>
            <w:vAlign w:val="center"/>
          </w:tcPr>
          <w:p w14:paraId="5DA6044F" w14:textId="77777777" w:rsidR="00DC1968" w:rsidRPr="004A4BC9" w:rsidRDefault="00DC1968" w:rsidP="00EB7AC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highlight w:val="yellow"/>
              </w:rPr>
            </w:pPr>
          </w:p>
        </w:tc>
        <w:tc>
          <w:tcPr>
            <w:tcW w:w="1271" w:type="dxa"/>
            <w:shd w:val="clear" w:color="auto" w:fill="F2F2F2" w:themeFill="background1" w:themeFillShade="F2"/>
            <w:vAlign w:val="center"/>
          </w:tcPr>
          <w:p w14:paraId="45002091" w14:textId="6AE5027F" w:rsidR="00DC1968" w:rsidRPr="0048769F" w:rsidDel="001E6821" w:rsidRDefault="00CF1103" w:rsidP="00F96702">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48769F">
              <w:rPr>
                <w:rFonts w:ascii="Calibri" w:hAnsi="Calibri" w:cs="Calibri"/>
                <w:color w:val="000000"/>
                <w:sz w:val="20"/>
              </w:rPr>
              <w:t>4</w:t>
            </w:r>
            <w:r w:rsidR="00F96702" w:rsidRPr="0048769F">
              <w:rPr>
                <w:rFonts w:ascii="Calibri" w:hAnsi="Calibri" w:cs="Calibri"/>
                <w:color w:val="000000"/>
                <w:sz w:val="20"/>
              </w:rPr>
              <w:t>31</w:t>
            </w:r>
            <w:r w:rsidRPr="0048769F">
              <w:rPr>
                <w:rFonts w:ascii="Calibri" w:hAnsi="Calibri" w:cs="Calibri"/>
                <w:color w:val="000000"/>
                <w:sz w:val="20"/>
              </w:rPr>
              <w:t>.</w:t>
            </w:r>
            <w:r w:rsidR="00F96702" w:rsidRPr="0048769F">
              <w:rPr>
                <w:rFonts w:ascii="Calibri" w:hAnsi="Calibri" w:cs="Calibri"/>
                <w:color w:val="000000"/>
                <w:sz w:val="20"/>
              </w:rPr>
              <w:t>556</w:t>
            </w:r>
          </w:p>
        </w:tc>
        <w:tc>
          <w:tcPr>
            <w:tcW w:w="1083" w:type="dxa"/>
            <w:shd w:val="clear" w:color="auto" w:fill="F2F2F2" w:themeFill="background1" w:themeFillShade="F2"/>
            <w:vAlign w:val="center"/>
          </w:tcPr>
          <w:p w14:paraId="30EE3AA9" w14:textId="06905424" w:rsidR="00DC1968" w:rsidRPr="0048769F" w:rsidRDefault="00CF1103" w:rsidP="00F96702">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48769F">
              <w:rPr>
                <w:rFonts w:ascii="Calibri" w:hAnsi="Calibri" w:cs="Calibri"/>
                <w:color w:val="000000"/>
                <w:sz w:val="20"/>
              </w:rPr>
              <w:t>0.</w:t>
            </w:r>
            <w:r w:rsidR="00F96702" w:rsidRPr="0048769F">
              <w:rPr>
                <w:rFonts w:ascii="Calibri" w:hAnsi="Calibri" w:cs="Calibri"/>
                <w:color w:val="000000"/>
                <w:sz w:val="20"/>
              </w:rPr>
              <w:t>4</w:t>
            </w:r>
            <w:r w:rsidRPr="0048769F">
              <w:rPr>
                <w:rFonts w:ascii="Calibri" w:hAnsi="Calibri" w:cs="Calibri"/>
                <w:color w:val="000000"/>
                <w:sz w:val="20"/>
              </w:rPr>
              <w:t>%</w:t>
            </w:r>
          </w:p>
        </w:tc>
        <w:tc>
          <w:tcPr>
            <w:tcW w:w="1076" w:type="dxa"/>
            <w:shd w:val="clear" w:color="auto" w:fill="F2F2F2" w:themeFill="background1" w:themeFillShade="F2"/>
            <w:vAlign w:val="center"/>
          </w:tcPr>
          <w:p w14:paraId="3E4D3305" w14:textId="1A028F5B" w:rsidR="00DC1968" w:rsidRPr="0048769F" w:rsidRDefault="00CF1103" w:rsidP="00F96702">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48769F">
              <w:rPr>
                <w:rFonts w:ascii="Calibri" w:hAnsi="Calibri" w:cs="Calibri"/>
                <w:color w:val="000000"/>
                <w:sz w:val="20"/>
              </w:rPr>
              <w:t>1.</w:t>
            </w:r>
            <w:r w:rsidR="00F96702" w:rsidRPr="0048769F">
              <w:rPr>
                <w:rFonts w:ascii="Calibri" w:hAnsi="Calibri" w:cs="Calibri"/>
                <w:color w:val="000000"/>
                <w:sz w:val="20"/>
              </w:rPr>
              <w:t>0</w:t>
            </w:r>
            <w:r w:rsidRPr="0048769F">
              <w:rPr>
                <w:rFonts w:ascii="Calibri" w:hAnsi="Calibri" w:cs="Calibri"/>
                <w:color w:val="000000"/>
                <w:sz w:val="20"/>
              </w:rPr>
              <w:t>%</w:t>
            </w:r>
          </w:p>
        </w:tc>
        <w:tc>
          <w:tcPr>
            <w:tcW w:w="1055" w:type="dxa"/>
            <w:shd w:val="clear" w:color="auto" w:fill="F2F2F2" w:themeFill="background1" w:themeFillShade="F2"/>
            <w:vAlign w:val="center"/>
          </w:tcPr>
          <w:p w14:paraId="32AB278D" w14:textId="67EF55FC" w:rsidR="00DC1968" w:rsidRPr="00343100" w:rsidRDefault="00F96702" w:rsidP="00F96702">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43100">
              <w:rPr>
                <w:rFonts w:ascii="Calibri" w:hAnsi="Calibri" w:cs="Calibri"/>
                <w:color w:val="000000"/>
                <w:sz w:val="20"/>
              </w:rPr>
              <w:t>2</w:t>
            </w:r>
            <w:r w:rsidR="00CF1103" w:rsidRPr="00343100">
              <w:rPr>
                <w:rFonts w:ascii="Calibri" w:hAnsi="Calibri" w:cs="Calibri"/>
                <w:color w:val="000000"/>
                <w:sz w:val="20"/>
              </w:rPr>
              <w:t>.</w:t>
            </w:r>
            <w:r w:rsidR="0048769F" w:rsidRPr="00343100">
              <w:rPr>
                <w:rFonts w:ascii="Calibri" w:hAnsi="Calibri" w:cs="Calibri"/>
                <w:color w:val="000000"/>
                <w:sz w:val="20"/>
              </w:rPr>
              <w:t>1</w:t>
            </w:r>
            <w:r w:rsidR="00CF1103" w:rsidRPr="00343100">
              <w:rPr>
                <w:rFonts w:ascii="Calibri" w:hAnsi="Calibri" w:cs="Calibri"/>
                <w:color w:val="000000"/>
                <w:sz w:val="20"/>
              </w:rPr>
              <w:t>%</w:t>
            </w:r>
          </w:p>
        </w:tc>
        <w:tc>
          <w:tcPr>
            <w:tcW w:w="1435" w:type="dxa"/>
            <w:shd w:val="clear" w:color="auto" w:fill="F2F2F2" w:themeFill="background1" w:themeFillShade="F2"/>
            <w:vAlign w:val="center"/>
          </w:tcPr>
          <w:p w14:paraId="6B1912CE" w14:textId="17DDBF74" w:rsidR="00DC1968" w:rsidRPr="0048769F" w:rsidRDefault="000C344D" w:rsidP="00F96702">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48769F">
              <w:rPr>
                <w:rFonts w:ascii="Calibri" w:hAnsi="Calibri" w:cs="Calibri"/>
                <w:color w:val="000000"/>
                <w:sz w:val="20"/>
              </w:rPr>
              <w:t>10.</w:t>
            </w:r>
            <w:r w:rsidR="00F96702" w:rsidRPr="0048769F">
              <w:rPr>
                <w:rFonts w:ascii="Calibri" w:hAnsi="Calibri" w:cs="Calibri"/>
                <w:color w:val="000000"/>
                <w:sz w:val="20"/>
              </w:rPr>
              <w:t>5</w:t>
            </w:r>
            <w:r w:rsidR="00CF1103" w:rsidRPr="0048769F">
              <w:rPr>
                <w:rFonts w:ascii="Calibri" w:hAnsi="Calibri" w:cs="Calibri"/>
                <w:color w:val="000000"/>
                <w:sz w:val="20"/>
              </w:rPr>
              <w:t>%</w:t>
            </w:r>
          </w:p>
        </w:tc>
      </w:tr>
      <w:tr w:rsidR="00DC1968" w:rsidRPr="00797CA2" w14:paraId="7216D14E"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F2F2F2" w:themeFill="background1" w:themeFillShade="F2"/>
            <w:vAlign w:val="center"/>
          </w:tcPr>
          <w:p w14:paraId="7EECF19B" w14:textId="77777777" w:rsidR="00DC1968" w:rsidRPr="004A4BC9" w:rsidRDefault="00DC1968" w:rsidP="00EB7ACC">
            <w:pPr>
              <w:tabs>
                <w:tab w:val="left" w:pos="630"/>
              </w:tabs>
              <w:spacing w:before="0" w:after="0"/>
              <w:ind w:firstLineChars="200" w:firstLine="400"/>
              <w:rPr>
                <w:rFonts w:ascii="Calibri" w:hAnsi="Calibri" w:cs="Calibri"/>
                <w:iCs/>
                <w:color w:val="000000"/>
                <w:sz w:val="20"/>
              </w:rPr>
            </w:pPr>
            <w:r w:rsidRPr="004A4BC9">
              <w:rPr>
                <w:rFonts w:ascii="Calibri" w:hAnsi="Calibri" w:cs="Calibri"/>
                <w:iCs/>
                <w:color w:val="000000"/>
                <w:sz w:val="20"/>
              </w:rPr>
              <w:tab/>
              <w:t>Investment</w:t>
            </w:r>
          </w:p>
        </w:tc>
        <w:tc>
          <w:tcPr>
            <w:tcW w:w="938" w:type="dxa"/>
            <w:shd w:val="clear" w:color="auto" w:fill="F2F2F2" w:themeFill="background1" w:themeFillShade="F2"/>
            <w:vAlign w:val="center"/>
          </w:tcPr>
          <w:p w14:paraId="62FDD5AC" w14:textId="77777777" w:rsidR="00DC1968" w:rsidRPr="004A4BC9" w:rsidRDefault="00DC1968" w:rsidP="00EB7AC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highlight w:val="yellow"/>
              </w:rPr>
            </w:pPr>
          </w:p>
        </w:tc>
        <w:tc>
          <w:tcPr>
            <w:tcW w:w="1271" w:type="dxa"/>
            <w:shd w:val="clear" w:color="auto" w:fill="F2F2F2" w:themeFill="background1" w:themeFillShade="F2"/>
            <w:vAlign w:val="center"/>
          </w:tcPr>
          <w:p w14:paraId="3EFB05D2" w14:textId="259D6505" w:rsidR="00DC1968" w:rsidRPr="0048769F" w:rsidDel="001E6821" w:rsidRDefault="00CF1103" w:rsidP="00F96702">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48769F">
              <w:rPr>
                <w:rFonts w:ascii="Calibri" w:hAnsi="Calibri" w:cs="Calibri"/>
                <w:color w:val="000000"/>
                <w:sz w:val="20"/>
              </w:rPr>
              <w:t>1</w:t>
            </w:r>
            <w:r w:rsidR="00F96702" w:rsidRPr="0048769F">
              <w:rPr>
                <w:rFonts w:ascii="Calibri" w:hAnsi="Calibri" w:cs="Calibri"/>
                <w:color w:val="000000"/>
                <w:sz w:val="20"/>
              </w:rPr>
              <w:t>43</w:t>
            </w:r>
            <w:r w:rsidRPr="0048769F">
              <w:rPr>
                <w:rFonts w:ascii="Calibri" w:hAnsi="Calibri" w:cs="Calibri"/>
                <w:color w:val="000000"/>
                <w:sz w:val="20"/>
              </w:rPr>
              <w:t>.</w:t>
            </w:r>
            <w:r w:rsidR="00F96702" w:rsidRPr="0048769F">
              <w:rPr>
                <w:rFonts w:ascii="Calibri" w:hAnsi="Calibri" w:cs="Calibri"/>
                <w:color w:val="000000"/>
                <w:sz w:val="20"/>
              </w:rPr>
              <w:t>819</w:t>
            </w:r>
          </w:p>
        </w:tc>
        <w:tc>
          <w:tcPr>
            <w:tcW w:w="1083" w:type="dxa"/>
            <w:shd w:val="clear" w:color="auto" w:fill="F2F2F2" w:themeFill="background1" w:themeFillShade="F2"/>
            <w:vAlign w:val="center"/>
          </w:tcPr>
          <w:p w14:paraId="3F1B1711" w14:textId="5F449C79" w:rsidR="00DC1968" w:rsidRPr="0048769F" w:rsidRDefault="00F96702" w:rsidP="00EB7ACC">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48769F">
              <w:rPr>
                <w:rFonts w:ascii="Calibri" w:hAnsi="Calibri" w:cs="Calibri"/>
                <w:color w:val="000000"/>
                <w:sz w:val="20"/>
              </w:rPr>
              <w:t>1.1</w:t>
            </w:r>
            <w:r w:rsidR="00CF1103" w:rsidRPr="0048769F">
              <w:rPr>
                <w:rFonts w:ascii="Calibri" w:hAnsi="Calibri" w:cs="Calibri"/>
                <w:color w:val="000000"/>
                <w:sz w:val="20"/>
              </w:rPr>
              <w:t>%</w:t>
            </w:r>
          </w:p>
        </w:tc>
        <w:tc>
          <w:tcPr>
            <w:tcW w:w="1076" w:type="dxa"/>
            <w:shd w:val="clear" w:color="auto" w:fill="F2F2F2" w:themeFill="background1" w:themeFillShade="F2"/>
            <w:vAlign w:val="center"/>
          </w:tcPr>
          <w:p w14:paraId="0D50AF7C" w14:textId="2A664A0C" w:rsidR="00DC1968" w:rsidRPr="0048769F" w:rsidRDefault="00F96702" w:rsidP="00EB7ACC">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48769F">
              <w:rPr>
                <w:rFonts w:ascii="Calibri" w:hAnsi="Calibri" w:cs="Calibri"/>
                <w:color w:val="000000"/>
                <w:sz w:val="20"/>
              </w:rPr>
              <w:t>5.9</w:t>
            </w:r>
            <w:r w:rsidR="00CF1103" w:rsidRPr="0048769F">
              <w:rPr>
                <w:rFonts w:ascii="Calibri" w:hAnsi="Calibri" w:cs="Calibri"/>
                <w:color w:val="000000"/>
                <w:sz w:val="20"/>
              </w:rPr>
              <w:t>%</w:t>
            </w:r>
          </w:p>
        </w:tc>
        <w:tc>
          <w:tcPr>
            <w:tcW w:w="1055" w:type="dxa"/>
            <w:shd w:val="clear" w:color="auto" w:fill="F2F2F2" w:themeFill="background1" w:themeFillShade="F2"/>
            <w:vAlign w:val="center"/>
          </w:tcPr>
          <w:p w14:paraId="6B68E663" w14:textId="5754C7C1" w:rsidR="00DC1968" w:rsidRPr="00343100" w:rsidRDefault="0048769F" w:rsidP="00CB132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43100">
              <w:rPr>
                <w:rFonts w:ascii="Calibri" w:hAnsi="Calibri" w:cs="Calibri"/>
                <w:color w:val="000000"/>
                <w:sz w:val="20"/>
              </w:rPr>
              <w:t>3.7</w:t>
            </w:r>
            <w:r w:rsidR="00CF1103" w:rsidRPr="00343100">
              <w:rPr>
                <w:rFonts w:ascii="Calibri" w:hAnsi="Calibri" w:cs="Calibri"/>
                <w:color w:val="000000"/>
                <w:sz w:val="20"/>
              </w:rPr>
              <w:t>%</w:t>
            </w:r>
          </w:p>
        </w:tc>
        <w:tc>
          <w:tcPr>
            <w:tcW w:w="1435" w:type="dxa"/>
            <w:shd w:val="clear" w:color="auto" w:fill="F2F2F2" w:themeFill="background1" w:themeFillShade="F2"/>
            <w:vAlign w:val="center"/>
          </w:tcPr>
          <w:p w14:paraId="325B429A" w14:textId="67D7A26E" w:rsidR="00DC1968" w:rsidRPr="0048769F" w:rsidRDefault="00CF1103" w:rsidP="00F96702">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48769F">
              <w:rPr>
                <w:rFonts w:ascii="Calibri" w:hAnsi="Calibri" w:cs="Calibri"/>
                <w:color w:val="000000"/>
                <w:sz w:val="20"/>
              </w:rPr>
              <w:t>1</w:t>
            </w:r>
            <w:r w:rsidR="00F96702" w:rsidRPr="0048769F">
              <w:rPr>
                <w:rFonts w:ascii="Calibri" w:hAnsi="Calibri" w:cs="Calibri"/>
                <w:color w:val="000000"/>
                <w:sz w:val="20"/>
              </w:rPr>
              <w:t>4</w:t>
            </w:r>
            <w:r w:rsidR="000C344D" w:rsidRPr="0048769F">
              <w:rPr>
                <w:rFonts w:ascii="Calibri" w:hAnsi="Calibri" w:cs="Calibri"/>
                <w:color w:val="000000"/>
                <w:sz w:val="20"/>
              </w:rPr>
              <w:t>.</w:t>
            </w:r>
            <w:r w:rsidR="00F96702" w:rsidRPr="0048769F">
              <w:rPr>
                <w:rFonts w:ascii="Calibri" w:hAnsi="Calibri" w:cs="Calibri"/>
                <w:color w:val="000000"/>
                <w:sz w:val="20"/>
              </w:rPr>
              <w:t>3</w:t>
            </w:r>
            <w:r w:rsidRPr="0048769F">
              <w:rPr>
                <w:rFonts w:ascii="Calibri" w:hAnsi="Calibri" w:cs="Calibri"/>
                <w:color w:val="000000"/>
                <w:sz w:val="20"/>
              </w:rPr>
              <w:t>%</w:t>
            </w:r>
          </w:p>
        </w:tc>
      </w:tr>
      <w:tr w:rsidR="00B243D8" w:rsidRPr="00797CA2" w14:paraId="34DF0667" w14:textId="77777777" w:rsidTr="00BF2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4783A1F0" w14:textId="77777777" w:rsidR="00C54EB6" w:rsidRPr="004A4BC9" w:rsidRDefault="00C54EB6" w:rsidP="00C54EB6">
            <w:pPr>
              <w:spacing w:before="0" w:after="0"/>
              <w:ind w:firstLineChars="200" w:firstLine="400"/>
              <w:rPr>
                <w:rFonts w:ascii="Calibri" w:hAnsi="Calibri" w:cs="Calibri"/>
                <w:iCs/>
                <w:color w:val="000000"/>
                <w:sz w:val="20"/>
              </w:rPr>
            </w:pPr>
            <w:r w:rsidRPr="004A4BC9">
              <w:rPr>
                <w:rFonts w:ascii="Calibri" w:hAnsi="Calibri" w:cs="Calibri"/>
                <w:iCs/>
                <w:color w:val="000000"/>
                <w:sz w:val="20"/>
              </w:rPr>
              <w:t>Gross state product (NT)</w:t>
            </w:r>
          </w:p>
        </w:tc>
        <w:tc>
          <w:tcPr>
            <w:tcW w:w="938" w:type="dxa"/>
            <w:shd w:val="clear" w:color="auto" w:fill="auto"/>
            <w:vAlign w:val="center"/>
          </w:tcPr>
          <w:p w14:paraId="1FE84603" w14:textId="64B30DE2" w:rsidR="00C54EB6" w:rsidRPr="00C943CD" w:rsidRDefault="00CF1103" w:rsidP="00F96702">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C943CD">
              <w:rPr>
                <w:rFonts w:ascii="Calibri" w:hAnsi="Calibri" w:cs="Calibri"/>
                <w:color w:val="000000"/>
                <w:sz w:val="20"/>
              </w:rPr>
              <w:t>202</w:t>
            </w:r>
            <w:r w:rsidR="00F96702" w:rsidRPr="00C943CD">
              <w:rPr>
                <w:rFonts w:ascii="Calibri" w:hAnsi="Calibri" w:cs="Calibri"/>
                <w:color w:val="000000"/>
                <w:sz w:val="20"/>
              </w:rPr>
              <w:t>2</w:t>
            </w:r>
            <w:r w:rsidRPr="00C943CD">
              <w:rPr>
                <w:rFonts w:ascii="Calibri" w:hAnsi="Calibri" w:cs="Calibri"/>
                <w:color w:val="000000"/>
                <w:sz w:val="20"/>
              </w:rPr>
              <w:t>-2</w:t>
            </w:r>
            <w:r w:rsidR="00F96702" w:rsidRPr="00C943CD">
              <w:rPr>
                <w:rFonts w:ascii="Calibri" w:hAnsi="Calibri" w:cs="Calibri"/>
                <w:color w:val="000000"/>
                <w:sz w:val="20"/>
              </w:rPr>
              <w:t>3</w:t>
            </w:r>
          </w:p>
        </w:tc>
        <w:tc>
          <w:tcPr>
            <w:tcW w:w="1271" w:type="dxa"/>
            <w:shd w:val="clear" w:color="auto" w:fill="auto"/>
            <w:vAlign w:val="center"/>
          </w:tcPr>
          <w:p w14:paraId="2CD2A20E" w14:textId="7F104075" w:rsidR="00C54EB6" w:rsidRPr="001D7BC6" w:rsidRDefault="00F96702" w:rsidP="00F96702">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1D7BC6">
              <w:rPr>
                <w:rFonts w:ascii="Calibri" w:hAnsi="Calibri" w:cs="Calibri"/>
                <w:color w:val="000000"/>
                <w:sz w:val="20"/>
              </w:rPr>
              <w:t>30</w:t>
            </w:r>
            <w:r w:rsidR="00CF1103" w:rsidRPr="001D7BC6">
              <w:rPr>
                <w:rFonts w:ascii="Calibri" w:hAnsi="Calibri" w:cs="Calibri"/>
                <w:color w:val="000000"/>
                <w:sz w:val="20"/>
              </w:rPr>
              <w:t>.</w:t>
            </w:r>
            <w:r w:rsidRPr="001D7BC6">
              <w:rPr>
                <w:rFonts w:ascii="Calibri" w:hAnsi="Calibri" w:cs="Calibri"/>
                <w:color w:val="000000"/>
                <w:sz w:val="20"/>
              </w:rPr>
              <w:t>123</w:t>
            </w:r>
          </w:p>
        </w:tc>
        <w:tc>
          <w:tcPr>
            <w:tcW w:w="1083" w:type="dxa"/>
            <w:shd w:val="clear" w:color="auto" w:fill="auto"/>
            <w:vAlign w:val="center"/>
          </w:tcPr>
          <w:p w14:paraId="279FB912" w14:textId="106AA81F" w:rsidR="00C54EB6" w:rsidRPr="001D7BC6" w:rsidRDefault="00CF1103"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1D7BC6">
              <w:rPr>
                <w:rFonts w:ascii="Calibri" w:hAnsi="Calibri" w:cs="Calibri"/>
                <w:color w:val="000000"/>
                <w:sz w:val="20"/>
              </w:rPr>
              <w:t>na</w:t>
            </w:r>
          </w:p>
        </w:tc>
        <w:tc>
          <w:tcPr>
            <w:tcW w:w="1076" w:type="dxa"/>
            <w:shd w:val="clear" w:color="auto" w:fill="auto"/>
            <w:vAlign w:val="center"/>
          </w:tcPr>
          <w:p w14:paraId="358BB40B" w14:textId="0CB51C8D" w:rsidR="00C54EB6" w:rsidRPr="001D7BC6" w:rsidRDefault="00CF1103"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1D7BC6">
              <w:rPr>
                <w:rFonts w:ascii="Calibri" w:hAnsi="Calibri" w:cs="Calibri"/>
                <w:color w:val="000000"/>
                <w:sz w:val="20"/>
              </w:rPr>
              <w:t xml:space="preserve">na </w:t>
            </w:r>
          </w:p>
        </w:tc>
        <w:tc>
          <w:tcPr>
            <w:tcW w:w="1055" w:type="dxa"/>
            <w:shd w:val="clear" w:color="auto" w:fill="auto"/>
            <w:vAlign w:val="center"/>
          </w:tcPr>
          <w:p w14:paraId="4B86CEEE" w14:textId="7CC67EE7" w:rsidR="00C54EB6" w:rsidRPr="001D7BC6" w:rsidRDefault="00F96702"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1D7BC6">
              <w:rPr>
                <w:rFonts w:ascii="Calibri" w:hAnsi="Calibri" w:cs="Calibri"/>
                <w:color w:val="000000"/>
                <w:sz w:val="20"/>
              </w:rPr>
              <w:t>-5.2</w:t>
            </w:r>
            <w:r w:rsidR="00CF1103" w:rsidRPr="001D7BC6">
              <w:rPr>
                <w:rFonts w:ascii="Calibri" w:hAnsi="Calibri" w:cs="Calibri"/>
                <w:color w:val="000000"/>
                <w:sz w:val="20"/>
              </w:rPr>
              <w:t>%</w:t>
            </w:r>
          </w:p>
        </w:tc>
        <w:tc>
          <w:tcPr>
            <w:tcW w:w="1435" w:type="dxa"/>
            <w:shd w:val="clear" w:color="auto" w:fill="auto"/>
            <w:vAlign w:val="center"/>
          </w:tcPr>
          <w:p w14:paraId="0DBD5E80" w14:textId="3A7EEBCA" w:rsidR="00C54EB6" w:rsidRPr="001D7BC6" w:rsidRDefault="00CF1103" w:rsidP="00720F41">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1D7BC6">
              <w:rPr>
                <w:rFonts w:ascii="Calibri" w:hAnsi="Calibri" w:cs="Calibri"/>
                <w:color w:val="000000"/>
                <w:sz w:val="20"/>
              </w:rPr>
              <w:t xml:space="preserve">na </w:t>
            </w:r>
          </w:p>
        </w:tc>
      </w:tr>
      <w:tr w:rsidR="00B243D8" w:rsidRPr="00797CA2" w14:paraId="6954DEE5"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6B057635" w14:textId="4A126B58" w:rsidR="00937C11" w:rsidRPr="004A4BC9" w:rsidRDefault="00720F41" w:rsidP="00937C11">
            <w:pPr>
              <w:spacing w:before="0" w:after="0"/>
              <w:ind w:firstLineChars="200" w:firstLine="400"/>
              <w:rPr>
                <w:rFonts w:ascii="Calibri" w:hAnsi="Calibri" w:cs="Calibri"/>
                <w:iCs/>
                <w:color w:val="000000"/>
                <w:sz w:val="20"/>
              </w:rPr>
            </w:pPr>
            <w:r w:rsidRPr="004A4BC9">
              <w:rPr>
                <w:rFonts w:ascii="Calibri" w:hAnsi="Calibri" w:cs="Calibri"/>
                <w:iCs/>
                <w:color w:val="000000"/>
                <w:sz w:val="20"/>
              </w:rPr>
              <w:t>Gross domestic product (Aus</w:t>
            </w:r>
            <w:r w:rsidR="00937C11" w:rsidRPr="004A4BC9">
              <w:rPr>
                <w:rFonts w:ascii="Calibri" w:hAnsi="Calibri" w:cs="Calibri"/>
                <w:iCs/>
                <w:color w:val="000000"/>
                <w:sz w:val="20"/>
              </w:rPr>
              <w:t>)</w:t>
            </w:r>
          </w:p>
        </w:tc>
        <w:tc>
          <w:tcPr>
            <w:tcW w:w="938" w:type="dxa"/>
            <w:vAlign w:val="center"/>
          </w:tcPr>
          <w:p w14:paraId="4B94B275" w14:textId="242A7A35" w:rsidR="00937C11" w:rsidRPr="00C943CD" w:rsidRDefault="00934BDD" w:rsidP="00937C11">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943CD">
              <w:rPr>
                <w:rFonts w:ascii="Calibri" w:hAnsi="Calibri" w:cs="Calibri"/>
                <w:color w:val="000000"/>
                <w:sz w:val="20"/>
              </w:rPr>
              <w:t>2022-23</w:t>
            </w:r>
          </w:p>
        </w:tc>
        <w:tc>
          <w:tcPr>
            <w:tcW w:w="1271" w:type="dxa"/>
            <w:vAlign w:val="center"/>
          </w:tcPr>
          <w:p w14:paraId="228F1F3A" w14:textId="18484D5F" w:rsidR="00937C11" w:rsidRPr="004A4BC9" w:rsidRDefault="00F96702" w:rsidP="001D7BC6">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highlight w:val="yellow"/>
              </w:rPr>
            </w:pPr>
            <w:r w:rsidRPr="00343100">
              <w:rPr>
                <w:rFonts w:ascii="Calibri" w:hAnsi="Calibri" w:cs="Calibri"/>
                <w:color w:val="000000"/>
                <w:sz w:val="20"/>
              </w:rPr>
              <w:t>2405</w:t>
            </w:r>
            <w:r w:rsidR="00934BDD" w:rsidRPr="00343100">
              <w:rPr>
                <w:rFonts w:ascii="Calibri" w:hAnsi="Calibri" w:cs="Calibri"/>
                <w:color w:val="000000"/>
                <w:sz w:val="20"/>
              </w:rPr>
              <w:t>.</w:t>
            </w:r>
            <w:r w:rsidR="001D7BC6" w:rsidRPr="00343100">
              <w:rPr>
                <w:rFonts w:ascii="Calibri" w:hAnsi="Calibri" w:cs="Calibri"/>
                <w:color w:val="000000"/>
                <w:sz w:val="20"/>
              </w:rPr>
              <w:t>101</w:t>
            </w:r>
          </w:p>
        </w:tc>
        <w:tc>
          <w:tcPr>
            <w:tcW w:w="1083" w:type="dxa"/>
            <w:vAlign w:val="center"/>
          </w:tcPr>
          <w:p w14:paraId="67ADBD0C" w14:textId="7AB3AC27" w:rsidR="00937C11" w:rsidRPr="001D7BC6" w:rsidRDefault="001C0CA4"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1D7BC6">
              <w:rPr>
                <w:rFonts w:ascii="Calibri" w:hAnsi="Calibri" w:cs="Calibri"/>
                <w:color w:val="000000"/>
                <w:sz w:val="20"/>
              </w:rPr>
              <w:t>na</w:t>
            </w:r>
          </w:p>
        </w:tc>
        <w:tc>
          <w:tcPr>
            <w:tcW w:w="1076" w:type="dxa"/>
            <w:vAlign w:val="center"/>
          </w:tcPr>
          <w:p w14:paraId="0F3A726B" w14:textId="49568E02" w:rsidR="00937C11" w:rsidRPr="001D7BC6" w:rsidRDefault="001C0CA4"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1D7BC6">
              <w:rPr>
                <w:rFonts w:ascii="Calibri" w:hAnsi="Calibri" w:cs="Calibri"/>
                <w:color w:val="000000"/>
                <w:sz w:val="20"/>
              </w:rPr>
              <w:t>na</w:t>
            </w:r>
            <w:r w:rsidR="00CF1103" w:rsidRPr="001D7BC6">
              <w:rPr>
                <w:rFonts w:ascii="Calibri" w:hAnsi="Calibri" w:cs="Calibri"/>
                <w:color w:val="000000"/>
                <w:sz w:val="20"/>
              </w:rPr>
              <w:t xml:space="preserve"> </w:t>
            </w:r>
          </w:p>
        </w:tc>
        <w:tc>
          <w:tcPr>
            <w:tcW w:w="1055" w:type="dxa"/>
            <w:vAlign w:val="center"/>
          </w:tcPr>
          <w:p w14:paraId="50442C6A" w14:textId="7C50204A" w:rsidR="00937C11" w:rsidRPr="004A4BC9" w:rsidRDefault="00CF1103" w:rsidP="00F96702">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highlight w:val="yellow"/>
              </w:rPr>
            </w:pPr>
            <w:r w:rsidRPr="001D7BC6">
              <w:rPr>
                <w:rFonts w:ascii="Calibri" w:hAnsi="Calibri" w:cs="Calibri"/>
                <w:color w:val="000000"/>
                <w:sz w:val="20"/>
              </w:rPr>
              <w:t>3.</w:t>
            </w:r>
            <w:r w:rsidR="00F96702" w:rsidRPr="001D7BC6">
              <w:rPr>
                <w:rFonts w:ascii="Calibri" w:hAnsi="Calibri" w:cs="Calibri"/>
                <w:color w:val="000000"/>
                <w:sz w:val="20"/>
              </w:rPr>
              <w:t>1</w:t>
            </w:r>
            <w:r w:rsidRPr="001D7BC6">
              <w:rPr>
                <w:rFonts w:ascii="Calibri" w:hAnsi="Calibri" w:cs="Calibri"/>
                <w:color w:val="000000"/>
                <w:sz w:val="20"/>
              </w:rPr>
              <w:t>%</w:t>
            </w:r>
          </w:p>
        </w:tc>
        <w:tc>
          <w:tcPr>
            <w:tcW w:w="1435" w:type="dxa"/>
            <w:vAlign w:val="center"/>
          </w:tcPr>
          <w:p w14:paraId="6268CB87" w14:textId="3F11DCCB" w:rsidR="00937C11" w:rsidRPr="001D7BC6" w:rsidRDefault="001C0CA4" w:rsidP="00720F41">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1D7BC6">
              <w:rPr>
                <w:rFonts w:ascii="Calibri" w:hAnsi="Calibri" w:cs="Calibri"/>
                <w:color w:val="000000"/>
                <w:sz w:val="20"/>
              </w:rPr>
              <w:t>na</w:t>
            </w:r>
          </w:p>
        </w:tc>
      </w:tr>
      <w:tr w:rsidR="00B243D8" w:rsidRPr="004A4BC9" w14:paraId="4AB58135" w14:textId="77777777" w:rsidTr="00BE289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77F7E3C2" w14:textId="77777777" w:rsidR="004F7E54" w:rsidRPr="004A4BC9" w:rsidRDefault="004F7E54" w:rsidP="00BE2895">
            <w:pPr>
              <w:spacing w:before="20" w:after="20"/>
              <w:rPr>
                <w:rFonts w:ascii="Calibri" w:hAnsi="Calibri" w:cs="Calibri"/>
                <w:b/>
                <w:bCs/>
                <w:color w:val="000000"/>
                <w:sz w:val="20"/>
              </w:rPr>
            </w:pPr>
            <w:r w:rsidRPr="004A4BC9">
              <w:rPr>
                <w:rFonts w:ascii="Calibri" w:hAnsi="Calibri" w:cs="Calibri"/>
                <w:b/>
                <w:bCs/>
                <w:color w:val="000000"/>
                <w:sz w:val="20"/>
              </w:rPr>
              <w:t>Partial Indicators</w:t>
            </w:r>
          </w:p>
        </w:tc>
        <w:tc>
          <w:tcPr>
            <w:tcW w:w="938" w:type="dxa"/>
            <w:vAlign w:val="center"/>
          </w:tcPr>
          <w:p w14:paraId="7BE9913E" w14:textId="77777777" w:rsidR="004F7E54" w:rsidRPr="004A4BC9" w:rsidRDefault="004F7E54" w:rsidP="00BE2895">
            <w:pPr>
              <w:spacing w:before="20" w:after="2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4A4BC9">
              <w:rPr>
                <w:rFonts w:ascii="Calibri" w:hAnsi="Calibri" w:cs="Calibri"/>
                <w:color w:val="000000"/>
                <w:sz w:val="20"/>
              </w:rPr>
              <w:t> </w:t>
            </w:r>
          </w:p>
        </w:tc>
        <w:tc>
          <w:tcPr>
            <w:tcW w:w="1271" w:type="dxa"/>
            <w:vAlign w:val="center"/>
          </w:tcPr>
          <w:p w14:paraId="4A75FCD2" w14:textId="72F760BB" w:rsidR="004F7E54" w:rsidRPr="004A4BC9" w:rsidRDefault="001034F8" w:rsidP="00BE2895">
            <w:pPr>
              <w:spacing w:before="20" w:after="2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sz w:val="20"/>
              </w:rPr>
            </w:pPr>
            <w:r w:rsidRPr="004A4BC9">
              <w:rPr>
                <w:rFonts w:ascii="Calibri" w:hAnsi="Calibri" w:cs="Calibri"/>
                <w:b/>
                <w:color w:val="000000"/>
                <w:sz w:val="20"/>
              </w:rPr>
              <w:t>$B</w:t>
            </w:r>
          </w:p>
        </w:tc>
        <w:tc>
          <w:tcPr>
            <w:tcW w:w="1083" w:type="dxa"/>
            <w:vAlign w:val="center"/>
          </w:tcPr>
          <w:p w14:paraId="2B70E386" w14:textId="77777777" w:rsidR="004F7E54" w:rsidRPr="004A4BC9"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4A4BC9">
              <w:rPr>
                <w:rFonts w:ascii="Calibri" w:hAnsi="Calibri" w:cs="Calibri"/>
                <w:color w:val="000000"/>
                <w:sz w:val="20"/>
              </w:rPr>
              <w:t> </w:t>
            </w:r>
          </w:p>
        </w:tc>
        <w:tc>
          <w:tcPr>
            <w:tcW w:w="1076" w:type="dxa"/>
            <w:vAlign w:val="center"/>
          </w:tcPr>
          <w:p w14:paraId="24D5605A" w14:textId="77777777" w:rsidR="004F7E54" w:rsidRPr="004A4BC9"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4A4BC9">
              <w:rPr>
                <w:rFonts w:ascii="Calibri" w:hAnsi="Calibri" w:cs="Calibri"/>
                <w:color w:val="000000"/>
                <w:sz w:val="20"/>
              </w:rPr>
              <w:t> </w:t>
            </w:r>
          </w:p>
        </w:tc>
        <w:tc>
          <w:tcPr>
            <w:tcW w:w="1055" w:type="dxa"/>
            <w:vAlign w:val="center"/>
          </w:tcPr>
          <w:p w14:paraId="28DE19EA" w14:textId="77777777" w:rsidR="004F7E54" w:rsidRPr="004A4BC9"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4A4BC9">
              <w:rPr>
                <w:rFonts w:ascii="Calibri" w:hAnsi="Calibri" w:cs="Calibri"/>
                <w:color w:val="000000"/>
                <w:sz w:val="20"/>
              </w:rPr>
              <w:t> </w:t>
            </w:r>
          </w:p>
        </w:tc>
        <w:tc>
          <w:tcPr>
            <w:tcW w:w="1435" w:type="dxa"/>
            <w:vAlign w:val="center"/>
          </w:tcPr>
          <w:p w14:paraId="6B94E8D7" w14:textId="77777777" w:rsidR="004F7E54" w:rsidRPr="004A4BC9" w:rsidRDefault="004F7E54" w:rsidP="00BE2895">
            <w:pPr>
              <w:spacing w:before="20" w:after="2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4A4BC9">
              <w:rPr>
                <w:rFonts w:ascii="Calibri" w:hAnsi="Calibri" w:cs="Calibri"/>
                <w:color w:val="000000"/>
                <w:sz w:val="20"/>
              </w:rPr>
              <w:t> </w:t>
            </w:r>
          </w:p>
        </w:tc>
      </w:tr>
      <w:tr w:rsidR="00B243D8" w:rsidRPr="00797CA2" w14:paraId="30F57EF8"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302AA6E5" w14:textId="77777777" w:rsidR="00D76F16" w:rsidRPr="004A4BC9" w:rsidRDefault="00D76F16" w:rsidP="00D76F16">
            <w:pPr>
              <w:spacing w:before="0" w:after="0"/>
              <w:ind w:firstLineChars="200" w:firstLine="400"/>
              <w:rPr>
                <w:rFonts w:ascii="Calibri" w:hAnsi="Calibri" w:cs="Calibri"/>
                <w:iCs/>
                <w:color w:val="000000"/>
                <w:sz w:val="20"/>
              </w:rPr>
            </w:pPr>
            <w:r w:rsidRPr="004A4BC9">
              <w:rPr>
                <w:rFonts w:ascii="Calibri" w:hAnsi="Calibri" w:cs="Calibri"/>
                <w:iCs/>
                <w:color w:val="000000"/>
                <w:sz w:val="20"/>
              </w:rPr>
              <w:t>Nominal retail sales (NT) (sa)</w:t>
            </w:r>
          </w:p>
        </w:tc>
        <w:tc>
          <w:tcPr>
            <w:tcW w:w="938" w:type="dxa"/>
            <w:vAlign w:val="center"/>
          </w:tcPr>
          <w:p w14:paraId="6F517475" w14:textId="5B2F0237" w:rsidR="00D76F16" w:rsidRPr="0067646E" w:rsidRDefault="00F96702" w:rsidP="00D76F16">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67646E">
              <w:rPr>
                <w:rFonts w:ascii="Calibri" w:hAnsi="Calibri" w:cs="Calibri"/>
                <w:color w:val="000000"/>
                <w:sz w:val="20"/>
              </w:rPr>
              <w:t>Oct</w:t>
            </w:r>
            <w:r w:rsidR="00CF1103" w:rsidRPr="0067646E">
              <w:rPr>
                <w:rFonts w:ascii="Calibri" w:hAnsi="Calibri" w:cs="Calibri"/>
                <w:color w:val="000000"/>
                <w:sz w:val="20"/>
              </w:rPr>
              <w:t>-23</w:t>
            </w:r>
          </w:p>
        </w:tc>
        <w:tc>
          <w:tcPr>
            <w:tcW w:w="1271" w:type="dxa"/>
            <w:vAlign w:val="center"/>
          </w:tcPr>
          <w:p w14:paraId="22EDA178" w14:textId="60D7511E" w:rsidR="00D76F16" w:rsidRPr="0067646E" w:rsidRDefault="00CF1103" w:rsidP="00F96702">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67646E">
              <w:rPr>
                <w:rFonts w:ascii="Calibri" w:hAnsi="Calibri" w:cs="Calibri"/>
                <w:color w:val="000000"/>
                <w:sz w:val="20"/>
              </w:rPr>
              <w:t>0.32</w:t>
            </w:r>
            <w:r w:rsidR="00F96702" w:rsidRPr="0067646E">
              <w:rPr>
                <w:rFonts w:ascii="Calibri" w:hAnsi="Calibri" w:cs="Calibri"/>
                <w:color w:val="000000"/>
                <w:sz w:val="20"/>
              </w:rPr>
              <w:t>3</w:t>
            </w:r>
          </w:p>
        </w:tc>
        <w:tc>
          <w:tcPr>
            <w:tcW w:w="1083" w:type="dxa"/>
            <w:vAlign w:val="center"/>
          </w:tcPr>
          <w:p w14:paraId="115840E7" w14:textId="5CABE242" w:rsidR="00D76F16" w:rsidRPr="0067646E" w:rsidRDefault="00CF1103" w:rsidP="00F96702">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67646E">
              <w:rPr>
                <w:rFonts w:ascii="Calibri" w:hAnsi="Calibri" w:cs="Calibri"/>
                <w:color w:val="000000"/>
                <w:sz w:val="20"/>
              </w:rPr>
              <w:t>-0.</w:t>
            </w:r>
            <w:r w:rsidR="00F96702" w:rsidRPr="0067646E">
              <w:rPr>
                <w:rFonts w:ascii="Calibri" w:hAnsi="Calibri" w:cs="Calibri"/>
                <w:color w:val="000000"/>
                <w:sz w:val="20"/>
              </w:rPr>
              <w:t>1</w:t>
            </w:r>
            <w:r w:rsidRPr="0067646E">
              <w:rPr>
                <w:rFonts w:ascii="Calibri" w:hAnsi="Calibri" w:cs="Calibri"/>
                <w:color w:val="000000"/>
                <w:sz w:val="20"/>
              </w:rPr>
              <w:t>%</w:t>
            </w:r>
          </w:p>
        </w:tc>
        <w:tc>
          <w:tcPr>
            <w:tcW w:w="1076" w:type="dxa"/>
            <w:vAlign w:val="center"/>
          </w:tcPr>
          <w:p w14:paraId="01BE9C43" w14:textId="490BDEFC" w:rsidR="00D76F16" w:rsidRPr="0067646E" w:rsidRDefault="00F96702"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67646E">
              <w:rPr>
                <w:rFonts w:ascii="Calibri" w:hAnsi="Calibri" w:cs="Calibri"/>
                <w:color w:val="000000"/>
                <w:sz w:val="20"/>
              </w:rPr>
              <w:t>2.7</w:t>
            </w:r>
            <w:r w:rsidR="00CF1103" w:rsidRPr="0067646E">
              <w:rPr>
                <w:rFonts w:ascii="Calibri" w:hAnsi="Calibri" w:cs="Calibri"/>
                <w:color w:val="000000"/>
                <w:sz w:val="20"/>
              </w:rPr>
              <w:t>%</w:t>
            </w:r>
          </w:p>
        </w:tc>
        <w:tc>
          <w:tcPr>
            <w:tcW w:w="1055" w:type="dxa"/>
            <w:vAlign w:val="center"/>
          </w:tcPr>
          <w:p w14:paraId="087D6E9D" w14:textId="43F076D3" w:rsidR="00D76F16" w:rsidRPr="0067646E" w:rsidRDefault="00F96702"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67646E">
              <w:rPr>
                <w:rFonts w:ascii="Calibri" w:hAnsi="Calibri" w:cs="Calibri"/>
                <w:color w:val="000000"/>
                <w:sz w:val="20"/>
              </w:rPr>
              <w:t>3.8</w:t>
            </w:r>
            <w:r w:rsidR="00CF1103" w:rsidRPr="0067646E">
              <w:rPr>
                <w:rFonts w:ascii="Calibri" w:hAnsi="Calibri" w:cs="Calibri"/>
                <w:color w:val="000000"/>
                <w:sz w:val="20"/>
              </w:rPr>
              <w:t>%</w:t>
            </w:r>
          </w:p>
        </w:tc>
        <w:tc>
          <w:tcPr>
            <w:tcW w:w="1435" w:type="dxa"/>
            <w:vAlign w:val="center"/>
          </w:tcPr>
          <w:p w14:paraId="4F094053" w14:textId="7F533E29" w:rsidR="00D76F16" w:rsidRPr="004A4BC9" w:rsidRDefault="00CF1103" w:rsidP="00F96702">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highlight w:val="yellow"/>
              </w:rPr>
            </w:pPr>
            <w:r w:rsidRPr="0067646E">
              <w:rPr>
                <w:rFonts w:ascii="Calibri" w:hAnsi="Calibri" w:cs="Calibri"/>
                <w:color w:val="000000"/>
                <w:sz w:val="20"/>
              </w:rPr>
              <w:t>2</w:t>
            </w:r>
            <w:r w:rsidR="00F96702" w:rsidRPr="0067646E">
              <w:rPr>
                <w:rFonts w:ascii="Calibri" w:hAnsi="Calibri" w:cs="Calibri"/>
                <w:color w:val="000000"/>
                <w:sz w:val="20"/>
              </w:rPr>
              <w:t>3</w:t>
            </w:r>
            <w:r w:rsidRPr="0067646E">
              <w:rPr>
                <w:rFonts w:ascii="Calibri" w:hAnsi="Calibri" w:cs="Calibri"/>
                <w:color w:val="000000"/>
                <w:sz w:val="20"/>
              </w:rPr>
              <w:t>.</w:t>
            </w:r>
            <w:r w:rsidR="00F96702" w:rsidRPr="0067646E">
              <w:rPr>
                <w:rFonts w:ascii="Calibri" w:hAnsi="Calibri" w:cs="Calibri"/>
                <w:color w:val="000000"/>
                <w:sz w:val="20"/>
              </w:rPr>
              <w:t>1</w:t>
            </w:r>
            <w:r w:rsidRPr="0067646E">
              <w:rPr>
                <w:rFonts w:ascii="Calibri" w:hAnsi="Calibri" w:cs="Calibri"/>
                <w:color w:val="000000"/>
                <w:sz w:val="20"/>
              </w:rPr>
              <w:t>%</w:t>
            </w:r>
          </w:p>
        </w:tc>
      </w:tr>
      <w:tr w:rsidR="00B243D8" w:rsidRPr="00797CA2" w14:paraId="13AF2B0F" w14:textId="77777777" w:rsidTr="00BF2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5514BDF1" w14:textId="7D181709" w:rsidR="00D76F16" w:rsidRPr="004A4BC9" w:rsidRDefault="00D76F16" w:rsidP="00720F41">
            <w:pPr>
              <w:spacing w:before="0" w:after="0"/>
              <w:ind w:firstLineChars="200" w:firstLine="400"/>
              <w:rPr>
                <w:rFonts w:ascii="Calibri" w:hAnsi="Calibri" w:cs="Calibri"/>
                <w:iCs/>
                <w:color w:val="000000"/>
                <w:sz w:val="20"/>
              </w:rPr>
            </w:pPr>
            <w:r w:rsidRPr="004A4BC9">
              <w:rPr>
                <w:rFonts w:ascii="Calibri" w:hAnsi="Calibri" w:cs="Calibri"/>
                <w:iCs/>
                <w:color w:val="000000"/>
                <w:sz w:val="20"/>
              </w:rPr>
              <w:t>Nominal retail sales (Aus) (sa)</w:t>
            </w:r>
          </w:p>
        </w:tc>
        <w:tc>
          <w:tcPr>
            <w:tcW w:w="938" w:type="dxa"/>
            <w:shd w:val="clear" w:color="auto" w:fill="auto"/>
            <w:vAlign w:val="center"/>
          </w:tcPr>
          <w:p w14:paraId="17C7BC31" w14:textId="1F12132D" w:rsidR="00D76F16" w:rsidRPr="0067646E" w:rsidRDefault="00F96702" w:rsidP="00D76F16">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67646E">
              <w:rPr>
                <w:rFonts w:ascii="Calibri" w:hAnsi="Calibri" w:cs="Calibri"/>
                <w:color w:val="000000"/>
                <w:sz w:val="20"/>
              </w:rPr>
              <w:t>Oct</w:t>
            </w:r>
            <w:r w:rsidR="00CF1103" w:rsidRPr="0067646E">
              <w:rPr>
                <w:rFonts w:ascii="Calibri" w:hAnsi="Calibri" w:cs="Calibri"/>
                <w:color w:val="000000"/>
                <w:sz w:val="20"/>
              </w:rPr>
              <w:t>-23</w:t>
            </w:r>
          </w:p>
        </w:tc>
        <w:tc>
          <w:tcPr>
            <w:tcW w:w="1271" w:type="dxa"/>
            <w:shd w:val="clear" w:color="auto" w:fill="auto"/>
            <w:vAlign w:val="center"/>
          </w:tcPr>
          <w:p w14:paraId="648B5E05" w14:textId="3022C6FE" w:rsidR="00D76F16" w:rsidRPr="0067646E" w:rsidRDefault="00CF1103" w:rsidP="00F96702">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67646E">
              <w:rPr>
                <w:rFonts w:ascii="Calibri" w:hAnsi="Calibri" w:cs="Calibri"/>
                <w:color w:val="000000"/>
                <w:sz w:val="20"/>
              </w:rPr>
              <w:t>35.</w:t>
            </w:r>
            <w:r w:rsidR="00F96702" w:rsidRPr="0067646E">
              <w:rPr>
                <w:rFonts w:ascii="Calibri" w:hAnsi="Calibri" w:cs="Calibri"/>
                <w:color w:val="000000"/>
                <w:sz w:val="20"/>
              </w:rPr>
              <w:t>768</w:t>
            </w:r>
          </w:p>
        </w:tc>
        <w:tc>
          <w:tcPr>
            <w:tcW w:w="1083" w:type="dxa"/>
            <w:shd w:val="clear" w:color="auto" w:fill="auto"/>
            <w:vAlign w:val="center"/>
          </w:tcPr>
          <w:p w14:paraId="51A2C4D3" w14:textId="11254A3A" w:rsidR="00D76F16" w:rsidRPr="0067646E" w:rsidRDefault="00F96702"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67646E">
              <w:rPr>
                <w:rFonts w:ascii="Calibri" w:hAnsi="Calibri" w:cs="Calibri"/>
                <w:color w:val="000000"/>
                <w:sz w:val="20"/>
              </w:rPr>
              <w:t>-0.2</w:t>
            </w:r>
            <w:r w:rsidR="00CF1103" w:rsidRPr="0067646E">
              <w:rPr>
                <w:rFonts w:ascii="Calibri" w:hAnsi="Calibri" w:cs="Calibri"/>
                <w:color w:val="000000"/>
                <w:sz w:val="20"/>
              </w:rPr>
              <w:t>%</w:t>
            </w:r>
          </w:p>
        </w:tc>
        <w:tc>
          <w:tcPr>
            <w:tcW w:w="1076" w:type="dxa"/>
            <w:shd w:val="clear" w:color="auto" w:fill="auto"/>
            <w:vAlign w:val="center"/>
          </w:tcPr>
          <w:p w14:paraId="6C65B8C7" w14:textId="23D5CAD7" w:rsidR="00D76F16" w:rsidRPr="0067646E" w:rsidRDefault="00F96702"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67646E">
              <w:rPr>
                <w:rFonts w:ascii="Calibri" w:hAnsi="Calibri" w:cs="Calibri"/>
                <w:color w:val="000000"/>
                <w:sz w:val="20"/>
              </w:rPr>
              <w:t>1.2</w:t>
            </w:r>
            <w:r w:rsidR="00CF1103" w:rsidRPr="0067646E">
              <w:rPr>
                <w:rFonts w:ascii="Calibri" w:hAnsi="Calibri" w:cs="Calibri"/>
                <w:color w:val="000000"/>
                <w:sz w:val="20"/>
              </w:rPr>
              <w:t>%</w:t>
            </w:r>
          </w:p>
        </w:tc>
        <w:tc>
          <w:tcPr>
            <w:tcW w:w="1055" w:type="dxa"/>
            <w:shd w:val="clear" w:color="auto" w:fill="auto"/>
            <w:vAlign w:val="center"/>
          </w:tcPr>
          <w:p w14:paraId="156E9A3D" w14:textId="2714200F" w:rsidR="00D76F16" w:rsidRPr="0067646E" w:rsidRDefault="00F96702" w:rsidP="00CB132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67646E">
              <w:rPr>
                <w:rFonts w:ascii="Calibri" w:hAnsi="Calibri" w:cs="Calibri"/>
                <w:color w:val="000000"/>
                <w:sz w:val="20"/>
              </w:rPr>
              <w:t>4.4</w:t>
            </w:r>
            <w:r w:rsidR="00CF1103" w:rsidRPr="0067646E">
              <w:rPr>
                <w:rFonts w:ascii="Calibri" w:hAnsi="Calibri" w:cs="Calibri"/>
                <w:color w:val="000000"/>
                <w:sz w:val="20"/>
              </w:rPr>
              <w:t>%</w:t>
            </w:r>
          </w:p>
        </w:tc>
        <w:tc>
          <w:tcPr>
            <w:tcW w:w="1435" w:type="dxa"/>
            <w:shd w:val="clear" w:color="auto" w:fill="auto"/>
            <w:vAlign w:val="center"/>
          </w:tcPr>
          <w:p w14:paraId="4F1FD806" w14:textId="5078926E" w:rsidR="00D76F16" w:rsidRPr="004A4BC9" w:rsidRDefault="00CF1103" w:rsidP="00F96702">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highlight w:val="yellow"/>
              </w:rPr>
            </w:pPr>
            <w:r w:rsidRPr="0067646E">
              <w:rPr>
                <w:rFonts w:ascii="Calibri" w:hAnsi="Calibri" w:cs="Calibri"/>
                <w:color w:val="000000"/>
                <w:sz w:val="20"/>
              </w:rPr>
              <w:t>2</w:t>
            </w:r>
            <w:r w:rsidR="000C344D" w:rsidRPr="0067646E">
              <w:rPr>
                <w:rFonts w:ascii="Calibri" w:hAnsi="Calibri" w:cs="Calibri"/>
                <w:color w:val="000000"/>
                <w:sz w:val="20"/>
              </w:rPr>
              <w:t>8.</w:t>
            </w:r>
            <w:r w:rsidR="00F96702" w:rsidRPr="0067646E">
              <w:rPr>
                <w:rFonts w:ascii="Calibri" w:hAnsi="Calibri" w:cs="Calibri"/>
                <w:color w:val="000000"/>
                <w:sz w:val="20"/>
              </w:rPr>
              <w:t>7</w:t>
            </w:r>
            <w:r w:rsidRPr="0067646E">
              <w:rPr>
                <w:rFonts w:ascii="Calibri" w:hAnsi="Calibri" w:cs="Calibri"/>
                <w:color w:val="000000"/>
                <w:sz w:val="20"/>
              </w:rPr>
              <w:t>%</w:t>
            </w:r>
          </w:p>
        </w:tc>
      </w:tr>
      <w:tr w:rsidR="00B243D8" w:rsidRPr="00797CA2" w14:paraId="4476EC8B"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42139FDD" w14:textId="77777777" w:rsidR="003763FC" w:rsidRPr="004A4BC9" w:rsidRDefault="003763FC" w:rsidP="003763FC">
            <w:pPr>
              <w:spacing w:before="0" w:after="0"/>
              <w:ind w:firstLineChars="200" w:firstLine="160"/>
              <w:rPr>
                <w:rFonts w:ascii="Calibri" w:hAnsi="Calibri" w:cs="Calibri"/>
                <w:iCs/>
                <w:color w:val="000000"/>
                <w:sz w:val="8"/>
                <w:szCs w:val="8"/>
              </w:rPr>
            </w:pPr>
            <w:r w:rsidRPr="004A4BC9">
              <w:rPr>
                <w:rFonts w:ascii="Calibri" w:hAnsi="Calibri" w:cs="Calibri"/>
                <w:iCs/>
                <w:color w:val="000000"/>
                <w:sz w:val="8"/>
                <w:szCs w:val="8"/>
              </w:rPr>
              <w:t> </w:t>
            </w:r>
          </w:p>
        </w:tc>
        <w:tc>
          <w:tcPr>
            <w:tcW w:w="938" w:type="dxa"/>
            <w:vAlign w:val="center"/>
          </w:tcPr>
          <w:p w14:paraId="05E8AAB8" w14:textId="2E01F320" w:rsidR="003763FC" w:rsidRPr="004A4BC9"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highlight w:val="yellow"/>
              </w:rPr>
            </w:pPr>
          </w:p>
        </w:tc>
        <w:tc>
          <w:tcPr>
            <w:tcW w:w="1271" w:type="dxa"/>
            <w:vAlign w:val="center"/>
          </w:tcPr>
          <w:p w14:paraId="49EA089E" w14:textId="42B828CC" w:rsidR="003763FC" w:rsidRPr="004A4BC9" w:rsidRDefault="003763FC" w:rsidP="00720F41">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highlight w:val="yellow"/>
              </w:rPr>
            </w:pPr>
          </w:p>
        </w:tc>
        <w:tc>
          <w:tcPr>
            <w:tcW w:w="1083" w:type="dxa"/>
            <w:vAlign w:val="center"/>
          </w:tcPr>
          <w:p w14:paraId="325982F2" w14:textId="247F4CF5" w:rsidR="003763FC" w:rsidRPr="004A4BC9" w:rsidRDefault="003763FC"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highlight w:val="yellow"/>
              </w:rPr>
            </w:pPr>
          </w:p>
        </w:tc>
        <w:tc>
          <w:tcPr>
            <w:tcW w:w="1076" w:type="dxa"/>
            <w:vAlign w:val="center"/>
          </w:tcPr>
          <w:p w14:paraId="2F0146D2" w14:textId="4D49D50E" w:rsidR="003763FC" w:rsidRPr="004A4BC9" w:rsidRDefault="003763FC"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highlight w:val="yellow"/>
              </w:rPr>
            </w:pPr>
          </w:p>
        </w:tc>
        <w:tc>
          <w:tcPr>
            <w:tcW w:w="1055" w:type="dxa"/>
            <w:vAlign w:val="center"/>
          </w:tcPr>
          <w:p w14:paraId="5F06B603" w14:textId="0C30F594" w:rsidR="003763FC" w:rsidRPr="004A4BC9" w:rsidRDefault="003763FC"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highlight w:val="yellow"/>
              </w:rPr>
            </w:pPr>
          </w:p>
        </w:tc>
        <w:tc>
          <w:tcPr>
            <w:tcW w:w="1435" w:type="dxa"/>
            <w:vAlign w:val="center"/>
          </w:tcPr>
          <w:p w14:paraId="1F81751F" w14:textId="13C1C861" w:rsidR="003763FC" w:rsidRPr="004A4BC9" w:rsidRDefault="003763FC" w:rsidP="00720F41">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highlight w:val="yellow"/>
              </w:rPr>
            </w:pPr>
          </w:p>
        </w:tc>
      </w:tr>
      <w:tr w:rsidR="00B243D8" w:rsidRPr="00797CA2" w14:paraId="3D4B7B8B" w14:textId="77777777" w:rsidTr="00BF2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215D78E0" w14:textId="77777777" w:rsidR="00C54EB6" w:rsidRPr="004A4BC9" w:rsidRDefault="00C54EB6" w:rsidP="00C54EB6">
            <w:pPr>
              <w:spacing w:before="0" w:after="0"/>
              <w:ind w:firstLineChars="200" w:firstLine="400"/>
              <w:rPr>
                <w:rFonts w:ascii="Calibri" w:hAnsi="Calibri" w:cs="Calibri"/>
                <w:iCs/>
                <w:color w:val="000000"/>
                <w:sz w:val="20"/>
              </w:rPr>
            </w:pPr>
            <w:r w:rsidRPr="004A4BC9">
              <w:rPr>
                <w:rFonts w:ascii="Calibri" w:hAnsi="Calibri" w:cs="Calibri"/>
                <w:iCs/>
                <w:color w:val="000000"/>
                <w:sz w:val="20"/>
              </w:rPr>
              <w:t>Construction work done (NT) (sa)</w:t>
            </w:r>
          </w:p>
        </w:tc>
        <w:tc>
          <w:tcPr>
            <w:tcW w:w="938" w:type="dxa"/>
            <w:shd w:val="clear" w:color="auto" w:fill="auto"/>
            <w:vAlign w:val="center"/>
          </w:tcPr>
          <w:p w14:paraId="19F2DDD4" w14:textId="689DDF8F" w:rsidR="00C54EB6" w:rsidRPr="0067646E" w:rsidRDefault="00F96702" w:rsidP="00CF1103">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67646E">
              <w:rPr>
                <w:rFonts w:ascii="Calibri" w:hAnsi="Calibri" w:cs="Calibri"/>
                <w:color w:val="000000"/>
                <w:sz w:val="20"/>
              </w:rPr>
              <w:t>Sep</w:t>
            </w:r>
            <w:r w:rsidR="00CF1103" w:rsidRPr="0067646E">
              <w:rPr>
                <w:rFonts w:ascii="Calibri" w:hAnsi="Calibri" w:cs="Calibri"/>
                <w:color w:val="000000"/>
                <w:sz w:val="20"/>
              </w:rPr>
              <w:t>-23</w:t>
            </w:r>
          </w:p>
        </w:tc>
        <w:tc>
          <w:tcPr>
            <w:tcW w:w="1271" w:type="dxa"/>
            <w:shd w:val="clear" w:color="auto" w:fill="auto"/>
            <w:vAlign w:val="center"/>
          </w:tcPr>
          <w:p w14:paraId="1534C730" w14:textId="4BF36052" w:rsidR="00C54EB6" w:rsidRPr="0067646E" w:rsidRDefault="00CF1103" w:rsidP="00F96702">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67646E">
              <w:rPr>
                <w:rFonts w:ascii="Calibri" w:hAnsi="Calibri" w:cs="Calibri"/>
                <w:color w:val="000000"/>
                <w:sz w:val="20"/>
              </w:rPr>
              <w:t>0.</w:t>
            </w:r>
            <w:r w:rsidR="00F96702" w:rsidRPr="0067646E">
              <w:rPr>
                <w:rFonts w:ascii="Calibri" w:hAnsi="Calibri" w:cs="Calibri"/>
                <w:color w:val="000000"/>
                <w:sz w:val="20"/>
              </w:rPr>
              <w:t>809</w:t>
            </w:r>
          </w:p>
        </w:tc>
        <w:tc>
          <w:tcPr>
            <w:tcW w:w="1083" w:type="dxa"/>
            <w:shd w:val="clear" w:color="auto" w:fill="auto"/>
            <w:vAlign w:val="center"/>
          </w:tcPr>
          <w:p w14:paraId="24CA469E" w14:textId="549F7F71" w:rsidR="00C54EB6" w:rsidRPr="0067646E" w:rsidRDefault="00F96702" w:rsidP="00CB132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67646E">
              <w:rPr>
                <w:rFonts w:ascii="Calibri" w:hAnsi="Calibri" w:cs="Calibri"/>
                <w:color w:val="000000"/>
                <w:sz w:val="20"/>
              </w:rPr>
              <w:t>-0.7</w:t>
            </w:r>
            <w:r w:rsidR="001C0CA4" w:rsidRPr="0067646E">
              <w:rPr>
                <w:rFonts w:ascii="Calibri" w:hAnsi="Calibri" w:cs="Calibri"/>
                <w:color w:val="000000"/>
                <w:sz w:val="20"/>
              </w:rPr>
              <w:t>%</w:t>
            </w:r>
          </w:p>
        </w:tc>
        <w:tc>
          <w:tcPr>
            <w:tcW w:w="1076" w:type="dxa"/>
            <w:shd w:val="clear" w:color="auto" w:fill="auto"/>
            <w:vAlign w:val="center"/>
          </w:tcPr>
          <w:p w14:paraId="7F03EE7E" w14:textId="4EC36729" w:rsidR="00C54EB6" w:rsidRPr="0067646E" w:rsidRDefault="00F96702"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67646E">
              <w:rPr>
                <w:rFonts w:ascii="Calibri" w:hAnsi="Calibri" w:cs="Calibri"/>
                <w:color w:val="000000"/>
                <w:sz w:val="20"/>
              </w:rPr>
              <w:t>8.5</w:t>
            </w:r>
            <w:r w:rsidR="001C0CA4" w:rsidRPr="0067646E">
              <w:rPr>
                <w:rFonts w:ascii="Calibri" w:hAnsi="Calibri" w:cs="Calibri"/>
                <w:color w:val="000000"/>
                <w:sz w:val="20"/>
              </w:rPr>
              <w:t>%</w:t>
            </w:r>
          </w:p>
        </w:tc>
        <w:tc>
          <w:tcPr>
            <w:tcW w:w="1055" w:type="dxa"/>
            <w:shd w:val="clear" w:color="auto" w:fill="auto"/>
            <w:vAlign w:val="center"/>
          </w:tcPr>
          <w:p w14:paraId="54E14278" w14:textId="62D427B2" w:rsidR="00C54EB6" w:rsidRPr="0067646E" w:rsidRDefault="00F96702" w:rsidP="00CB132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67646E">
              <w:rPr>
                <w:rFonts w:ascii="Calibri" w:hAnsi="Calibri" w:cs="Calibri"/>
                <w:color w:val="000000"/>
                <w:sz w:val="20"/>
              </w:rPr>
              <w:t>3.8</w:t>
            </w:r>
            <w:r w:rsidR="001C0CA4" w:rsidRPr="0067646E">
              <w:rPr>
                <w:rFonts w:ascii="Calibri" w:hAnsi="Calibri" w:cs="Calibri"/>
                <w:color w:val="000000"/>
                <w:sz w:val="20"/>
              </w:rPr>
              <w:t>%</w:t>
            </w:r>
          </w:p>
        </w:tc>
        <w:tc>
          <w:tcPr>
            <w:tcW w:w="1435" w:type="dxa"/>
            <w:shd w:val="clear" w:color="auto" w:fill="auto"/>
            <w:vAlign w:val="center"/>
          </w:tcPr>
          <w:p w14:paraId="60BFE89B" w14:textId="03338947" w:rsidR="00C54EB6" w:rsidRPr="004A4BC9" w:rsidRDefault="00F96702" w:rsidP="00720F41">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highlight w:val="yellow"/>
              </w:rPr>
            </w:pPr>
            <w:r w:rsidRPr="0067646E">
              <w:rPr>
                <w:rFonts w:ascii="Calibri" w:hAnsi="Calibri" w:cs="Calibri"/>
                <w:color w:val="000000"/>
                <w:sz w:val="20"/>
              </w:rPr>
              <w:t>40.8</w:t>
            </w:r>
            <w:r w:rsidR="001C0CA4" w:rsidRPr="0067646E">
              <w:rPr>
                <w:rFonts w:ascii="Calibri" w:hAnsi="Calibri" w:cs="Calibri"/>
                <w:color w:val="000000"/>
                <w:sz w:val="20"/>
              </w:rPr>
              <w:t>%</w:t>
            </w:r>
          </w:p>
        </w:tc>
      </w:tr>
      <w:tr w:rsidR="00B243D8" w:rsidRPr="00797CA2" w14:paraId="01B84F82"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13CF594B" w14:textId="5FB0FD5F" w:rsidR="00C54EB6" w:rsidRPr="004A4BC9" w:rsidRDefault="00720F41" w:rsidP="00C54EB6">
            <w:pPr>
              <w:spacing w:before="0" w:after="0"/>
              <w:ind w:firstLineChars="200" w:firstLine="400"/>
              <w:rPr>
                <w:rFonts w:ascii="Calibri" w:hAnsi="Calibri" w:cs="Calibri"/>
                <w:iCs/>
                <w:color w:val="000000"/>
                <w:sz w:val="20"/>
              </w:rPr>
            </w:pPr>
            <w:r w:rsidRPr="004A4BC9">
              <w:rPr>
                <w:rFonts w:ascii="Calibri" w:hAnsi="Calibri" w:cs="Calibri"/>
                <w:iCs/>
                <w:color w:val="000000"/>
                <w:sz w:val="20"/>
              </w:rPr>
              <w:t>Construction work done (Aus</w:t>
            </w:r>
            <w:r w:rsidR="00C54EB6" w:rsidRPr="004A4BC9">
              <w:rPr>
                <w:rFonts w:ascii="Calibri" w:hAnsi="Calibri" w:cs="Calibri"/>
                <w:iCs/>
                <w:color w:val="000000"/>
                <w:sz w:val="20"/>
              </w:rPr>
              <w:t>) (sa)</w:t>
            </w:r>
          </w:p>
        </w:tc>
        <w:tc>
          <w:tcPr>
            <w:tcW w:w="938" w:type="dxa"/>
            <w:vAlign w:val="center"/>
          </w:tcPr>
          <w:p w14:paraId="14A144E7" w14:textId="1743950A" w:rsidR="00C54EB6" w:rsidRPr="0067646E" w:rsidRDefault="00F96702" w:rsidP="006536A6">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67646E">
              <w:rPr>
                <w:rFonts w:ascii="Calibri" w:hAnsi="Calibri" w:cs="Calibri"/>
                <w:color w:val="000000"/>
                <w:sz w:val="20"/>
              </w:rPr>
              <w:t>Sep</w:t>
            </w:r>
            <w:r w:rsidR="001C0CA4" w:rsidRPr="0067646E">
              <w:rPr>
                <w:rFonts w:ascii="Calibri" w:hAnsi="Calibri" w:cs="Calibri"/>
                <w:color w:val="000000"/>
                <w:sz w:val="20"/>
              </w:rPr>
              <w:t>-23</w:t>
            </w:r>
          </w:p>
        </w:tc>
        <w:tc>
          <w:tcPr>
            <w:tcW w:w="1271" w:type="dxa"/>
            <w:vAlign w:val="center"/>
          </w:tcPr>
          <w:p w14:paraId="09DCFD4E" w14:textId="06FD19A4" w:rsidR="00C54EB6" w:rsidRPr="0067646E" w:rsidRDefault="00F96702" w:rsidP="00F96702">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67646E">
              <w:rPr>
                <w:rFonts w:ascii="Calibri" w:hAnsi="Calibri" w:cs="Calibri"/>
                <w:color w:val="000000"/>
                <w:sz w:val="20"/>
              </w:rPr>
              <w:t>64</w:t>
            </w:r>
            <w:r w:rsidR="001C0CA4" w:rsidRPr="0067646E">
              <w:rPr>
                <w:rFonts w:ascii="Calibri" w:hAnsi="Calibri" w:cs="Calibri"/>
                <w:color w:val="000000"/>
                <w:sz w:val="20"/>
              </w:rPr>
              <w:t>.</w:t>
            </w:r>
            <w:r w:rsidRPr="0067646E">
              <w:rPr>
                <w:rFonts w:ascii="Calibri" w:hAnsi="Calibri" w:cs="Calibri"/>
                <w:color w:val="000000"/>
                <w:sz w:val="20"/>
              </w:rPr>
              <w:t>769</w:t>
            </w:r>
          </w:p>
        </w:tc>
        <w:tc>
          <w:tcPr>
            <w:tcW w:w="1083" w:type="dxa"/>
            <w:vAlign w:val="center"/>
          </w:tcPr>
          <w:p w14:paraId="7DEE5354" w14:textId="1D2BBE46" w:rsidR="00C54EB6" w:rsidRPr="0067646E" w:rsidRDefault="00F96702"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67646E">
              <w:rPr>
                <w:rFonts w:ascii="Calibri" w:hAnsi="Calibri" w:cs="Calibri"/>
                <w:color w:val="000000"/>
                <w:sz w:val="20"/>
              </w:rPr>
              <w:t>1.3</w:t>
            </w:r>
            <w:r w:rsidR="001C0CA4" w:rsidRPr="0067646E">
              <w:rPr>
                <w:rFonts w:ascii="Calibri" w:hAnsi="Calibri" w:cs="Calibri"/>
                <w:color w:val="000000"/>
                <w:sz w:val="20"/>
              </w:rPr>
              <w:t>%</w:t>
            </w:r>
          </w:p>
        </w:tc>
        <w:tc>
          <w:tcPr>
            <w:tcW w:w="1076" w:type="dxa"/>
            <w:vAlign w:val="center"/>
          </w:tcPr>
          <w:p w14:paraId="3AFFADFC" w14:textId="561F8F4C" w:rsidR="00C54EB6" w:rsidRPr="0067646E" w:rsidRDefault="00F96702"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67646E">
              <w:rPr>
                <w:rFonts w:ascii="Calibri" w:hAnsi="Calibri" w:cs="Calibri"/>
                <w:color w:val="000000"/>
                <w:sz w:val="20"/>
              </w:rPr>
              <w:t>8.5</w:t>
            </w:r>
            <w:r w:rsidR="001C0CA4" w:rsidRPr="0067646E">
              <w:rPr>
                <w:rFonts w:ascii="Calibri" w:hAnsi="Calibri" w:cs="Calibri"/>
                <w:color w:val="000000"/>
                <w:sz w:val="20"/>
              </w:rPr>
              <w:t>%</w:t>
            </w:r>
          </w:p>
        </w:tc>
        <w:tc>
          <w:tcPr>
            <w:tcW w:w="1055" w:type="dxa"/>
            <w:vAlign w:val="center"/>
          </w:tcPr>
          <w:p w14:paraId="7DC268BF" w14:textId="227C2031" w:rsidR="00C54EB6" w:rsidRPr="0067646E" w:rsidRDefault="00F96702"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67646E">
              <w:rPr>
                <w:rFonts w:ascii="Calibri" w:hAnsi="Calibri" w:cs="Calibri"/>
                <w:color w:val="000000"/>
                <w:sz w:val="20"/>
              </w:rPr>
              <w:t>7.3</w:t>
            </w:r>
            <w:r w:rsidR="001C0CA4" w:rsidRPr="0067646E">
              <w:rPr>
                <w:rFonts w:ascii="Calibri" w:hAnsi="Calibri" w:cs="Calibri"/>
                <w:color w:val="000000"/>
                <w:sz w:val="20"/>
              </w:rPr>
              <w:t>%</w:t>
            </w:r>
          </w:p>
        </w:tc>
        <w:tc>
          <w:tcPr>
            <w:tcW w:w="1435" w:type="dxa"/>
            <w:vAlign w:val="center"/>
          </w:tcPr>
          <w:p w14:paraId="26395D2D" w14:textId="12954D02" w:rsidR="00C54EB6" w:rsidRPr="004A4BC9" w:rsidRDefault="00F96702" w:rsidP="00720F41">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highlight w:val="yellow"/>
              </w:rPr>
            </w:pPr>
            <w:r w:rsidRPr="0067646E">
              <w:rPr>
                <w:rFonts w:ascii="Calibri" w:hAnsi="Calibri" w:cs="Calibri"/>
                <w:color w:val="000000"/>
                <w:sz w:val="20"/>
              </w:rPr>
              <w:t>8.6</w:t>
            </w:r>
            <w:r w:rsidR="001C0CA4" w:rsidRPr="0067646E">
              <w:rPr>
                <w:rFonts w:ascii="Calibri" w:hAnsi="Calibri" w:cs="Calibri"/>
                <w:color w:val="000000"/>
                <w:sz w:val="20"/>
              </w:rPr>
              <w:t>%</w:t>
            </w:r>
          </w:p>
        </w:tc>
      </w:tr>
      <w:tr w:rsidR="00B243D8" w:rsidRPr="00797CA2" w14:paraId="0BAEC79B" w14:textId="77777777" w:rsidTr="00BF2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16CEDEA2" w14:textId="77777777" w:rsidR="003763FC" w:rsidRPr="004A4BC9" w:rsidRDefault="003763FC" w:rsidP="003763FC">
            <w:pPr>
              <w:spacing w:before="0" w:after="0"/>
              <w:ind w:firstLineChars="200" w:firstLine="160"/>
              <w:rPr>
                <w:rFonts w:ascii="Calibri" w:hAnsi="Calibri" w:cs="Calibri"/>
                <w:iCs/>
                <w:color w:val="000000"/>
                <w:sz w:val="8"/>
                <w:szCs w:val="8"/>
              </w:rPr>
            </w:pPr>
            <w:r w:rsidRPr="004A4BC9">
              <w:rPr>
                <w:rFonts w:ascii="Calibri" w:hAnsi="Calibri" w:cs="Calibri"/>
                <w:iCs/>
                <w:color w:val="000000"/>
                <w:sz w:val="8"/>
                <w:szCs w:val="8"/>
              </w:rPr>
              <w:t> </w:t>
            </w:r>
          </w:p>
        </w:tc>
        <w:tc>
          <w:tcPr>
            <w:tcW w:w="938" w:type="dxa"/>
            <w:shd w:val="clear" w:color="auto" w:fill="auto"/>
            <w:vAlign w:val="center"/>
          </w:tcPr>
          <w:p w14:paraId="193FAD5F" w14:textId="05701760" w:rsidR="003763FC" w:rsidRPr="004A4BC9"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highlight w:val="yellow"/>
              </w:rPr>
            </w:pPr>
          </w:p>
        </w:tc>
        <w:tc>
          <w:tcPr>
            <w:tcW w:w="1271" w:type="dxa"/>
            <w:shd w:val="clear" w:color="auto" w:fill="auto"/>
            <w:vAlign w:val="center"/>
          </w:tcPr>
          <w:p w14:paraId="3AEAC8B0" w14:textId="34A6FE21" w:rsidR="003763FC" w:rsidRPr="004A4BC9" w:rsidRDefault="003763FC" w:rsidP="00720F41">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highlight w:val="yellow"/>
              </w:rPr>
            </w:pPr>
          </w:p>
        </w:tc>
        <w:tc>
          <w:tcPr>
            <w:tcW w:w="1083" w:type="dxa"/>
            <w:shd w:val="clear" w:color="auto" w:fill="auto"/>
            <w:vAlign w:val="center"/>
          </w:tcPr>
          <w:p w14:paraId="5C21E419" w14:textId="17DDD7A8" w:rsidR="003763FC" w:rsidRPr="004A4BC9" w:rsidRDefault="003763FC"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highlight w:val="yellow"/>
              </w:rPr>
            </w:pPr>
          </w:p>
        </w:tc>
        <w:tc>
          <w:tcPr>
            <w:tcW w:w="1076" w:type="dxa"/>
            <w:shd w:val="clear" w:color="auto" w:fill="auto"/>
            <w:vAlign w:val="center"/>
          </w:tcPr>
          <w:p w14:paraId="1B387CF5" w14:textId="2A86FE7D" w:rsidR="003763FC" w:rsidRPr="004A4BC9" w:rsidRDefault="003763FC"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highlight w:val="yellow"/>
              </w:rPr>
            </w:pPr>
          </w:p>
        </w:tc>
        <w:tc>
          <w:tcPr>
            <w:tcW w:w="1055" w:type="dxa"/>
            <w:shd w:val="clear" w:color="auto" w:fill="auto"/>
            <w:vAlign w:val="center"/>
          </w:tcPr>
          <w:p w14:paraId="611E8FBB" w14:textId="2A6CC9D0" w:rsidR="003763FC" w:rsidRPr="004A4BC9" w:rsidRDefault="003763FC"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highlight w:val="yellow"/>
              </w:rPr>
            </w:pPr>
          </w:p>
        </w:tc>
        <w:tc>
          <w:tcPr>
            <w:tcW w:w="1435" w:type="dxa"/>
            <w:shd w:val="clear" w:color="auto" w:fill="auto"/>
            <w:vAlign w:val="center"/>
          </w:tcPr>
          <w:p w14:paraId="6C7CD2C5" w14:textId="4FA28FA0" w:rsidR="003763FC" w:rsidRPr="004A4BC9" w:rsidRDefault="003763FC" w:rsidP="00720F41">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highlight w:val="yellow"/>
              </w:rPr>
            </w:pPr>
          </w:p>
        </w:tc>
      </w:tr>
      <w:tr w:rsidR="00B243D8" w:rsidRPr="00797CA2" w14:paraId="19F90093"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4B2C387C" w14:textId="77777777" w:rsidR="00C54EB6" w:rsidRPr="004A4BC9" w:rsidRDefault="00C54EB6" w:rsidP="00C54EB6">
            <w:pPr>
              <w:spacing w:before="0" w:after="0"/>
              <w:ind w:firstLineChars="200" w:firstLine="400"/>
              <w:rPr>
                <w:rFonts w:ascii="Calibri" w:hAnsi="Calibri" w:cs="Calibri"/>
                <w:iCs/>
                <w:color w:val="000000"/>
                <w:sz w:val="20"/>
              </w:rPr>
            </w:pPr>
            <w:r w:rsidRPr="004A4BC9">
              <w:rPr>
                <w:rFonts w:ascii="Calibri" w:hAnsi="Calibri" w:cs="Calibri"/>
                <w:iCs/>
                <w:color w:val="000000"/>
                <w:sz w:val="20"/>
              </w:rPr>
              <w:t>Residential building activity (NT)</w:t>
            </w:r>
          </w:p>
        </w:tc>
        <w:tc>
          <w:tcPr>
            <w:tcW w:w="938" w:type="dxa"/>
            <w:vAlign w:val="center"/>
          </w:tcPr>
          <w:p w14:paraId="7A7FC935" w14:textId="6E68475F" w:rsidR="00C54EB6" w:rsidRPr="0067646E" w:rsidRDefault="00F96702" w:rsidP="00C54EB6">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67646E">
              <w:rPr>
                <w:rFonts w:ascii="Calibri" w:hAnsi="Calibri" w:cs="Calibri"/>
                <w:color w:val="000000"/>
                <w:sz w:val="20"/>
              </w:rPr>
              <w:t>Jun</w:t>
            </w:r>
            <w:r w:rsidR="001C0CA4" w:rsidRPr="0067646E">
              <w:rPr>
                <w:rFonts w:ascii="Calibri" w:hAnsi="Calibri" w:cs="Calibri"/>
                <w:color w:val="000000"/>
                <w:sz w:val="20"/>
              </w:rPr>
              <w:t>-23</w:t>
            </w:r>
          </w:p>
        </w:tc>
        <w:tc>
          <w:tcPr>
            <w:tcW w:w="1271" w:type="dxa"/>
            <w:vAlign w:val="center"/>
          </w:tcPr>
          <w:p w14:paraId="1356E021" w14:textId="5BB0A92F" w:rsidR="00C54EB6" w:rsidRPr="00365C48" w:rsidRDefault="001C0CA4" w:rsidP="00F96702">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65C48">
              <w:rPr>
                <w:rFonts w:ascii="Calibri" w:hAnsi="Calibri" w:cs="Calibri"/>
                <w:color w:val="000000"/>
                <w:sz w:val="20"/>
              </w:rPr>
              <w:t>0.</w:t>
            </w:r>
            <w:r w:rsidR="00F96702" w:rsidRPr="00365C48">
              <w:rPr>
                <w:rFonts w:ascii="Calibri" w:hAnsi="Calibri" w:cs="Calibri"/>
                <w:color w:val="000000"/>
                <w:sz w:val="20"/>
              </w:rPr>
              <w:t>088</w:t>
            </w:r>
          </w:p>
        </w:tc>
        <w:tc>
          <w:tcPr>
            <w:tcW w:w="1083" w:type="dxa"/>
            <w:vAlign w:val="center"/>
          </w:tcPr>
          <w:p w14:paraId="06E11ECB" w14:textId="22F76A1C" w:rsidR="00C54EB6" w:rsidRPr="00365C48" w:rsidRDefault="00F96702"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65C48">
              <w:rPr>
                <w:rFonts w:ascii="Calibri" w:hAnsi="Calibri" w:cs="Calibri"/>
                <w:color w:val="000000"/>
                <w:sz w:val="20"/>
              </w:rPr>
              <w:t>10.6</w:t>
            </w:r>
            <w:r w:rsidR="001C0CA4" w:rsidRPr="00365C48">
              <w:rPr>
                <w:rFonts w:ascii="Calibri" w:hAnsi="Calibri" w:cs="Calibri"/>
                <w:color w:val="000000"/>
                <w:sz w:val="20"/>
              </w:rPr>
              <w:t>%</w:t>
            </w:r>
          </w:p>
        </w:tc>
        <w:tc>
          <w:tcPr>
            <w:tcW w:w="1076" w:type="dxa"/>
            <w:vAlign w:val="center"/>
          </w:tcPr>
          <w:p w14:paraId="05670C32" w14:textId="279241EF" w:rsidR="00C54EB6" w:rsidRPr="00365C48" w:rsidRDefault="00F96702"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65C48">
              <w:rPr>
                <w:rFonts w:ascii="Calibri" w:hAnsi="Calibri" w:cs="Calibri"/>
                <w:color w:val="000000"/>
                <w:sz w:val="20"/>
              </w:rPr>
              <w:t>2.2</w:t>
            </w:r>
            <w:r w:rsidR="001C0CA4" w:rsidRPr="00365C48">
              <w:rPr>
                <w:rFonts w:ascii="Calibri" w:hAnsi="Calibri" w:cs="Calibri"/>
                <w:color w:val="000000"/>
                <w:sz w:val="20"/>
              </w:rPr>
              <w:t>%</w:t>
            </w:r>
          </w:p>
        </w:tc>
        <w:tc>
          <w:tcPr>
            <w:tcW w:w="1055" w:type="dxa"/>
            <w:vAlign w:val="center"/>
          </w:tcPr>
          <w:p w14:paraId="5D4B815A" w14:textId="4569E0D4" w:rsidR="00C54EB6" w:rsidRPr="00365C48" w:rsidRDefault="00F96702" w:rsidP="006536A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65C48">
              <w:rPr>
                <w:rFonts w:ascii="Calibri" w:hAnsi="Calibri" w:cs="Calibri"/>
                <w:color w:val="000000"/>
                <w:sz w:val="20"/>
              </w:rPr>
              <w:t>5.1</w:t>
            </w:r>
            <w:r w:rsidR="001C0CA4" w:rsidRPr="00365C48">
              <w:rPr>
                <w:rFonts w:ascii="Calibri" w:hAnsi="Calibri" w:cs="Calibri"/>
                <w:color w:val="000000"/>
                <w:sz w:val="20"/>
              </w:rPr>
              <w:t>%</w:t>
            </w:r>
          </w:p>
        </w:tc>
        <w:tc>
          <w:tcPr>
            <w:tcW w:w="1435" w:type="dxa"/>
            <w:vAlign w:val="center"/>
          </w:tcPr>
          <w:p w14:paraId="34AE3376" w14:textId="129820FB" w:rsidR="00C54EB6" w:rsidRPr="004A4BC9" w:rsidRDefault="00F96702" w:rsidP="00720F41">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highlight w:val="yellow"/>
              </w:rPr>
            </w:pPr>
            <w:r w:rsidRPr="00365C48">
              <w:rPr>
                <w:rFonts w:ascii="Calibri" w:hAnsi="Calibri" w:cs="Calibri"/>
                <w:color w:val="000000"/>
                <w:sz w:val="20"/>
              </w:rPr>
              <w:t>3</w:t>
            </w:r>
            <w:r w:rsidR="000C344D" w:rsidRPr="00365C48">
              <w:rPr>
                <w:rFonts w:ascii="Calibri" w:hAnsi="Calibri" w:cs="Calibri"/>
                <w:color w:val="000000"/>
                <w:sz w:val="20"/>
              </w:rPr>
              <w:t>.2</w:t>
            </w:r>
            <w:r w:rsidR="001C0CA4" w:rsidRPr="00365C48">
              <w:rPr>
                <w:rFonts w:ascii="Calibri" w:hAnsi="Calibri" w:cs="Calibri"/>
                <w:color w:val="000000"/>
                <w:sz w:val="20"/>
              </w:rPr>
              <w:t>%</w:t>
            </w:r>
          </w:p>
        </w:tc>
      </w:tr>
      <w:tr w:rsidR="00B243D8" w:rsidRPr="00797CA2" w14:paraId="06AEC18E" w14:textId="77777777" w:rsidTr="00BF2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0097BE8E" w14:textId="7A03675B" w:rsidR="00C54EB6" w:rsidRPr="004A4BC9" w:rsidRDefault="00C54EB6" w:rsidP="00C54EB6">
            <w:pPr>
              <w:spacing w:before="0" w:after="0"/>
              <w:ind w:firstLineChars="200" w:firstLine="400"/>
              <w:rPr>
                <w:rFonts w:ascii="Calibri" w:hAnsi="Calibri" w:cs="Calibri"/>
                <w:iCs/>
                <w:color w:val="000000"/>
                <w:sz w:val="20"/>
              </w:rPr>
            </w:pPr>
            <w:r w:rsidRPr="004A4BC9">
              <w:rPr>
                <w:rFonts w:ascii="Calibri" w:hAnsi="Calibri" w:cs="Calibri"/>
                <w:iCs/>
                <w:color w:val="000000"/>
                <w:sz w:val="20"/>
              </w:rPr>
              <w:t>Res</w:t>
            </w:r>
            <w:r w:rsidR="00720F41" w:rsidRPr="004A4BC9">
              <w:rPr>
                <w:rFonts w:ascii="Calibri" w:hAnsi="Calibri" w:cs="Calibri"/>
                <w:iCs/>
                <w:color w:val="000000"/>
                <w:sz w:val="20"/>
              </w:rPr>
              <w:t>idential building activity (Aus</w:t>
            </w:r>
            <w:r w:rsidRPr="004A4BC9">
              <w:rPr>
                <w:rFonts w:ascii="Calibri" w:hAnsi="Calibri" w:cs="Calibri"/>
                <w:iCs/>
                <w:color w:val="000000"/>
                <w:sz w:val="20"/>
              </w:rPr>
              <w:t>)</w:t>
            </w:r>
          </w:p>
        </w:tc>
        <w:tc>
          <w:tcPr>
            <w:tcW w:w="938" w:type="dxa"/>
            <w:shd w:val="clear" w:color="auto" w:fill="auto"/>
            <w:vAlign w:val="center"/>
          </w:tcPr>
          <w:p w14:paraId="5875F512" w14:textId="2B68BC1E" w:rsidR="00C54EB6" w:rsidRPr="00437DC3" w:rsidRDefault="00F96702" w:rsidP="00C54EB6">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437DC3">
              <w:rPr>
                <w:rFonts w:ascii="Calibri" w:hAnsi="Calibri" w:cs="Calibri"/>
                <w:color w:val="000000"/>
                <w:sz w:val="20"/>
              </w:rPr>
              <w:t>Jun</w:t>
            </w:r>
            <w:r w:rsidR="001C0CA4" w:rsidRPr="00437DC3">
              <w:rPr>
                <w:rFonts w:ascii="Calibri" w:hAnsi="Calibri" w:cs="Calibri"/>
                <w:color w:val="000000"/>
                <w:sz w:val="20"/>
              </w:rPr>
              <w:t>-23</w:t>
            </w:r>
          </w:p>
        </w:tc>
        <w:tc>
          <w:tcPr>
            <w:tcW w:w="1271" w:type="dxa"/>
            <w:shd w:val="clear" w:color="auto" w:fill="auto"/>
            <w:vAlign w:val="center"/>
          </w:tcPr>
          <w:p w14:paraId="4047A92E" w14:textId="1676F599" w:rsidR="00C54EB6" w:rsidRPr="00437DC3" w:rsidRDefault="001C0CA4" w:rsidP="00F96702">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437DC3">
              <w:rPr>
                <w:rFonts w:ascii="Calibri" w:hAnsi="Calibri" w:cs="Calibri"/>
                <w:color w:val="000000"/>
                <w:sz w:val="20"/>
              </w:rPr>
              <w:t>1</w:t>
            </w:r>
            <w:r w:rsidR="00F96702" w:rsidRPr="00437DC3">
              <w:rPr>
                <w:rFonts w:ascii="Calibri" w:hAnsi="Calibri" w:cs="Calibri"/>
                <w:color w:val="000000"/>
                <w:sz w:val="20"/>
              </w:rPr>
              <w:t>8</w:t>
            </w:r>
            <w:r w:rsidRPr="00437DC3">
              <w:rPr>
                <w:rFonts w:ascii="Calibri" w:hAnsi="Calibri" w:cs="Calibri"/>
                <w:color w:val="000000"/>
                <w:sz w:val="20"/>
              </w:rPr>
              <w:t>.</w:t>
            </w:r>
            <w:r w:rsidR="00F96702" w:rsidRPr="00437DC3">
              <w:rPr>
                <w:rFonts w:ascii="Calibri" w:hAnsi="Calibri" w:cs="Calibri"/>
                <w:color w:val="000000"/>
                <w:sz w:val="20"/>
              </w:rPr>
              <w:t>961</w:t>
            </w:r>
          </w:p>
        </w:tc>
        <w:tc>
          <w:tcPr>
            <w:tcW w:w="1083" w:type="dxa"/>
            <w:shd w:val="clear" w:color="auto" w:fill="auto"/>
            <w:vAlign w:val="center"/>
          </w:tcPr>
          <w:p w14:paraId="18320F66" w14:textId="74D16B5F" w:rsidR="00C54EB6" w:rsidRPr="00437DC3" w:rsidRDefault="00F96702"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437DC3">
              <w:rPr>
                <w:rFonts w:ascii="Calibri" w:hAnsi="Calibri" w:cs="Calibri"/>
                <w:color w:val="000000"/>
                <w:sz w:val="20"/>
              </w:rPr>
              <w:t>9.1</w:t>
            </w:r>
            <w:r w:rsidR="001C0CA4" w:rsidRPr="00437DC3">
              <w:rPr>
                <w:rFonts w:ascii="Calibri" w:hAnsi="Calibri" w:cs="Calibri"/>
                <w:color w:val="000000"/>
                <w:sz w:val="20"/>
              </w:rPr>
              <w:t>%</w:t>
            </w:r>
          </w:p>
        </w:tc>
        <w:tc>
          <w:tcPr>
            <w:tcW w:w="1076" w:type="dxa"/>
            <w:shd w:val="clear" w:color="auto" w:fill="auto"/>
            <w:vAlign w:val="center"/>
          </w:tcPr>
          <w:p w14:paraId="53856CAF" w14:textId="2DD7C575" w:rsidR="00C54EB6" w:rsidRPr="00437DC3" w:rsidRDefault="00F96702" w:rsidP="006536A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437DC3">
              <w:rPr>
                <w:rFonts w:ascii="Calibri" w:hAnsi="Calibri" w:cs="Calibri"/>
                <w:color w:val="000000"/>
                <w:sz w:val="20"/>
              </w:rPr>
              <w:t>3.4</w:t>
            </w:r>
            <w:r w:rsidR="001C0CA4" w:rsidRPr="00437DC3">
              <w:rPr>
                <w:rFonts w:ascii="Calibri" w:hAnsi="Calibri" w:cs="Calibri"/>
                <w:color w:val="000000"/>
                <w:sz w:val="20"/>
              </w:rPr>
              <w:t>%</w:t>
            </w:r>
          </w:p>
        </w:tc>
        <w:tc>
          <w:tcPr>
            <w:tcW w:w="1055" w:type="dxa"/>
            <w:shd w:val="clear" w:color="auto" w:fill="auto"/>
            <w:vAlign w:val="center"/>
          </w:tcPr>
          <w:p w14:paraId="40A74AFE" w14:textId="3186739A" w:rsidR="00C54EB6" w:rsidRPr="00437DC3" w:rsidRDefault="001C0CA4" w:rsidP="00F96702">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437DC3">
              <w:rPr>
                <w:rFonts w:ascii="Calibri" w:hAnsi="Calibri" w:cs="Calibri"/>
                <w:color w:val="000000"/>
                <w:sz w:val="20"/>
              </w:rPr>
              <w:t>-</w:t>
            </w:r>
            <w:r w:rsidR="00F96702" w:rsidRPr="00437DC3">
              <w:rPr>
                <w:rFonts w:ascii="Calibri" w:hAnsi="Calibri" w:cs="Calibri"/>
                <w:color w:val="000000"/>
                <w:sz w:val="20"/>
              </w:rPr>
              <w:t>1.8</w:t>
            </w:r>
            <w:r w:rsidRPr="00437DC3">
              <w:rPr>
                <w:rFonts w:ascii="Calibri" w:hAnsi="Calibri" w:cs="Calibri"/>
                <w:color w:val="000000"/>
                <w:sz w:val="20"/>
              </w:rPr>
              <w:t>%</w:t>
            </w:r>
          </w:p>
        </w:tc>
        <w:tc>
          <w:tcPr>
            <w:tcW w:w="1435" w:type="dxa"/>
            <w:shd w:val="clear" w:color="auto" w:fill="auto"/>
            <w:vAlign w:val="center"/>
          </w:tcPr>
          <w:p w14:paraId="6CF4CECF" w14:textId="6CCF7375" w:rsidR="00C54EB6" w:rsidRPr="004A4BC9" w:rsidRDefault="000C344D" w:rsidP="00F96702">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highlight w:val="yellow"/>
              </w:rPr>
            </w:pPr>
            <w:r w:rsidRPr="00365C48">
              <w:rPr>
                <w:rFonts w:ascii="Calibri" w:hAnsi="Calibri" w:cs="Calibri"/>
                <w:color w:val="000000"/>
                <w:sz w:val="20"/>
              </w:rPr>
              <w:t>-</w:t>
            </w:r>
            <w:r w:rsidR="00F96702" w:rsidRPr="00365C48">
              <w:rPr>
                <w:rFonts w:ascii="Calibri" w:hAnsi="Calibri" w:cs="Calibri"/>
                <w:color w:val="000000"/>
                <w:sz w:val="20"/>
              </w:rPr>
              <w:t>5.4</w:t>
            </w:r>
            <w:r w:rsidR="001C0CA4" w:rsidRPr="00365C48">
              <w:rPr>
                <w:rFonts w:ascii="Calibri" w:hAnsi="Calibri" w:cs="Calibri"/>
                <w:color w:val="000000"/>
                <w:sz w:val="20"/>
              </w:rPr>
              <w:t>%</w:t>
            </w:r>
          </w:p>
        </w:tc>
      </w:tr>
      <w:tr w:rsidR="00B243D8" w:rsidRPr="00797CA2" w14:paraId="3CAAD79C"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79441CDB" w14:textId="77777777" w:rsidR="003763FC" w:rsidRPr="004A4BC9" w:rsidRDefault="003763FC" w:rsidP="003763FC">
            <w:pPr>
              <w:spacing w:before="0" w:after="0"/>
              <w:ind w:firstLineChars="200" w:firstLine="160"/>
              <w:rPr>
                <w:rFonts w:ascii="Calibri" w:hAnsi="Calibri" w:cs="Calibri"/>
                <w:iCs/>
                <w:color w:val="000000"/>
                <w:sz w:val="8"/>
                <w:szCs w:val="8"/>
              </w:rPr>
            </w:pPr>
            <w:r w:rsidRPr="004A4BC9">
              <w:rPr>
                <w:rFonts w:ascii="Calibri" w:hAnsi="Calibri" w:cs="Calibri"/>
                <w:iCs/>
                <w:color w:val="000000"/>
                <w:sz w:val="8"/>
                <w:szCs w:val="8"/>
              </w:rPr>
              <w:t> </w:t>
            </w:r>
          </w:p>
        </w:tc>
        <w:tc>
          <w:tcPr>
            <w:tcW w:w="938" w:type="dxa"/>
            <w:vAlign w:val="center"/>
          </w:tcPr>
          <w:p w14:paraId="4513E735" w14:textId="15FA87CC" w:rsidR="003763FC" w:rsidRPr="00AE7CD4"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p>
        </w:tc>
        <w:tc>
          <w:tcPr>
            <w:tcW w:w="1271" w:type="dxa"/>
            <w:vAlign w:val="center"/>
          </w:tcPr>
          <w:p w14:paraId="2799BA97" w14:textId="3EC13AD3" w:rsidR="003763FC" w:rsidRPr="00AE7CD4" w:rsidRDefault="003763FC" w:rsidP="00720F41">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p>
        </w:tc>
        <w:tc>
          <w:tcPr>
            <w:tcW w:w="1083" w:type="dxa"/>
            <w:vAlign w:val="center"/>
          </w:tcPr>
          <w:p w14:paraId="4F9800A1" w14:textId="5BCC1151" w:rsidR="003763FC" w:rsidRPr="00AE7CD4" w:rsidRDefault="003763FC"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p>
        </w:tc>
        <w:tc>
          <w:tcPr>
            <w:tcW w:w="1076" w:type="dxa"/>
            <w:vAlign w:val="center"/>
          </w:tcPr>
          <w:p w14:paraId="155D0F29" w14:textId="2E2EFDD1" w:rsidR="003763FC" w:rsidRPr="00AE7CD4" w:rsidRDefault="003763FC"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p>
        </w:tc>
        <w:tc>
          <w:tcPr>
            <w:tcW w:w="1055" w:type="dxa"/>
            <w:vAlign w:val="center"/>
          </w:tcPr>
          <w:p w14:paraId="2E1B563C" w14:textId="1CC78B12" w:rsidR="003763FC" w:rsidRPr="00AE7CD4" w:rsidRDefault="003763FC"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p>
        </w:tc>
        <w:tc>
          <w:tcPr>
            <w:tcW w:w="1435" w:type="dxa"/>
            <w:vAlign w:val="center"/>
          </w:tcPr>
          <w:p w14:paraId="69C81A6E" w14:textId="54BAC940" w:rsidR="003763FC" w:rsidRPr="004A4BC9" w:rsidRDefault="003763FC" w:rsidP="00720F41">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highlight w:val="yellow"/>
              </w:rPr>
            </w:pPr>
          </w:p>
        </w:tc>
      </w:tr>
      <w:tr w:rsidR="00B243D8" w:rsidRPr="00797CA2" w14:paraId="4C360432" w14:textId="77777777" w:rsidTr="00BF2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011E59DC" w14:textId="5CF5EFE2" w:rsidR="00937C11" w:rsidRPr="004A4BC9" w:rsidRDefault="00937C11" w:rsidP="00937C11">
            <w:pPr>
              <w:spacing w:before="0" w:after="0"/>
              <w:ind w:firstLineChars="200" w:firstLine="400"/>
              <w:rPr>
                <w:rFonts w:ascii="Calibri" w:hAnsi="Calibri" w:cs="Calibri"/>
                <w:iCs/>
                <w:color w:val="000000"/>
                <w:sz w:val="20"/>
              </w:rPr>
            </w:pPr>
            <w:r w:rsidRPr="004A4BC9">
              <w:rPr>
                <w:rFonts w:ascii="Calibri" w:hAnsi="Calibri" w:cs="Calibri"/>
                <w:iCs/>
                <w:color w:val="000000"/>
                <w:sz w:val="20"/>
              </w:rPr>
              <w:t>Nominal goods exports (NT)</w:t>
            </w:r>
          </w:p>
        </w:tc>
        <w:tc>
          <w:tcPr>
            <w:tcW w:w="938" w:type="dxa"/>
            <w:shd w:val="clear" w:color="auto" w:fill="auto"/>
            <w:vAlign w:val="center"/>
          </w:tcPr>
          <w:p w14:paraId="046A0CC4" w14:textId="4E20529C" w:rsidR="00937C11" w:rsidRPr="00AE7CD4" w:rsidRDefault="0033684F" w:rsidP="00937C11">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AE7CD4">
              <w:rPr>
                <w:rFonts w:ascii="Calibri" w:hAnsi="Calibri" w:cs="Calibri"/>
                <w:color w:val="000000"/>
                <w:sz w:val="20"/>
              </w:rPr>
              <w:t>Oct</w:t>
            </w:r>
            <w:r w:rsidR="001C0CA4" w:rsidRPr="00AE7CD4">
              <w:rPr>
                <w:rFonts w:ascii="Calibri" w:hAnsi="Calibri" w:cs="Calibri"/>
                <w:color w:val="000000"/>
                <w:sz w:val="20"/>
              </w:rPr>
              <w:t>-23</w:t>
            </w:r>
          </w:p>
        </w:tc>
        <w:tc>
          <w:tcPr>
            <w:tcW w:w="1271" w:type="dxa"/>
            <w:shd w:val="clear" w:color="auto" w:fill="auto"/>
            <w:vAlign w:val="center"/>
          </w:tcPr>
          <w:p w14:paraId="73786563" w14:textId="5F2AC867" w:rsidR="00937C11" w:rsidRPr="00AE7CD4" w:rsidRDefault="00D2496C" w:rsidP="0033684F">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AE7CD4">
              <w:rPr>
                <w:rFonts w:ascii="Calibri" w:hAnsi="Calibri" w:cs="Calibri"/>
                <w:color w:val="000000"/>
                <w:sz w:val="20"/>
              </w:rPr>
              <w:t>1.</w:t>
            </w:r>
            <w:r w:rsidR="0033684F" w:rsidRPr="00AE7CD4">
              <w:rPr>
                <w:rFonts w:ascii="Calibri" w:hAnsi="Calibri" w:cs="Calibri"/>
                <w:color w:val="000000"/>
                <w:sz w:val="20"/>
              </w:rPr>
              <w:t>188</w:t>
            </w:r>
          </w:p>
        </w:tc>
        <w:tc>
          <w:tcPr>
            <w:tcW w:w="1083" w:type="dxa"/>
            <w:shd w:val="clear" w:color="auto" w:fill="auto"/>
            <w:vAlign w:val="center"/>
          </w:tcPr>
          <w:p w14:paraId="6CD6766A" w14:textId="25B70902" w:rsidR="00937C11" w:rsidRPr="00AE7CD4" w:rsidRDefault="0033684F" w:rsidP="00D2496C">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AE7CD4">
              <w:rPr>
                <w:rFonts w:ascii="Calibri" w:hAnsi="Calibri" w:cs="Calibri"/>
                <w:color w:val="000000"/>
                <w:sz w:val="20"/>
              </w:rPr>
              <w:t>-10.1</w:t>
            </w:r>
            <w:r w:rsidR="001C0CA4" w:rsidRPr="00AE7CD4">
              <w:rPr>
                <w:rFonts w:ascii="Calibri" w:hAnsi="Calibri" w:cs="Calibri"/>
                <w:color w:val="000000"/>
                <w:sz w:val="20"/>
              </w:rPr>
              <w:t>%</w:t>
            </w:r>
          </w:p>
        </w:tc>
        <w:tc>
          <w:tcPr>
            <w:tcW w:w="1076" w:type="dxa"/>
            <w:shd w:val="clear" w:color="auto" w:fill="auto"/>
            <w:vAlign w:val="center"/>
          </w:tcPr>
          <w:p w14:paraId="7A89AD3A" w14:textId="1233EC33" w:rsidR="00937C11" w:rsidRPr="00AE7CD4" w:rsidRDefault="00F96702" w:rsidP="0033684F">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AE7CD4">
              <w:rPr>
                <w:rFonts w:ascii="Calibri" w:hAnsi="Calibri" w:cs="Calibri"/>
                <w:color w:val="000000"/>
                <w:sz w:val="20"/>
              </w:rPr>
              <w:t>-</w:t>
            </w:r>
            <w:r w:rsidR="0033684F" w:rsidRPr="00AE7CD4">
              <w:rPr>
                <w:rFonts w:ascii="Calibri" w:hAnsi="Calibri" w:cs="Calibri"/>
                <w:color w:val="000000"/>
                <w:sz w:val="20"/>
              </w:rPr>
              <w:t>40.6</w:t>
            </w:r>
            <w:r w:rsidR="001C0CA4" w:rsidRPr="00AE7CD4">
              <w:rPr>
                <w:rFonts w:ascii="Calibri" w:hAnsi="Calibri" w:cs="Calibri"/>
                <w:color w:val="000000"/>
                <w:sz w:val="20"/>
              </w:rPr>
              <w:t>%</w:t>
            </w:r>
          </w:p>
        </w:tc>
        <w:tc>
          <w:tcPr>
            <w:tcW w:w="1055" w:type="dxa"/>
            <w:shd w:val="clear" w:color="auto" w:fill="auto"/>
            <w:vAlign w:val="center"/>
          </w:tcPr>
          <w:p w14:paraId="0EC7797E" w14:textId="0EE7E2E9" w:rsidR="00937C11" w:rsidRPr="00AE7CD4" w:rsidRDefault="0033684F"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AE7CD4">
              <w:rPr>
                <w:rFonts w:ascii="Calibri" w:hAnsi="Calibri" w:cs="Calibri"/>
                <w:color w:val="000000"/>
                <w:sz w:val="20"/>
              </w:rPr>
              <w:t>-4.8</w:t>
            </w:r>
            <w:r w:rsidR="001C0CA4" w:rsidRPr="00AE7CD4">
              <w:rPr>
                <w:rFonts w:ascii="Calibri" w:hAnsi="Calibri" w:cs="Calibri"/>
                <w:color w:val="000000"/>
                <w:sz w:val="20"/>
              </w:rPr>
              <w:t>%</w:t>
            </w:r>
          </w:p>
        </w:tc>
        <w:tc>
          <w:tcPr>
            <w:tcW w:w="1435" w:type="dxa"/>
            <w:shd w:val="clear" w:color="auto" w:fill="auto"/>
            <w:vAlign w:val="center"/>
          </w:tcPr>
          <w:p w14:paraId="158C8E26" w14:textId="556546F3" w:rsidR="00937C11" w:rsidRPr="004A4BC9" w:rsidRDefault="00F96702" w:rsidP="0033684F">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highlight w:val="yellow"/>
              </w:rPr>
            </w:pPr>
            <w:r w:rsidRPr="00AE7CD4">
              <w:rPr>
                <w:rFonts w:ascii="Calibri" w:hAnsi="Calibri" w:cs="Calibri"/>
                <w:color w:val="000000"/>
                <w:sz w:val="20"/>
              </w:rPr>
              <w:t>3</w:t>
            </w:r>
            <w:r w:rsidR="0033684F" w:rsidRPr="00AE7CD4">
              <w:rPr>
                <w:rFonts w:ascii="Calibri" w:hAnsi="Calibri" w:cs="Calibri"/>
                <w:color w:val="000000"/>
                <w:sz w:val="20"/>
              </w:rPr>
              <w:t>4</w:t>
            </w:r>
            <w:r w:rsidRPr="00AE7CD4">
              <w:rPr>
                <w:rFonts w:ascii="Calibri" w:hAnsi="Calibri" w:cs="Calibri"/>
                <w:color w:val="000000"/>
                <w:sz w:val="20"/>
              </w:rPr>
              <w:t>.</w:t>
            </w:r>
            <w:r w:rsidR="0033684F" w:rsidRPr="00AE7CD4">
              <w:rPr>
                <w:rFonts w:ascii="Calibri" w:hAnsi="Calibri" w:cs="Calibri"/>
                <w:color w:val="000000"/>
                <w:sz w:val="20"/>
              </w:rPr>
              <w:t>1</w:t>
            </w:r>
            <w:r w:rsidR="001C0CA4" w:rsidRPr="00AE7CD4">
              <w:rPr>
                <w:rFonts w:ascii="Calibri" w:hAnsi="Calibri" w:cs="Calibri"/>
                <w:color w:val="000000"/>
                <w:sz w:val="20"/>
              </w:rPr>
              <w:t>%</w:t>
            </w:r>
          </w:p>
        </w:tc>
      </w:tr>
      <w:tr w:rsidR="00B243D8" w:rsidRPr="00797CA2" w14:paraId="3D7FC88A"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4F4BDB70" w14:textId="0871BD09" w:rsidR="00937C11" w:rsidRPr="004A4BC9" w:rsidRDefault="00937C11" w:rsidP="00937C11">
            <w:pPr>
              <w:spacing w:before="0" w:after="0"/>
              <w:ind w:firstLineChars="200" w:firstLine="400"/>
              <w:rPr>
                <w:rFonts w:ascii="Calibri" w:hAnsi="Calibri" w:cs="Calibri"/>
                <w:iCs/>
                <w:color w:val="000000"/>
                <w:sz w:val="20"/>
              </w:rPr>
            </w:pPr>
            <w:r w:rsidRPr="004A4BC9">
              <w:rPr>
                <w:rFonts w:ascii="Calibri" w:hAnsi="Calibri" w:cs="Calibri"/>
                <w:iCs/>
                <w:color w:val="000000"/>
                <w:sz w:val="20"/>
              </w:rPr>
              <w:t xml:space="preserve">Nominal goods </w:t>
            </w:r>
            <w:r w:rsidR="00720F41" w:rsidRPr="004A4BC9">
              <w:rPr>
                <w:rFonts w:ascii="Calibri" w:hAnsi="Calibri" w:cs="Calibri"/>
                <w:iCs/>
                <w:color w:val="000000"/>
                <w:sz w:val="20"/>
              </w:rPr>
              <w:t>exports (Aus</w:t>
            </w:r>
            <w:r w:rsidRPr="004A4BC9">
              <w:rPr>
                <w:rFonts w:ascii="Calibri" w:hAnsi="Calibri" w:cs="Calibri"/>
                <w:iCs/>
                <w:color w:val="000000"/>
                <w:sz w:val="20"/>
              </w:rPr>
              <w:t>) (sa)</w:t>
            </w:r>
          </w:p>
        </w:tc>
        <w:tc>
          <w:tcPr>
            <w:tcW w:w="938" w:type="dxa"/>
            <w:vAlign w:val="center"/>
          </w:tcPr>
          <w:p w14:paraId="2C2E3965" w14:textId="4C0542F2" w:rsidR="00937C11" w:rsidRPr="00AE7CD4" w:rsidRDefault="0033684F" w:rsidP="00937C11">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AE7CD4">
              <w:rPr>
                <w:rFonts w:ascii="Calibri" w:hAnsi="Calibri" w:cs="Calibri"/>
                <w:color w:val="000000"/>
                <w:sz w:val="20"/>
              </w:rPr>
              <w:t>Oct</w:t>
            </w:r>
            <w:r w:rsidR="001C0CA4" w:rsidRPr="00AE7CD4">
              <w:rPr>
                <w:rFonts w:ascii="Calibri" w:hAnsi="Calibri" w:cs="Calibri"/>
                <w:color w:val="000000"/>
                <w:sz w:val="20"/>
              </w:rPr>
              <w:t>-23</w:t>
            </w:r>
          </w:p>
        </w:tc>
        <w:tc>
          <w:tcPr>
            <w:tcW w:w="1271" w:type="dxa"/>
            <w:vAlign w:val="center"/>
          </w:tcPr>
          <w:p w14:paraId="045CAC24" w14:textId="72C02C7F" w:rsidR="00937C11" w:rsidRPr="00AE7CD4" w:rsidRDefault="0033684F" w:rsidP="0033684F">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AE7CD4">
              <w:rPr>
                <w:rFonts w:ascii="Calibri" w:hAnsi="Calibri" w:cs="Calibri"/>
                <w:color w:val="000000"/>
                <w:sz w:val="20"/>
              </w:rPr>
              <w:t>45</w:t>
            </w:r>
            <w:r w:rsidR="00D2496C" w:rsidRPr="00AE7CD4">
              <w:rPr>
                <w:rFonts w:ascii="Calibri" w:hAnsi="Calibri" w:cs="Calibri"/>
                <w:color w:val="000000"/>
                <w:sz w:val="20"/>
              </w:rPr>
              <w:t>.</w:t>
            </w:r>
            <w:r w:rsidRPr="00AE7CD4">
              <w:rPr>
                <w:rFonts w:ascii="Calibri" w:hAnsi="Calibri" w:cs="Calibri"/>
                <w:color w:val="000000"/>
                <w:sz w:val="20"/>
              </w:rPr>
              <w:t>548</w:t>
            </w:r>
          </w:p>
        </w:tc>
        <w:tc>
          <w:tcPr>
            <w:tcW w:w="1083" w:type="dxa"/>
            <w:vAlign w:val="center"/>
          </w:tcPr>
          <w:p w14:paraId="72448963" w14:textId="7D8F5A70" w:rsidR="00937C11" w:rsidRPr="00AE7CD4" w:rsidRDefault="0033684F" w:rsidP="00D2496C">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AE7CD4">
              <w:rPr>
                <w:rFonts w:ascii="Calibri" w:hAnsi="Calibri" w:cs="Calibri"/>
                <w:color w:val="000000"/>
                <w:sz w:val="20"/>
              </w:rPr>
              <w:t>0.4</w:t>
            </w:r>
            <w:r w:rsidR="001C0CA4" w:rsidRPr="00AE7CD4">
              <w:rPr>
                <w:rFonts w:ascii="Calibri" w:hAnsi="Calibri" w:cs="Calibri"/>
                <w:color w:val="000000"/>
                <w:sz w:val="20"/>
              </w:rPr>
              <w:t>%</w:t>
            </w:r>
          </w:p>
        </w:tc>
        <w:tc>
          <w:tcPr>
            <w:tcW w:w="1076" w:type="dxa"/>
            <w:vAlign w:val="center"/>
          </w:tcPr>
          <w:p w14:paraId="4A579087" w14:textId="500B1556" w:rsidR="00937C11" w:rsidRPr="00AE7CD4" w:rsidRDefault="001C0CA4" w:rsidP="0033684F">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AE7CD4">
              <w:rPr>
                <w:rFonts w:ascii="Calibri" w:hAnsi="Calibri" w:cs="Calibri"/>
                <w:color w:val="000000"/>
                <w:sz w:val="20"/>
              </w:rPr>
              <w:t>-</w:t>
            </w:r>
            <w:r w:rsidR="0033684F" w:rsidRPr="00AE7CD4">
              <w:rPr>
                <w:rFonts w:ascii="Calibri" w:hAnsi="Calibri" w:cs="Calibri"/>
                <w:color w:val="000000"/>
                <w:sz w:val="20"/>
              </w:rPr>
              <w:t>11</w:t>
            </w:r>
            <w:r w:rsidR="00973C6B" w:rsidRPr="00AE7CD4">
              <w:rPr>
                <w:rFonts w:ascii="Calibri" w:hAnsi="Calibri" w:cs="Calibri"/>
                <w:color w:val="000000"/>
                <w:sz w:val="20"/>
              </w:rPr>
              <w:t>.9</w:t>
            </w:r>
            <w:r w:rsidRPr="00AE7CD4">
              <w:rPr>
                <w:rFonts w:ascii="Calibri" w:hAnsi="Calibri" w:cs="Calibri"/>
                <w:color w:val="000000"/>
                <w:sz w:val="20"/>
              </w:rPr>
              <w:t>%</w:t>
            </w:r>
          </w:p>
        </w:tc>
        <w:tc>
          <w:tcPr>
            <w:tcW w:w="1055" w:type="dxa"/>
            <w:vAlign w:val="center"/>
          </w:tcPr>
          <w:p w14:paraId="1C5064BC" w14:textId="668A6DB5" w:rsidR="00937C11" w:rsidRPr="004A4BC9" w:rsidRDefault="0033684F" w:rsidP="00D2496C">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highlight w:val="yellow"/>
              </w:rPr>
            </w:pPr>
            <w:r w:rsidRPr="00343100">
              <w:rPr>
                <w:rFonts w:ascii="Calibri" w:hAnsi="Calibri" w:cs="Calibri"/>
                <w:color w:val="000000"/>
                <w:sz w:val="20"/>
              </w:rPr>
              <w:t>-1</w:t>
            </w:r>
            <w:r w:rsidR="00AE7CD4" w:rsidRPr="00343100">
              <w:rPr>
                <w:rFonts w:ascii="Calibri" w:hAnsi="Calibri" w:cs="Calibri"/>
                <w:color w:val="000000"/>
                <w:sz w:val="20"/>
              </w:rPr>
              <w:t>.2</w:t>
            </w:r>
            <w:r w:rsidR="0083751D" w:rsidRPr="00343100">
              <w:rPr>
                <w:rFonts w:ascii="Calibri" w:hAnsi="Calibri" w:cs="Calibri"/>
                <w:color w:val="000000"/>
                <w:sz w:val="20"/>
              </w:rPr>
              <w:t>%</w:t>
            </w:r>
          </w:p>
        </w:tc>
        <w:tc>
          <w:tcPr>
            <w:tcW w:w="1435" w:type="dxa"/>
            <w:vAlign w:val="center"/>
          </w:tcPr>
          <w:p w14:paraId="53354408" w14:textId="1304F7E0" w:rsidR="00937C11" w:rsidRPr="004A4BC9" w:rsidRDefault="00973C6B" w:rsidP="0033684F">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highlight w:val="yellow"/>
              </w:rPr>
            </w:pPr>
            <w:r w:rsidRPr="00AE7CD4">
              <w:rPr>
                <w:rFonts w:ascii="Calibri" w:hAnsi="Calibri" w:cs="Calibri"/>
                <w:color w:val="000000"/>
                <w:sz w:val="20"/>
              </w:rPr>
              <w:t>4</w:t>
            </w:r>
            <w:r w:rsidR="0033684F" w:rsidRPr="00AE7CD4">
              <w:rPr>
                <w:rFonts w:ascii="Calibri" w:hAnsi="Calibri" w:cs="Calibri"/>
                <w:color w:val="000000"/>
                <w:sz w:val="20"/>
              </w:rPr>
              <w:t>5</w:t>
            </w:r>
            <w:r w:rsidRPr="00AE7CD4">
              <w:rPr>
                <w:rFonts w:ascii="Calibri" w:hAnsi="Calibri" w:cs="Calibri"/>
                <w:color w:val="000000"/>
                <w:sz w:val="20"/>
              </w:rPr>
              <w:t>.</w:t>
            </w:r>
            <w:r w:rsidR="0033684F" w:rsidRPr="00AE7CD4">
              <w:rPr>
                <w:rFonts w:ascii="Calibri" w:hAnsi="Calibri" w:cs="Calibri"/>
                <w:color w:val="000000"/>
                <w:sz w:val="20"/>
              </w:rPr>
              <w:t>5</w:t>
            </w:r>
            <w:r w:rsidR="001C0CA4" w:rsidRPr="00AE7CD4">
              <w:rPr>
                <w:rFonts w:ascii="Calibri" w:hAnsi="Calibri" w:cs="Calibri"/>
                <w:color w:val="000000"/>
                <w:sz w:val="20"/>
              </w:rPr>
              <w:t>%</w:t>
            </w:r>
          </w:p>
        </w:tc>
      </w:tr>
      <w:tr w:rsidR="00B243D8" w:rsidRPr="004A4BC9" w14:paraId="573DC8CA" w14:textId="77777777" w:rsidTr="00BE289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6A3D239B" w14:textId="77777777" w:rsidR="004F7E54" w:rsidRPr="004A4BC9" w:rsidRDefault="004F7E54" w:rsidP="00BE2895">
            <w:pPr>
              <w:spacing w:before="20" w:after="20"/>
              <w:rPr>
                <w:rFonts w:ascii="Calibri" w:hAnsi="Calibri" w:cs="Calibri"/>
                <w:b/>
                <w:bCs/>
                <w:color w:val="000000"/>
                <w:sz w:val="20"/>
              </w:rPr>
            </w:pPr>
            <w:r w:rsidRPr="004A4BC9">
              <w:rPr>
                <w:rFonts w:ascii="Calibri" w:hAnsi="Calibri" w:cs="Calibri"/>
                <w:b/>
                <w:bCs/>
                <w:color w:val="000000"/>
                <w:sz w:val="20"/>
              </w:rPr>
              <w:t>Prices</w:t>
            </w:r>
          </w:p>
        </w:tc>
        <w:tc>
          <w:tcPr>
            <w:tcW w:w="938" w:type="dxa"/>
            <w:vAlign w:val="center"/>
          </w:tcPr>
          <w:p w14:paraId="468BEA78" w14:textId="77777777" w:rsidR="004F7E54" w:rsidRPr="004A4BC9" w:rsidRDefault="004F7E54" w:rsidP="00BE2895">
            <w:pPr>
              <w:spacing w:before="20" w:after="2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4A4BC9">
              <w:rPr>
                <w:rFonts w:ascii="Calibri" w:hAnsi="Calibri" w:cs="Calibri"/>
                <w:color w:val="000000"/>
                <w:sz w:val="20"/>
              </w:rPr>
              <w:t> </w:t>
            </w:r>
          </w:p>
        </w:tc>
        <w:tc>
          <w:tcPr>
            <w:tcW w:w="1271" w:type="dxa"/>
            <w:vAlign w:val="center"/>
          </w:tcPr>
          <w:p w14:paraId="00AECC6C" w14:textId="2A9B9DD4" w:rsidR="004F7E54" w:rsidRPr="004A4BC9" w:rsidRDefault="00995976" w:rsidP="005A0B99">
            <w:pPr>
              <w:spacing w:before="20" w:after="2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sz w:val="20"/>
              </w:rPr>
            </w:pPr>
            <w:r w:rsidRPr="004A4BC9">
              <w:rPr>
                <w:rFonts w:ascii="Calibri" w:hAnsi="Calibri" w:cs="Calibri"/>
                <w:b/>
                <w:color w:val="000000"/>
                <w:sz w:val="20"/>
              </w:rPr>
              <w:t xml:space="preserve">Annual </w:t>
            </w:r>
            <w:r w:rsidR="005A0B99" w:rsidRPr="004A4BC9">
              <w:rPr>
                <w:rFonts w:ascii="Calibri" w:hAnsi="Calibri" w:cs="Calibri"/>
                <w:b/>
                <w:color w:val="000000"/>
                <w:sz w:val="20"/>
              </w:rPr>
              <w:t>Δ</w:t>
            </w:r>
            <w:r w:rsidR="00BF26A2" w:rsidRPr="004A4BC9">
              <w:rPr>
                <w:rFonts w:ascii="Calibri" w:hAnsi="Calibri" w:cs="Calibri"/>
                <w:b/>
                <w:color w:val="000000"/>
                <w:sz w:val="20"/>
                <w:vertAlign w:val="superscript"/>
              </w:rPr>
              <w:t>2</w:t>
            </w:r>
          </w:p>
        </w:tc>
        <w:tc>
          <w:tcPr>
            <w:tcW w:w="1083" w:type="dxa"/>
            <w:vAlign w:val="center"/>
          </w:tcPr>
          <w:p w14:paraId="4CE50202" w14:textId="77777777" w:rsidR="004F7E54" w:rsidRPr="004A4BC9"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4A4BC9">
              <w:rPr>
                <w:rFonts w:ascii="Calibri" w:hAnsi="Calibri" w:cs="Calibri"/>
                <w:color w:val="000000"/>
                <w:sz w:val="20"/>
              </w:rPr>
              <w:t> </w:t>
            </w:r>
          </w:p>
        </w:tc>
        <w:tc>
          <w:tcPr>
            <w:tcW w:w="1076" w:type="dxa"/>
            <w:vAlign w:val="center"/>
          </w:tcPr>
          <w:p w14:paraId="088AD81B" w14:textId="77777777" w:rsidR="004F7E54" w:rsidRPr="004A4BC9"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4A4BC9">
              <w:rPr>
                <w:rFonts w:ascii="Calibri" w:hAnsi="Calibri" w:cs="Calibri"/>
                <w:color w:val="000000"/>
                <w:sz w:val="20"/>
              </w:rPr>
              <w:t> </w:t>
            </w:r>
          </w:p>
        </w:tc>
        <w:tc>
          <w:tcPr>
            <w:tcW w:w="1055" w:type="dxa"/>
            <w:vAlign w:val="center"/>
          </w:tcPr>
          <w:p w14:paraId="5191266D" w14:textId="77777777" w:rsidR="004F7E54" w:rsidRPr="004A4BC9"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4A4BC9">
              <w:rPr>
                <w:rFonts w:ascii="Calibri" w:hAnsi="Calibri" w:cs="Calibri"/>
                <w:color w:val="000000"/>
                <w:sz w:val="20"/>
              </w:rPr>
              <w:t> </w:t>
            </w:r>
          </w:p>
        </w:tc>
        <w:tc>
          <w:tcPr>
            <w:tcW w:w="1435" w:type="dxa"/>
            <w:vAlign w:val="center"/>
          </w:tcPr>
          <w:p w14:paraId="487BFA4A" w14:textId="77777777" w:rsidR="004F7E54" w:rsidRPr="004A4BC9" w:rsidRDefault="004F7E54" w:rsidP="00BE2895">
            <w:pPr>
              <w:spacing w:before="20" w:after="2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4A4BC9">
              <w:rPr>
                <w:rFonts w:ascii="Calibri" w:hAnsi="Calibri" w:cs="Calibri"/>
                <w:color w:val="000000"/>
                <w:sz w:val="20"/>
              </w:rPr>
              <w:t> </w:t>
            </w:r>
          </w:p>
        </w:tc>
      </w:tr>
      <w:tr w:rsidR="00B243D8" w:rsidRPr="00797CA2" w14:paraId="7C7FF94A"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784CDA66" w14:textId="77777777" w:rsidR="00937C11" w:rsidRPr="004A4BC9" w:rsidRDefault="00937C11" w:rsidP="00937C11">
            <w:pPr>
              <w:spacing w:before="0" w:after="0"/>
              <w:ind w:firstLineChars="200" w:firstLine="400"/>
              <w:rPr>
                <w:rFonts w:ascii="Calibri" w:hAnsi="Calibri" w:cs="Calibri"/>
                <w:iCs/>
                <w:color w:val="000000"/>
                <w:sz w:val="20"/>
              </w:rPr>
            </w:pPr>
            <w:r w:rsidRPr="004A4BC9">
              <w:rPr>
                <w:rFonts w:ascii="Calibri" w:hAnsi="Calibri" w:cs="Calibri"/>
                <w:iCs/>
                <w:color w:val="000000"/>
                <w:sz w:val="20"/>
              </w:rPr>
              <w:t>Inflation (Darwin)</w:t>
            </w:r>
          </w:p>
        </w:tc>
        <w:tc>
          <w:tcPr>
            <w:tcW w:w="938" w:type="dxa"/>
            <w:vAlign w:val="center"/>
          </w:tcPr>
          <w:p w14:paraId="37638646" w14:textId="49A494AB" w:rsidR="00937C11" w:rsidRPr="005A0938" w:rsidRDefault="00207524" w:rsidP="006536A6">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5A0938">
              <w:rPr>
                <w:rFonts w:ascii="Calibri" w:hAnsi="Calibri" w:cs="Calibri"/>
                <w:color w:val="000000"/>
                <w:sz w:val="20"/>
              </w:rPr>
              <w:t>Sep</w:t>
            </w:r>
            <w:r w:rsidR="001C0CA4" w:rsidRPr="005A0938">
              <w:rPr>
                <w:rFonts w:ascii="Calibri" w:hAnsi="Calibri" w:cs="Calibri"/>
                <w:color w:val="000000"/>
                <w:sz w:val="20"/>
              </w:rPr>
              <w:t>-23</w:t>
            </w:r>
          </w:p>
        </w:tc>
        <w:tc>
          <w:tcPr>
            <w:tcW w:w="1271" w:type="dxa"/>
            <w:vAlign w:val="center"/>
          </w:tcPr>
          <w:p w14:paraId="0022F1CB" w14:textId="6427A249" w:rsidR="00937C11" w:rsidRPr="004A4BC9" w:rsidRDefault="00207524" w:rsidP="00720F41">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highlight w:val="yellow"/>
              </w:rPr>
            </w:pPr>
            <w:r w:rsidRPr="005A0938">
              <w:rPr>
                <w:rFonts w:ascii="Calibri" w:hAnsi="Calibri" w:cs="Calibri"/>
                <w:color w:val="000000"/>
                <w:sz w:val="20"/>
              </w:rPr>
              <w:t>4</w:t>
            </w:r>
            <w:r w:rsidR="001C0CA4" w:rsidRPr="005A0938">
              <w:rPr>
                <w:rFonts w:ascii="Calibri" w:hAnsi="Calibri" w:cs="Calibri"/>
                <w:color w:val="000000"/>
                <w:sz w:val="20"/>
              </w:rPr>
              <w:t>.3%</w:t>
            </w:r>
          </w:p>
        </w:tc>
        <w:tc>
          <w:tcPr>
            <w:tcW w:w="1083" w:type="dxa"/>
            <w:vAlign w:val="center"/>
          </w:tcPr>
          <w:p w14:paraId="57A29B5D" w14:textId="28BA13FF" w:rsidR="00937C11" w:rsidRPr="005A0938" w:rsidRDefault="00207524" w:rsidP="006536A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5A0938">
              <w:rPr>
                <w:rFonts w:ascii="Calibri" w:hAnsi="Calibri" w:cs="Calibri"/>
                <w:color w:val="000000"/>
                <w:sz w:val="20"/>
              </w:rPr>
              <w:t xml:space="preserve">-1.0 </w:t>
            </w:r>
            <w:r w:rsidR="001C0CA4" w:rsidRPr="005A0938">
              <w:rPr>
                <w:rFonts w:ascii="Calibri" w:hAnsi="Calibri" w:cs="Calibri"/>
                <w:color w:val="000000"/>
                <w:sz w:val="20"/>
              </w:rPr>
              <w:t>ppt</w:t>
            </w:r>
          </w:p>
        </w:tc>
        <w:tc>
          <w:tcPr>
            <w:tcW w:w="1076" w:type="dxa"/>
            <w:vAlign w:val="center"/>
          </w:tcPr>
          <w:p w14:paraId="142F157B" w14:textId="42FA6A8C" w:rsidR="00937C11" w:rsidRPr="005A0938" w:rsidRDefault="001C0CA4" w:rsidP="00207524">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5A0938">
              <w:rPr>
                <w:rFonts w:ascii="Calibri" w:hAnsi="Calibri" w:cs="Calibri"/>
                <w:color w:val="000000"/>
                <w:sz w:val="20"/>
              </w:rPr>
              <w:t>-</w:t>
            </w:r>
            <w:r w:rsidR="00207524" w:rsidRPr="005A0938">
              <w:rPr>
                <w:rFonts w:ascii="Calibri" w:hAnsi="Calibri" w:cs="Calibri"/>
                <w:color w:val="000000"/>
                <w:sz w:val="20"/>
              </w:rPr>
              <w:t>2.7</w:t>
            </w:r>
            <w:r w:rsidRPr="005A0938">
              <w:rPr>
                <w:rFonts w:ascii="Calibri" w:hAnsi="Calibri" w:cs="Calibri"/>
                <w:color w:val="000000"/>
                <w:sz w:val="20"/>
              </w:rPr>
              <w:t xml:space="preserve"> ppt</w:t>
            </w:r>
          </w:p>
        </w:tc>
        <w:tc>
          <w:tcPr>
            <w:tcW w:w="1055" w:type="dxa"/>
            <w:vAlign w:val="center"/>
          </w:tcPr>
          <w:p w14:paraId="6D57D79D" w14:textId="410A750A" w:rsidR="00937C11" w:rsidRPr="005A0938" w:rsidRDefault="001C0CA4" w:rsidP="00085B4D">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5A0938">
              <w:rPr>
                <w:rFonts w:ascii="Calibri" w:hAnsi="Calibri" w:cs="Calibri"/>
                <w:color w:val="000000"/>
                <w:sz w:val="20"/>
              </w:rPr>
              <w:t xml:space="preserve">na </w:t>
            </w:r>
          </w:p>
        </w:tc>
        <w:tc>
          <w:tcPr>
            <w:tcW w:w="1435" w:type="dxa"/>
            <w:vAlign w:val="center"/>
          </w:tcPr>
          <w:p w14:paraId="5DF78A42" w14:textId="6ADDFD66" w:rsidR="00937C11" w:rsidRPr="004A4BC9" w:rsidRDefault="000C344D" w:rsidP="00207524">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highlight w:val="yellow"/>
              </w:rPr>
            </w:pPr>
            <w:r w:rsidRPr="005A0938">
              <w:rPr>
                <w:rFonts w:ascii="Calibri" w:hAnsi="Calibri" w:cs="Calibri"/>
                <w:color w:val="000000"/>
                <w:sz w:val="20"/>
              </w:rPr>
              <w:t>5.</w:t>
            </w:r>
            <w:r w:rsidR="00207524" w:rsidRPr="005A0938">
              <w:rPr>
                <w:rFonts w:ascii="Calibri" w:hAnsi="Calibri" w:cs="Calibri"/>
                <w:color w:val="000000"/>
                <w:sz w:val="20"/>
              </w:rPr>
              <w:t>2</w:t>
            </w:r>
            <w:r w:rsidR="001C0CA4" w:rsidRPr="005A0938">
              <w:rPr>
                <w:rFonts w:ascii="Calibri" w:hAnsi="Calibri" w:cs="Calibri"/>
                <w:color w:val="000000"/>
                <w:sz w:val="20"/>
              </w:rPr>
              <w:t xml:space="preserve"> ppt</w:t>
            </w:r>
          </w:p>
        </w:tc>
      </w:tr>
      <w:tr w:rsidR="00B243D8" w:rsidRPr="00797CA2" w14:paraId="0F829271" w14:textId="77777777" w:rsidTr="00BF2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548B7AA0" w14:textId="77777777" w:rsidR="00937C11" w:rsidRPr="004A4BC9" w:rsidRDefault="00937C11" w:rsidP="00937C11">
            <w:pPr>
              <w:spacing w:before="0" w:after="0"/>
              <w:ind w:firstLineChars="200" w:firstLine="400"/>
              <w:rPr>
                <w:rFonts w:ascii="Calibri" w:hAnsi="Calibri" w:cs="Calibri"/>
                <w:iCs/>
                <w:color w:val="000000"/>
                <w:sz w:val="20"/>
              </w:rPr>
            </w:pPr>
            <w:r w:rsidRPr="004A4BC9">
              <w:rPr>
                <w:rFonts w:ascii="Calibri" w:hAnsi="Calibri" w:cs="Calibri"/>
                <w:iCs/>
                <w:color w:val="000000"/>
                <w:sz w:val="20"/>
              </w:rPr>
              <w:t>Inflation (8 Capitals)</w:t>
            </w:r>
          </w:p>
        </w:tc>
        <w:tc>
          <w:tcPr>
            <w:tcW w:w="938" w:type="dxa"/>
            <w:shd w:val="clear" w:color="auto" w:fill="auto"/>
            <w:vAlign w:val="center"/>
          </w:tcPr>
          <w:p w14:paraId="05EC37F3" w14:textId="3A67B94F" w:rsidR="00937C11" w:rsidRPr="005A0938" w:rsidRDefault="00207524" w:rsidP="006536A6">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5A0938">
              <w:rPr>
                <w:rFonts w:ascii="Calibri" w:hAnsi="Calibri" w:cs="Calibri"/>
                <w:color w:val="000000"/>
                <w:sz w:val="20"/>
              </w:rPr>
              <w:t>Sep</w:t>
            </w:r>
            <w:r w:rsidR="001C0CA4" w:rsidRPr="005A0938">
              <w:rPr>
                <w:rFonts w:ascii="Calibri" w:hAnsi="Calibri" w:cs="Calibri"/>
                <w:color w:val="000000"/>
                <w:sz w:val="20"/>
              </w:rPr>
              <w:t>-23</w:t>
            </w:r>
          </w:p>
        </w:tc>
        <w:tc>
          <w:tcPr>
            <w:tcW w:w="1271" w:type="dxa"/>
            <w:shd w:val="clear" w:color="auto" w:fill="auto"/>
            <w:vAlign w:val="center"/>
          </w:tcPr>
          <w:p w14:paraId="522B275D" w14:textId="20B74CCB" w:rsidR="00937C11" w:rsidRPr="005A0938" w:rsidRDefault="00207524" w:rsidP="006536A6">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5A0938">
              <w:rPr>
                <w:rFonts w:ascii="Calibri" w:hAnsi="Calibri" w:cs="Calibri"/>
                <w:color w:val="000000"/>
                <w:sz w:val="20"/>
              </w:rPr>
              <w:t>5.4</w:t>
            </w:r>
            <w:r w:rsidR="001C0CA4" w:rsidRPr="005A0938">
              <w:rPr>
                <w:rFonts w:ascii="Calibri" w:hAnsi="Calibri" w:cs="Calibri"/>
                <w:color w:val="000000"/>
                <w:sz w:val="20"/>
              </w:rPr>
              <w:t>%</w:t>
            </w:r>
          </w:p>
        </w:tc>
        <w:tc>
          <w:tcPr>
            <w:tcW w:w="1083" w:type="dxa"/>
            <w:shd w:val="clear" w:color="auto" w:fill="auto"/>
            <w:vAlign w:val="center"/>
          </w:tcPr>
          <w:p w14:paraId="5C91FC91" w14:textId="6D138F8A" w:rsidR="00937C11" w:rsidRPr="005A0938" w:rsidRDefault="001C0CA4" w:rsidP="00207524">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5A0938">
              <w:rPr>
                <w:rFonts w:ascii="Calibri" w:hAnsi="Calibri" w:cs="Calibri"/>
                <w:color w:val="000000"/>
                <w:sz w:val="20"/>
              </w:rPr>
              <w:t>-</w:t>
            </w:r>
            <w:r w:rsidR="00207524" w:rsidRPr="005A0938">
              <w:rPr>
                <w:rFonts w:ascii="Calibri" w:hAnsi="Calibri" w:cs="Calibri"/>
                <w:color w:val="000000"/>
                <w:sz w:val="20"/>
              </w:rPr>
              <w:t>0.7</w:t>
            </w:r>
            <w:r w:rsidRPr="005A0938">
              <w:rPr>
                <w:rFonts w:ascii="Calibri" w:hAnsi="Calibri" w:cs="Calibri"/>
                <w:color w:val="000000"/>
                <w:sz w:val="20"/>
              </w:rPr>
              <w:t xml:space="preserve"> ppt</w:t>
            </w:r>
          </w:p>
        </w:tc>
        <w:tc>
          <w:tcPr>
            <w:tcW w:w="1076" w:type="dxa"/>
            <w:shd w:val="clear" w:color="auto" w:fill="auto"/>
            <w:vAlign w:val="center"/>
          </w:tcPr>
          <w:p w14:paraId="67932216" w14:textId="57FF7E65" w:rsidR="00937C11" w:rsidRPr="005A0938" w:rsidRDefault="001C0CA4" w:rsidP="00207524">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5A0938">
              <w:rPr>
                <w:rFonts w:ascii="Calibri" w:hAnsi="Calibri" w:cs="Calibri"/>
                <w:color w:val="000000"/>
                <w:sz w:val="20"/>
              </w:rPr>
              <w:t>-</w:t>
            </w:r>
            <w:r w:rsidR="00207524" w:rsidRPr="005A0938">
              <w:rPr>
                <w:rFonts w:ascii="Calibri" w:hAnsi="Calibri" w:cs="Calibri"/>
                <w:color w:val="000000"/>
                <w:sz w:val="20"/>
              </w:rPr>
              <w:t>1.9</w:t>
            </w:r>
            <w:r w:rsidRPr="005A0938">
              <w:rPr>
                <w:rFonts w:ascii="Calibri" w:hAnsi="Calibri" w:cs="Calibri"/>
                <w:color w:val="000000"/>
                <w:sz w:val="20"/>
              </w:rPr>
              <w:t xml:space="preserve"> ppt</w:t>
            </w:r>
          </w:p>
        </w:tc>
        <w:tc>
          <w:tcPr>
            <w:tcW w:w="1055" w:type="dxa"/>
            <w:shd w:val="clear" w:color="auto" w:fill="auto"/>
            <w:vAlign w:val="center"/>
          </w:tcPr>
          <w:p w14:paraId="128F96EA" w14:textId="56A893E4" w:rsidR="00937C11" w:rsidRPr="005A0938" w:rsidRDefault="001C0CA4" w:rsidP="00085B4D">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5A0938">
              <w:rPr>
                <w:rFonts w:ascii="Calibri" w:hAnsi="Calibri" w:cs="Calibri"/>
                <w:color w:val="000000"/>
                <w:sz w:val="20"/>
              </w:rPr>
              <w:t>na</w:t>
            </w:r>
          </w:p>
        </w:tc>
        <w:tc>
          <w:tcPr>
            <w:tcW w:w="1435" w:type="dxa"/>
            <w:shd w:val="clear" w:color="auto" w:fill="auto"/>
            <w:vAlign w:val="center"/>
          </w:tcPr>
          <w:p w14:paraId="299D3838" w14:textId="1A926764" w:rsidR="00937C11" w:rsidRPr="005A0938" w:rsidRDefault="00207524" w:rsidP="00720F41">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5A0938">
              <w:rPr>
                <w:rFonts w:ascii="Calibri" w:hAnsi="Calibri" w:cs="Calibri"/>
                <w:color w:val="000000"/>
                <w:sz w:val="20"/>
              </w:rPr>
              <w:t>4.9</w:t>
            </w:r>
            <w:r w:rsidR="001C0CA4" w:rsidRPr="005A0938">
              <w:rPr>
                <w:rFonts w:ascii="Calibri" w:hAnsi="Calibri" w:cs="Calibri"/>
                <w:color w:val="000000"/>
                <w:sz w:val="20"/>
              </w:rPr>
              <w:t xml:space="preserve"> ppt</w:t>
            </w:r>
          </w:p>
        </w:tc>
      </w:tr>
      <w:tr w:rsidR="00B243D8" w:rsidRPr="00797CA2" w14:paraId="6B2A475C"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1F38A137" w14:textId="77777777" w:rsidR="003763FC" w:rsidRPr="004A4BC9" w:rsidRDefault="003763FC" w:rsidP="003763FC">
            <w:pPr>
              <w:spacing w:before="0" w:after="0"/>
              <w:ind w:firstLineChars="200" w:firstLine="160"/>
              <w:rPr>
                <w:rFonts w:ascii="Calibri" w:hAnsi="Calibri" w:cs="Calibri"/>
                <w:color w:val="000000"/>
                <w:sz w:val="8"/>
                <w:szCs w:val="8"/>
              </w:rPr>
            </w:pPr>
            <w:r w:rsidRPr="004A4BC9">
              <w:rPr>
                <w:rFonts w:ascii="Calibri" w:hAnsi="Calibri" w:cs="Calibri"/>
                <w:color w:val="000000"/>
                <w:sz w:val="8"/>
                <w:szCs w:val="8"/>
              </w:rPr>
              <w:t> </w:t>
            </w:r>
          </w:p>
        </w:tc>
        <w:tc>
          <w:tcPr>
            <w:tcW w:w="938" w:type="dxa"/>
            <w:vAlign w:val="center"/>
          </w:tcPr>
          <w:p w14:paraId="5A8D7C3E" w14:textId="37261A5B" w:rsidR="003763FC" w:rsidRPr="005A0938"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p>
        </w:tc>
        <w:tc>
          <w:tcPr>
            <w:tcW w:w="1271" w:type="dxa"/>
            <w:vAlign w:val="center"/>
          </w:tcPr>
          <w:p w14:paraId="00E43862" w14:textId="45D929D1" w:rsidR="003763FC" w:rsidRPr="005A0938" w:rsidRDefault="003763FC" w:rsidP="00720F41">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p>
        </w:tc>
        <w:tc>
          <w:tcPr>
            <w:tcW w:w="1083" w:type="dxa"/>
            <w:vAlign w:val="center"/>
          </w:tcPr>
          <w:p w14:paraId="4E53C39E" w14:textId="76CD87A1" w:rsidR="003763FC" w:rsidRPr="005A0938" w:rsidRDefault="003763FC"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p>
        </w:tc>
        <w:tc>
          <w:tcPr>
            <w:tcW w:w="1076" w:type="dxa"/>
            <w:vAlign w:val="center"/>
          </w:tcPr>
          <w:p w14:paraId="7E847131" w14:textId="3F9CA0B1" w:rsidR="003763FC" w:rsidRPr="005A0938" w:rsidRDefault="003763FC"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p>
        </w:tc>
        <w:tc>
          <w:tcPr>
            <w:tcW w:w="1055" w:type="dxa"/>
            <w:vAlign w:val="center"/>
          </w:tcPr>
          <w:p w14:paraId="39F76694" w14:textId="7EC751DE" w:rsidR="003763FC" w:rsidRPr="005A0938" w:rsidRDefault="003763FC"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p>
        </w:tc>
        <w:tc>
          <w:tcPr>
            <w:tcW w:w="1435" w:type="dxa"/>
            <w:vAlign w:val="center"/>
          </w:tcPr>
          <w:p w14:paraId="63270651" w14:textId="0672D7A4" w:rsidR="003763FC" w:rsidRPr="005A0938" w:rsidRDefault="003763FC" w:rsidP="00720F41">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p>
        </w:tc>
      </w:tr>
      <w:tr w:rsidR="00B243D8" w:rsidRPr="00797CA2" w14:paraId="59DEB887" w14:textId="77777777" w:rsidTr="00BF2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500090E1" w14:textId="77777777" w:rsidR="00937C11" w:rsidRPr="004A4BC9" w:rsidRDefault="00937C11" w:rsidP="00937C11">
            <w:pPr>
              <w:spacing w:before="0" w:after="0"/>
              <w:ind w:firstLineChars="200" w:firstLine="400"/>
              <w:rPr>
                <w:rFonts w:ascii="Calibri" w:hAnsi="Calibri" w:cs="Calibri"/>
                <w:iCs/>
                <w:color w:val="000000"/>
                <w:sz w:val="20"/>
              </w:rPr>
            </w:pPr>
            <w:r w:rsidRPr="004A4BC9">
              <w:rPr>
                <w:rFonts w:ascii="Calibri" w:hAnsi="Calibri" w:cs="Calibri"/>
                <w:iCs/>
                <w:color w:val="000000"/>
                <w:sz w:val="20"/>
              </w:rPr>
              <w:t>WPI growth (NT)</w:t>
            </w:r>
          </w:p>
        </w:tc>
        <w:tc>
          <w:tcPr>
            <w:tcW w:w="938" w:type="dxa"/>
            <w:shd w:val="clear" w:color="auto" w:fill="auto"/>
            <w:vAlign w:val="center"/>
          </w:tcPr>
          <w:p w14:paraId="40C2D657" w14:textId="65199C1D" w:rsidR="00937C11" w:rsidRPr="005A0938" w:rsidRDefault="00207524" w:rsidP="006536A6">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5A0938">
              <w:rPr>
                <w:rFonts w:ascii="Calibri" w:hAnsi="Calibri" w:cs="Calibri"/>
                <w:color w:val="000000"/>
                <w:sz w:val="20"/>
              </w:rPr>
              <w:t>Sep</w:t>
            </w:r>
            <w:r w:rsidR="001C0CA4" w:rsidRPr="005A0938">
              <w:rPr>
                <w:rFonts w:ascii="Calibri" w:hAnsi="Calibri" w:cs="Calibri"/>
                <w:color w:val="000000"/>
                <w:sz w:val="20"/>
              </w:rPr>
              <w:t>-23</w:t>
            </w:r>
          </w:p>
        </w:tc>
        <w:tc>
          <w:tcPr>
            <w:tcW w:w="1271" w:type="dxa"/>
            <w:shd w:val="clear" w:color="auto" w:fill="auto"/>
            <w:vAlign w:val="center"/>
          </w:tcPr>
          <w:p w14:paraId="0DA58FD7" w14:textId="4E5044A3" w:rsidR="00937C11" w:rsidRPr="00681A02" w:rsidRDefault="00207524" w:rsidP="00207524">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681A02">
              <w:rPr>
                <w:rFonts w:ascii="Calibri" w:hAnsi="Calibri" w:cs="Calibri"/>
                <w:color w:val="000000"/>
                <w:sz w:val="20"/>
              </w:rPr>
              <w:t>4.2</w:t>
            </w:r>
            <w:r w:rsidR="001C0CA4" w:rsidRPr="00681A02">
              <w:rPr>
                <w:rFonts w:ascii="Calibri" w:hAnsi="Calibri" w:cs="Calibri"/>
                <w:color w:val="000000"/>
                <w:sz w:val="20"/>
              </w:rPr>
              <w:t>%</w:t>
            </w:r>
          </w:p>
        </w:tc>
        <w:tc>
          <w:tcPr>
            <w:tcW w:w="1083" w:type="dxa"/>
            <w:shd w:val="clear" w:color="auto" w:fill="auto"/>
            <w:vAlign w:val="center"/>
          </w:tcPr>
          <w:p w14:paraId="238BE27B" w14:textId="0A696010" w:rsidR="00937C11" w:rsidRPr="00681A02" w:rsidRDefault="001C0CA4" w:rsidP="00207524">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681A02">
              <w:rPr>
                <w:rFonts w:ascii="Calibri" w:hAnsi="Calibri" w:cs="Calibri"/>
                <w:color w:val="000000"/>
                <w:sz w:val="20"/>
              </w:rPr>
              <w:t>0.</w:t>
            </w:r>
            <w:r w:rsidR="00207524" w:rsidRPr="00681A02">
              <w:rPr>
                <w:rFonts w:ascii="Calibri" w:hAnsi="Calibri" w:cs="Calibri"/>
                <w:color w:val="000000"/>
                <w:sz w:val="20"/>
              </w:rPr>
              <w:t>9</w:t>
            </w:r>
            <w:r w:rsidRPr="00681A02">
              <w:rPr>
                <w:rFonts w:ascii="Calibri" w:hAnsi="Calibri" w:cs="Calibri"/>
                <w:color w:val="000000"/>
                <w:sz w:val="20"/>
              </w:rPr>
              <w:t xml:space="preserve"> ppt</w:t>
            </w:r>
          </w:p>
        </w:tc>
        <w:tc>
          <w:tcPr>
            <w:tcW w:w="1076" w:type="dxa"/>
            <w:shd w:val="clear" w:color="auto" w:fill="auto"/>
            <w:vAlign w:val="center"/>
          </w:tcPr>
          <w:p w14:paraId="487C4513" w14:textId="308C4FF4" w:rsidR="00937C11" w:rsidRPr="00681A02" w:rsidRDefault="001C0CA4" w:rsidP="00207524">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681A02">
              <w:rPr>
                <w:rFonts w:ascii="Calibri" w:hAnsi="Calibri" w:cs="Calibri"/>
                <w:color w:val="000000"/>
                <w:sz w:val="20"/>
              </w:rPr>
              <w:t>1.</w:t>
            </w:r>
            <w:r w:rsidR="00207524" w:rsidRPr="00681A02">
              <w:rPr>
                <w:rFonts w:ascii="Calibri" w:hAnsi="Calibri" w:cs="Calibri"/>
                <w:color w:val="000000"/>
                <w:sz w:val="20"/>
              </w:rPr>
              <w:t>7</w:t>
            </w:r>
            <w:r w:rsidRPr="00681A02">
              <w:rPr>
                <w:rFonts w:ascii="Calibri" w:hAnsi="Calibri" w:cs="Calibri"/>
                <w:color w:val="000000"/>
                <w:sz w:val="20"/>
              </w:rPr>
              <w:t xml:space="preserve"> ppt</w:t>
            </w:r>
          </w:p>
        </w:tc>
        <w:tc>
          <w:tcPr>
            <w:tcW w:w="1055" w:type="dxa"/>
            <w:shd w:val="clear" w:color="auto" w:fill="auto"/>
            <w:vAlign w:val="center"/>
          </w:tcPr>
          <w:p w14:paraId="6272D32D" w14:textId="3678A964" w:rsidR="00937C11" w:rsidRPr="00681A02" w:rsidRDefault="001C0CA4"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681A02">
              <w:rPr>
                <w:rFonts w:ascii="Calibri" w:hAnsi="Calibri" w:cs="Calibri"/>
                <w:color w:val="000000"/>
                <w:sz w:val="20"/>
              </w:rPr>
              <w:t>na</w:t>
            </w:r>
          </w:p>
        </w:tc>
        <w:tc>
          <w:tcPr>
            <w:tcW w:w="1435" w:type="dxa"/>
            <w:shd w:val="clear" w:color="auto" w:fill="auto"/>
            <w:vAlign w:val="center"/>
          </w:tcPr>
          <w:p w14:paraId="6A1C470D" w14:textId="53ACAF8A" w:rsidR="00937C11" w:rsidRPr="004A4BC9" w:rsidRDefault="00207524" w:rsidP="006536A6">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highlight w:val="yellow"/>
              </w:rPr>
            </w:pPr>
            <w:r w:rsidRPr="00681A02">
              <w:rPr>
                <w:rFonts w:ascii="Calibri" w:hAnsi="Calibri" w:cs="Calibri"/>
                <w:color w:val="000000"/>
                <w:sz w:val="20"/>
              </w:rPr>
              <w:t>1.0</w:t>
            </w:r>
            <w:r w:rsidR="001C0CA4" w:rsidRPr="00681A02">
              <w:rPr>
                <w:rFonts w:ascii="Calibri" w:hAnsi="Calibri" w:cs="Calibri"/>
                <w:color w:val="000000"/>
                <w:sz w:val="20"/>
              </w:rPr>
              <w:t xml:space="preserve"> ppt</w:t>
            </w:r>
          </w:p>
        </w:tc>
      </w:tr>
      <w:tr w:rsidR="00B243D8" w:rsidRPr="00797CA2" w14:paraId="43A48D08"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505A0815" w14:textId="346990B8" w:rsidR="00937C11" w:rsidRPr="004A4BC9" w:rsidRDefault="00720F41" w:rsidP="00937C11">
            <w:pPr>
              <w:spacing w:before="0" w:after="0"/>
              <w:ind w:firstLineChars="200" w:firstLine="400"/>
              <w:rPr>
                <w:rFonts w:ascii="Calibri" w:hAnsi="Calibri" w:cs="Calibri"/>
                <w:iCs/>
                <w:color w:val="000000"/>
                <w:sz w:val="20"/>
              </w:rPr>
            </w:pPr>
            <w:r w:rsidRPr="004A4BC9">
              <w:rPr>
                <w:rFonts w:ascii="Calibri" w:hAnsi="Calibri" w:cs="Calibri"/>
                <w:iCs/>
                <w:color w:val="000000"/>
                <w:sz w:val="20"/>
              </w:rPr>
              <w:t>WPI growth (Aus</w:t>
            </w:r>
            <w:r w:rsidR="00937C11" w:rsidRPr="004A4BC9">
              <w:rPr>
                <w:rFonts w:ascii="Calibri" w:hAnsi="Calibri" w:cs="Calibri"/>
                <w:iCs/>
                <w:color w:val="000000"/>
                <w:sz w:val="20"/>
              </w:rPr>
              <w:t>)</w:t>
            </w:r>
          </w:p>
        </w:tc>
        <w:tc>
          <w:tcPr>
            <w:tcW w:w="938" w:type="dxa"/>
            <w:vAlign w:val="center"/>
          </w:tcPr>
          <w:p w14:paraId="28F4DCD4" w14:textId="25883344" w:rsidR="00937C11" w:rsidRPr="005A0938" w:rsidRDefault="00207524" w:rsidP="006536A6">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5A0938">
              <w:rPr>
                <w:rFonts w:ascii="Calibri" w:hAnsi="Calibri" w:cs="Calibri"/>
                <w:color w:val="000000"/>
                <w:sz w:val="20"/>
              </w:rPr>
              <w:t>Sep</w:t>
            </w:r>
            <w:r w:rsidR="001C0CA4" w:rsidRPr="005A0938">
              <w:rPr>
                <w:rFonts w:ascii="Calibri" w:hAnsi="Calibri" w:cs="Calibri"/>
                <w:color w:val="000000"/>
                <w:sz w:val="20"/>
              </w:rPr>
              <w:t>-23</w:t>
            </w:r>
          </w:p>
        </w:tc>
        <w:tc>
          <w:tcPr>
            <w:tcW w:w="1271" w:type="dxa"/>
            <w:vAlign w:val="center"/>
          </w:tcPr>
          <w:p w14:paraId="54C88AA1" w14:textId="2E78F274" w:rsidR="00937C11" w:rsidRPr="00681A02" w:rsidRDefault="00207524" w:rsidP="006536A6">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681A02">
              <w:rPr>
                <w:rFonts w:ascii="Calibri" w:hAnsi="Calibri" w:cs="Calibri"/>
                <w:color w:val="000000"/>
                <w:sz w:val="20"/>
              </w:rPr>
              <w:t>4.1</w:t>
            </w:r>
            <w:r w:rsidR="001C0CA4" w:rsidRPr="00681A02">
              <w:rPr>
                <w:rFonts w:ascii="Calibri" w:hAnsi="Calibri" w:cs="Calibri"/>
                <w:color w:val="000000"/>
                <w:sz w:val="20"/>
              </w:rPr>
              <w:t>%</w:t>
            </w:r>
          </w:p>
        </w:tc>
        <w:tc>
          <w:tcPr>
            <w:tcW w:w="1083" w:type="dxa"/>
            <w:vAlign w:val="center"/>
          </w:tcPr>
          <w:p w14:paraId="2C7B259F" w14:textId="7F91ADCA" w:rsidR="00937C11" w:rsidRPr="00681A02" w:rsidRDefault="001C0CA4" w:rsidP="00207524">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681A02">
              <w:rPr>
                <w:rFonts w:ascii="Calibri" w:hAnsi="Calibri" w:cs="Calibri"/>
                <w:color w:val="000000"/>
                <w:sz w:val="20"/>
              </w:rPr>
              <w:t>0.</w:t>
            </w:r>
            <w:r w:rsidR="00207524" w:rsidRPr="00681A02">
              <w:rPr>
                <w:rFonts w:ascii="Calibri" w:hAnsi="Calibri" w:cs="Calibri"/>
                <w:color w:val="000000"/>
                <w:sz w:val="20"/>
              </w:rPr>
              <w:t>4</w:t>
            </w:r>
            <w:r w:rsidRPr="00681A02">
              <w:rPr>
                <w:rFonts w:ascii="Calibri" w:hAnsi="Calibri" w:cs="Calibri"/>
                <w:color w:val="000000"/>
                <w:sz w:val="20"/>
              </w:rPr>
              <w:t xml:space="preserve"> ppt</w:t>
            </w:r>
          </w:p>
        </w:tc>
        <w:tc>
          <w:tcPr>
            <w:tcW w:w="1076" w:type="dxa"/>
            <w:vAlign w:val="center"/>
          </w:tcPr>
          <w:p w14:paraId="0B5F0428" w14:textId="0E927D84" w:rsidR="00937C11" w:rsidRPr="00681A02" w:rsidRDefault="00207524" w:rsidP="006536A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681A02">
              <w:rPr>
                <w:rFonts w:ascii="Calibri" w:hAnsi="Calibri" w:cs="Calibri"/>
                <w:color w:val="000000"/>
                <w:sz w:val="20"/>
              </w:rPr>
              <w:t>0.9</w:t>
            </w:r>
            <w:r w:rsidR="001C0CA4" w:rsidRPr="00681A02">
              <w:rPr>
                <w:rFonts w:ascii="Calibri" w:hAnsi="Calibri" w:cs="Calibri"/>
                <w:color w:val="000000"/>
                <w:sz w:val="20"/>
              </w:rPr>
              <w:t xml:space="preserve"> ppt</w:t>
            </w:r>
          </w:p>
        </w:tc>
        <w:tc>
          <w:tcPr>
            <w:tcW w:w="1055" w:type="dxa"/>
            <w:vAlign w:val="center"/>
          </w:tcPr>
          <w:p w14:paraId="572F1945" w14:textId="6B4BA140" w:rsidR="00937C11" w:rsidRPr="00681A02" w:rsidRDefault="001C0CA4"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681A02">
              <w:rPr>
                <w:rFonts w:ascii="Calibri" w:hAnsi="Calibri" w:cs="Calibri"/>
                <w:color w:val="000000"/>
                <w:sz w:val="20"/>
              </w:rPr>
              <w:t>na</w:t>
            </w:r>
          </w:p>
        </w:tc>
        <w:tc>
          <w:tcPr>
            <w:tcW w:w="1435" w:type="dxa"/>
            <w:vAlign w:val="center"/>
          </w:tcPr>
          <w:p w14:paraId="44E94262" w14:textId="4BB363A2" w:rsidR="00937C11" w:rsidRPr="004A4BC9" w:rsidRDefault="000C344D" w:rsidP="00207524">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highlight w:val="yellow"/>
              </w:rPr>
            </w:pPr>
            <w:r w:rsidRPr="00681A02">
              <w:rPr>
                <w:rFonts w:ascii="Calibri" w:hAnsi="Calibri" w:cs="Calibri"/>
                <w:color w:val="000000"/>
                <w:sz w:val="20"/>
              </w:rPr>
              <w:t>1.</w:t>
            </w:r>
            <w:r w:rsidR="00207524" w:rsidRPr="00681A02">
              <w:rPr>
                <w:rFonts w:ascii="Calibri" w:hAnsi="Calibri" w:cs="Calibri"/>
                <w:color w:val="000000"/>
                <w:sz w:val="20"/>
              </w:rPr>
              <w:t>4</w:t>
            </w:r>
            <w:r w:rsidR="001C0CA4" w:rsidRPr="00681A02">
              <w:rPr>
                <w:rFonts w:ascii="Calibri" w:hAnsi="Calibri" w:cs="Calibri"/>
                <w:color w:val="000000"/>
                <w:sz w:val="20"/>
              </w:rPr>
              <w:t xml:space="preserve"> ppt</w:t>
            </w:r>
          </w:p>
        </w:tc>
      </w:tr>
      <w:tr w:rsidR="00B243D8" w:rsidRPr="004A4BC9" w14:paraId="5A70FCD0" w14:textId="77777777" w:rsidTr="00BE289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1AC3472C" w14:textId="72F82852" w:rsidR="004F7E54" w:rsidRPr="004A4BC9" w:rsidRDefault="00995976" w:rsidP="00BE2895">
            <w:pPr>
              <w:spacing w:before="20" w:after="20"/>
              <w:rPr>
                <w:rFonts w:ascii="Calibri" w:hAnsi="Calibri" w:cs="Calibri"/>
                <w:b/>
                <w:bCs/>
                <w:color w:val="000000"/>
                <w:sz w:val="20"/>
              </w:rPr>
            </w:pPr>
            <w:r w:rsidRPr="004A4BC9">
              <w:rPr>
                <w:rFonts w:ascii="Calibri" w:hAnsi="Calibri" w:cs="Calibri"/>
                <w:b/>
                <w:bCs/>
                <w:color w:val="000000"/>
                <w:sz w:val="20"/>
              </w:rPr>
              <w:t>Employment</w:t>
            </w:r>
          </w:p>
        </w:tc>
        <w:tc>
          <w:tcPr>
            <w:tcW w:w="938" w:type="dxa"/>
            <w:vAlign w:val="center"/>
          </w:tcPr>
          <w:p w14:paraId="508E1F9A" w14:textId="77777777" w:rsidR="004F7E54" w:rsidRPr="004A4BC9" w:rsidRDefault="004F7E54" w:rsidP="00BE2895">
            <w:pPr>
              <w:spacing w:before="20" w:after="2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4A4BC9">
              <w:rPr>
                <w:rFonts w:ascii="Calibri" w:hAnsi="Calibri" w:cs="Calibri"/>
                <w:color w:val="000000"/>
                <w:sz w:val="20"/>
              </w:rPr>
              <w:t> </w:t>
            </w:r>
          </w:p>
        </w:tc>
        <w:tc>
          <w:tcPr>
            <w:tcW w:w="1271" w:type="dxa"/>
            <w:vAlign w:val="center"/>
          </w:tcPr>
          <w:p w14:paraId="775F2EC2" w14:textId="2F028850" w:rsidR="004F7E54" w:rsidRPr="004A4BC9" w:rsidRDefault="00461158" w:rsidP="00BE2895">
            <w:pPr>
              <w:spacing w:before="20" w:after="2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sz w:val="20"/>
              </w:rPr>
            </w:pPr>
            <w:r w:rsidRPr="004A4BC9">
              <w:rPr>
                <w:rFonts w:ascii="Calibri" w:hAnsi="Calibri" w:cs="Calibri"/>
                <w:b/>
                <w:color w:val="000000"/>
                <w:sz w:val="20"/>
              </w:rPr>
              <w:t>#M</w:t>
            </w:r>
          </w:p>
        </w:tc>
        <w:tc>
          <w:tcPr>
            <w:tcW w:w="1083" w:type="dxa"/>
            <w:vAlign w:val="center"/>
          </w:tcPr>
          <w:p w14:paraId="1991C430" w14:textId="77777777" w:rsidR="004F7E54" w:rsidRPr="004A4BC9"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4A4BC9">
              <w:rPr>
                <w:rFonts w:ascii="Calibri" w:hAnsi="Calibri" w:cs="Calibri"/>
                <w:color w:val="000000"/>
                <w:sz w:val="20"/>
              </w:rPr>
              <w:t> </w:t>
            </w:r>
          </w:p>
        </w:tc>
        <w:tc>
          <w:tcPr>
            <w:tcW w:w="1076" w:type="dxa"/>
            <w:vAlign w:val="center"/>
          </w:tcPr>
          <w:p w14:paraId="082014B9" w14:textId="77777777" w:rsidR="004F7E54" w:rsidRPr="004A4BC9"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4A4BC9">
              <w:rPr>
                <w:rFonts w:ascii="Calibri" w:hAnsi="Calibri" w:cs="Calibri"/>
                <w:color w:val="000000"/>
                <w:sz w:val="20"/>
              </w:rPr>
              <w:t> </w:t>
            </w:r>
          </w:p>
        </w:tc>
        <w:tc>
          <w:tcPr>
            <w:tcW w:w="1055" w:type="dxa"/>
            <w:vAlign w:val="center"/>
          </w:tcPr>
          <w:p w14:paraId="51C7A1EC" w14:textId="77777777" w:rsidR="004F7E54" w:rsidRPr="004A4BC9"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4A4BC9">
              <w:rPr>
                <w:rFonts w:ascii="Calibri" w:hAnsi="Calibri" w:cs="Calibri"/>
                <w:color w:val="000000"/>
                <w:sz w:val="20"/>
              </w:rPr>
              <w:t> </w:t>
            </w:r>
          </w:p>
        </w:tc>
        <w:tc>
          <w:tcPr>
            <w:tcW w:w="1435" w:type="dxa"/>
            <w:vAlign w:val="center"/>
          </w:tcPr>
          <w:p w14:paraId="729BB4B8" w14:textId="77777777" w:rsidR="004F7E54" w:rsidRPr="004A4BC9" w:rsidRDefault="004F7E54" w:rsidP="00BE2895">
            <w:pPr>
              <w:spacing w:before="20" w:after="2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4A4BC9">
              <w:rPr>
                <w:rFonts w:ascii="Calibri" w:hAnsi="Calibri" w:cs="Calibri"/>
                <w:color w:val="000000"/>
                <w:sz w:val="20"/>
              </w:rPr>
              <w:t> </w:t>
            </w:r>
          </w:p>
        </w:tc>
      </w:tr>
      <w:tr w:rsidR="00B243D8" w:rsidRPr="00797CA2" w14:paraId="514638C6"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3B9FAF13" w14:textId="77777777" w:rsidR="00937C11" w:rsidRPr="004A4BC9" w:rsidRDefault="00937C11" w:rsidP="00937C11">
            <w:pPr>
              <w:spacing w:before="0" w:after="0"/>
              <w:ind w:firstLineChars="200" w:firstLine="400"/>
              <w:rPr>
                <w:rFonts w:ascii="Calibri" w:hAnsi="Calibri" w:cs="Calibri"/>
                <w:iCs/>
                <w:color w:val="000000"/>
                <w:sz w:val="20"/>
              </w:rPr>
            </w:pPr>
            <w:r w:rsidRPr="004A4BC9">
              <w:rPr>
                <w:rFonts w:ascii="Calibri" w:hAnsi="Calibri" w:cs="Calibri"/>
                <w:iCs/>
                <w:color w:val="000000"/>
                <w:sz w:val="20"/>
              </w:rPr>
              <w:t>Employment (NT) (sa)</w:t>
            </w:r>
          </w:p>
        </w:tc>
        <w:tc>
          <w:tcPr>
            <w:tcW w:w="938" w:type="dxa"/>
            <w:vAlign w:val="center"/>
          </w:tcPr>
          <w:p w14:paraId="780C3AE0" w14:textId="46305C55" w:rsidR="00937C11" w:rsidRPr="005D4CDC" w:rsidRDefault="005D4CDC" w:rsidP="00937C11">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5D4CDC">
              <w:rPr>
                <w:rFonts w:ascii="Calibri" w:hAnsi="Calibri" w:cs="Calibri"/>
                <w:color w:val="000000"/>
                <w:sz w:val="20"/>
              </w:rPr>
              <w:t>Nov</w:t>
            </w:r>
            <w:r w:rsidR="001C0CA4" w:rsidRPr="005D4CDC">
              <w:rPr>
                <w:rFonts w:ascii="Calibri" w:hAnsi="Calibri" w:cs="Calibri"/>
                <w:color w:val="000000"/>
                <w:sz w:val="20"/>
              </w:rPr>
              <w:t>-23</w:t>
            </w:r>
          </w:p>
        </w:tc>
        <w:tc>
          <w:tcPr>
            <w:tcW w:w="1271" w:type="dxa"/>
            <w:vAlign w:val="center"/>
          </w:tcPr>
          <w:p w14:paraId="083B8E74" w14:textId="48C17B68" w:rsidR="00937C11" w:rsidRPr="005D4CDC" w:rsidRDefault="001C0CA4" w:rsidP="005D4CDC">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highlight w:val="yellow"/>
              </w:rPr>
            </w:pPr>
            <w:r w:rsidRPr="005D4CDC">
              <w:rPr>
                <w:rFonts w:ascii="Calibri" w:hAnsi="Calibri" w:cs="Calibri"/>
                <w:color w:val="000000"/>
                <w:sz w:val="20"/>
              </w:rPr>
              <w:t>0.1</w:t>
            </w:r>
            <w:r w:rsidR="005D4CDC" w:rsidRPr="005D4CDC">
              <w:rPr>
                <w:rFonts w:ascii="Calibri" w:hAnsi="Calibri" w:cs="Calibri"/>
                <w:color w:val="000000"/>
                <w:sz w:val="20"/>
              </w:rPr>
              <w:t>38</w:t>
            </w:r>
          </w:p>
        </w:tc>
        <w:tc>
          <w:tcPr>
            <w:tcW w:w="1083" w:type="dxa"/>
            <w:vAlign w:val="center"/>
          </w:tcPr>
          <w:p w14:paraId="6FD49AFB" w14:textId="4880A7CA" w:rsidR="00937C11" w:rsidRPr="005D4CDC" w:rsidRDefault="005D4CDC" w:rsidP="00BF4957">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5D4CDC">
              <w:rPr>
                <w:rFonts w:ascii="Calibri" w:hAnsi="Calibri" w:cs="Calibri"/>
                <w:color w:val="000000"/>
                <w:sz w:val="20"/>
              </w:rPr>
              <w:t>-1.0</w:t>
            </w:r>
            <w:r w:rsidR="001C0CA4" w:rsidRPr="005D4CDC">
              <w:rPr>
                <w:rFonts w:ascii="Calibri" w:hAnsi="Calibri" w:cs="Calibri"/>
                <w:color w:val="000000"/>
                <w:sz w:val="20"/>
              </w:rPr>
              <w:t>%</w:t>
            </w:r>
          </w:p>
        </w:tc>
        <w:tc>
          <w:tcPr>
            <w:tcW w:w="1076" w:type="dxa"/>
            <w:vAlign w:val="center"/>
          </w:tcPr>
          <w:p w14:paraId="4A4A7AC8" w14:textId="30532C75" w:rsidR="00937C11" w:rsidRPr="005D4CDC" w:rsidRDefault="005D4CDC" w:rsidP="00207524">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5D4CDC">
              <w:rPr>
                <w:rFonts w:ascii="Calibri" w:hAnsi="Calibri" w:cs="Calibri"/>
                <w:color w:val="000000"/>
                <w:sz w:val="20"/>
              </w:rPr>
              <w:t>-1</w:t>
            </w:r>
            <w:r w:rsidR="009B48D2" w:rsidRPr="005D4CDC">
              <w:rPr>
                <w:rFonts w:ascii="Calibri" w:hAnsi="Calibri" w:cs="Calibri"/>
                <w:color w:val="000000"/>
                <w:sz w:val="20"/>
              </w:rPr>
              <w:t>.</w:t>
            </w:r>
            <w:r w:rsidR="00207524" w:rsidRPr="005D4CDC">
              <w:rPr>
                <w:rFonts w:ascii="Calibri" w:hAnsi="Calibri" w:cs="Calibri"/>
                <w:color w:val="000000"/>
                <w:sz w:val="20"/>
              </w:rPr>
              <w:t>9</w:t>
            </w:r>
            <w:r w:rsidR="001C0CA4" w:rsidRPr="005D4CDC">
              <w:rPr>
                <w:rFonts w:ascii="Calibri" w:hAnsi="Calibri" w:cs="Calibri"/>
                <w:color w:val="000000"/>
                <w:sz w:val="20"/>
              </w:rPr>
              <w:t>%</w:t>
            </w:r>
          </w:p>
        </w:tc>
        <w:tc>
          <w:tcPr>
            <w:tcW w:w="1055" w:type="dxa"/>
            <w:vAlign w:val="center"/>
          </w:tcPr>
          <w:p w14:paraId="26551E34" w14:textId="49923C08" w:rsidR="00937C11" w:rsidRPr="005D4CDC" w:rsidRDefault="005D4CDC" w:rsidP="00207524">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5D4CDC">
              <w:rPr>
                <w:rFonts w:ascii="Calibri" w:hAnsi="Calibri" w:cs="Calibri"/>
                <w:color w:val="000000"/>
                <w:sz w:val="20"/>
              </w:rPr>
              <w:t>2.9</w:t>
            </w:r>
            <w:r w:rsidR="001C0CA4" w:rsidRPr="005D4CDC">
              <w:rPr>
                <w:rFonts w:ascii="Calibri" w:hAnsi="Calibri" w:cs="Calibri"/>
                <w:color w:val="000000"/>
                <w:sz w:val="20"/>
              </w:rPr>
              <w:t>%</w:t>
            </w:r>
          </w:p>
        </w:tc>
        <w:tc>
          <w:tcPr>
            <w:tcW w:w="1435" w:type="dxa"/>
            <w:vAlign w:val="center"/>
          </w:tcPr>
          <w:p w14:paraId="2A7478AC" w14:textId="7FF9A812" w:rsidR="00937C11" w:rsidRPr="005D4CDC" w:rsidRDefault="005D4CDC" w:rsidP="00207524">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5D4CDC">
              <w:rPr>
                <w:rFonts w:ascii="Calibri" w:hAnsi="Calibri" w:cs="Calibri"/>
                <w:color w:val="000000"/>
                <w:sz w:val="20"/>
              </w:rPr>
              <w:t>6.6</w:t>
            </w:r>
            <w:r w:rsidR="001C0CA4" w:rsidRPr="005D4CDC">
              <w:rPr>
                <w:rFonts w:ascii="Calibri" w:hAnsi="Calibri" w:cs="Calibri"/>
                <w:color w:val="000000"/>
                <w:sz w:val="20"/>
              </w:rPr>
              <w:t>%</w:t>
            </w:r>
          </w:p>
        </w:tc>
      </w:tr>
      <w:tr w:rsidR="00B243D8" w:rsidRPr="00797CA2" w14:paraId="7EC29B8F" w14:textId="77777777" w:rsidTr="00BF2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0DFCD90D" w14:textId="77777777" w:rsidR="00937C11" w:rsidRPr="004A4BC9" w:rsidRDefault="00937C11" w:rsidP="00937C11">
            <w:pPr>
              <w:spacing w:before="0" w:after="0"/>
              <w:ind w:firstLineChars="200" w:firstLine="400"/>
              <w:rPr>
                <w:rFonts w:ascii="Calibri" w:hAnsi="Calibri" w:cs="Calibri"/>
                <w:iCs/>
                <w:color w:val="000000"/>
                <w:sz w:val="20"/>
              </w:rPr>
            </w:pPr>
            <w:r w:rsidRPr="004A4BC9">
              <w:rPr>
                <w:rFonts w:ascii="Calibri" w:hAnsi="Calibri" w:cs="Calibri"/>
                <w:iCs/>
                <w:color w:val="000000"/>
                <w:sz w:val="20"/>
              </w:rPr>
              <w:t>Employment (Aus) (sa)</w:t>
            </w:r>
          </w:p>
        </w:tc>
        <w:tc>
          <w:tcPr>
            <w:tcW w:w="938" w:type="dxa"/>
            <w:shd w:val="clear" w:color="auto" w:fill="auto"/>
            <w:vAlign w:val="center"/>
          </w:tcPr>
          <w:p w14:paraId="381F8863" w14:textId="01C4476D" w:rsidR="00937C11" w:rsidRPr="005D4CDC" w:rsidRDefault="005D4CDC" w:rsidP="00937C11">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5D4CDC">
              <w:rPr>
                <w:rFonts w:ascii="Calibri" w:hAnsi="Calibri" w:cs="Calibri"/>
                <w:color w:val="000000"/>
                <w:sz w:val="20"/>
              </w:rPr>
              <w:t>Nov</w:t>
            </w:r>
            <w:r w:rsidR="001C0CA4" w:rsidRPr="005D4CDC">
              <w:rPr>
                <w:rFonts w:ascii="Calibri" w:hAnsi="Calibri" w:cs="Calibri"/>
                <w:color w:val="000000"/>
                <w:sz w:val="20"/>
              </w:rPr>
              <w:t>-23</w:t>
            </w:r>
          </w:p>
        </w:tc>
        <w:tc>
          <w:tcPr>
            <w:tcW w:w="1271" w:type="dxa"/>
            <w:shd w:val="clear" w:color="auto" w:fill="auto"/>
            <w:vAlign w:val="center"/>
          </w:tcPr>
          <w:p w14:paraId="2CC00E70" w14:textId="309200CF" w:rsidR="00937C11" w:rsidRPr="005D4CDC" w:rsidRDefault="001C0CA4" w:rsidP="005D4CDC">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5D4CDC">
              <w:rPr>
                <w:rFonts w:ascii="Calibri" w:hAnsi="Calibri" w:cs="Calibri"/>
                <w:color w:val="000000"/>
                <w:sz w:val="20"/>
              </w:rPr>
              <w:t>14.</w:t>
            </w:r>
            <w:r w:rsidR="005D4CDC" w:rsidRPr="005D4CDC">
              <w:rPr>
                <w:rFonts w:ascii="Calibri" w:hAnsi="Calibri" w:cs="Calibri"/>
                <w:color w:val="000000"/>
                <w:sz w:val="20"/>
              </w:rPr>
              <w:t>257</w:t>
            </w:r>
          </w:p>
        </w:tc>
        <w:tc>
          <w:tcPr>
            <w:tcW w:w="1083" w:type="dxa"/>
            <w:shd w:val="clear" w:color="auto" w:fill="auto"/>
            <w:vAlign w:val="center"/>
          </w:tcPr>
          <w:p w14:paraId="5EF6BBAC" w14:textId="00606F26" w:rsidR="00937C11" w:rsidRPr="005D4CDC" w:rsidRDefault="009B48D2" w:rsidP="00207524">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5D4CDC">
              <w:rPr>
                <w:rFonts w:ascii="Calibri" w:hAnsi="Calibri" w:cs="Calibri"/>
                <w:color w:val="000000"/>
                <w:sz w:val="20"/>
              </w:rPr>
              <w:t>0.</w:t>
            </w:r>
            <w:r w:rsidR="00207524" w:rsidRPr="005D4CDC">
              <w:rPr>
                <w:rFonts w:ascii="Calibri" w:hAnsi="Calibri" w:cs="Calibri"/>
                <w:color w:val="000000"/>
                <w:sz w:val="20"/>
              </w:rPr>
              <w:t>4</w:t>
            </w:r>
            <w:r w:rsidR="001C0CA4" w:rsidRPr="005D4CDC">
              <w:rPr>
                <w:rFonts w:ascii="Calibri" w:hAnsi="Calibri" w:cs="Calibri"/>
                <w:color w:val="000000"/>
                <w:sz w:val="20"/>
              </w:rPr>
              <w:t>%</w:t>
            </w:r>
          </w:p>
        </w:tc>
        <w:tc>
          <w:tcPr>
            <w:tcW w:w="1076" w:type="dxa"/>
            <w:shd w:val="clear" w:color="auto" w:fill="auto"/>
            <w:vAlign w:val="center"/>
          </w:tcPr>
          <w:p w14:paraId="3A8A9F49" w14:textId="0985B825" w:rsidR="00937C11" w:rsidRPr="005D4CDC" w:rsidRDefault="005D4CDC" w:rsidP="00FF291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5D4CDC">
              <w:rPr>
                <w:rFonts w:ascii="Calibri" w:hAnsi="Calibri" w:cs="Calibri"/>
                <w:color w:val="000000"/>
                <w:sz w:val="20"/>
              </w:rPr>
              <w:t>3.2</w:t>
            </w:r>
            <w:r w:rsidR="001C0CA4" w:rsidRPr="005D4CDC">
              <w:rPr>
                <w:rFonts w:ascii="Calibri" w:hAnsi="Calibri" w:cs="Calibri"/>
                <w:color w:val="000000"/>
                <w:sz w:val="20"/>
              </w:rPr>
              <w:t>%</w:t>
            </w:r>
          </w:p>
        </w:tc>
        <w:tc>
          <w:tcPr>
            <w:tcW w:w="1055" w:type="dxa"/>
            <w:shd w:val="clear" w:color="auto" w:fill="auto"/>
            <w:vAlign w:val="center"/>
          </w:tcPr>
          <w:p w14:paraId="730D7946" w14:textId="38156390" w:rsidR="00937C11" w:rsidRPr="005D4CDC" w:rsidRDefault="00207524">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highlight w:val="yellow"/>
              </w:rPr>
            </w:pPr>
            <w:r w:rsidRPr="005D4CDC">
              <w:rPr>
                <w:rFonts w:ascii="Calibri" w:hAnsi="Calibri" w:cs="Calibri"/>
                <w:color w:val="000000"/>
                <w:sz w:val="20"/>
              </w:rPr>
              <w:t>3.4</w:t>
            </w:r>
            <w:r w:rsidR="001C0CA4" w:rsidRPr="005D4CDC">
              <w:rPr>
                <w:rFonts w:ascii="Calibri" w:hAnsi="Calibri" w:cs="Calibri"/>
                <w:color w:val="000000"/>
                <w:sz w:val="20"/>
              </w:rPr>
              <w:t>%</w:t>
            </w:r>
          </w:p>
        </w:tc>
        <w:tc>
          <w:tcPr>
            <w:tcW w:w="1435" w:type="dxa"/>
            <w:shd w:val="clear" w:color="auto" w:fill="auto"/>
            <w:vAlign w:val="center"/>
          </w:tcPr>
          <w:p w14:paraId="66F276C0" w14:textId="0FD5C998" w:rsidR="00937C11" w:rsidRPr="005D4CDC" w:rsidRDefault="005D4CDC" w:rsidP="00207524">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highlight w:val="yellow"/>
              </w:rPr>
            </w:pPr>
            <w:r w:rsidRPr="005D4CDC">
              <w:rPr>
                <w:rFonts w:ascii="Calibri" w:hAnsi="Calibri" w:cs="Calibri"/>
                <w:color w:val="000000"/>
                <w:sz w:val="20"/>
              </w:rPr>
              <w:t>9.0</w:t>
            </w:r>
            <w:r w:rsidR="001C0CA4" w:rsidRPr="005D4CDC">
              <w:rPr>
                <w:rFonts w:ascii="Calibri" w:hAnsi="Calibri" w:cs="Calibri"/>
                <w:color w:val="000000"/>
                <w:sz w:val="20"/>
              </w:rPr>
              <w:t>%</w:t>
            </w:r>
          </w:p>
        </w:tc>
      </w:tr>
      <w:tr w:rsidR="00995976" w:rsidRPr="004A4BC9" w14:paraId="1081F6C8" w14:textId="77777777" w:rsidTr="00BF26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vAlign w:val="center"/>
          </w:tcPr>
          <w:p w14:paraId="41D3E135" w14:textId="5EDBAC24" w:rsidR="00995976" w:rsidRPr="004A4BC9" w:rsidRDefault="00995976" w:rsidP="00BE2895">
            <w:pPr>
              <w:spacing w:before="20" w:after="20"/>
              <w:rPr>
                <w:rFonts w:ascii="Calibri" w:hAnsi="Calibri" w:cs="Calibri"/>
                <w:b/>
                <w:bCs/>
                <w:color w:val="000000"/>
                <w:sz w:val="20"/>
              </w:rPr>
            </w:pPr>
            <w:r w:rsidRPr="004A4BC9">
              <w:rPr>
                <w:rFonts w:ascii="Calibri" w:hAnsi="Calibri" w:cs="Calibri"/>
                <w:b/>
                <w:bCs/>
                <w:color w:val="000000"/>
                <w:sz w:val="20"/>
              </w:rPr>
              <w:t>Unemployment</w:t>
            </w:r>
          </w:p>
        </w:tc>
        <w:tc>
          <w:tcPr>
            <w:tcW w:w="938" w:type="dxa"/>
            <w:shd w:val="clear" w:color="auto" w:fill="D9D9D9" w:themeFill="background1" w:themeFillShade="D9"/>
            <w:vAlign w:val="center"/>
          </w:tcPr>
          <w:p w14:paraId="78738E4F" w14:textId="77777777" w:rsidR="00995976" w:rsidRPr="005D4CDC" w:rsidRDefault="00995976" w:rsidP="00BE2895">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5D4CDC">
              <w:rPr>
                <w:rFonts w:ascii="Calibri" w:hAnsi="Calibri" w:cs="Calibri"/>
                <w:b/>
                <w:bCs/>
                <w:color w:val="000000"/>
                <w:sz w:val="20"/>
              </w:rPr>
              <w:t> </w:t>
            </w:r>
          </w:p>
        </w:tc>
        <w:tc>
          <w:tcPr>
            <w:tcW w:w="1271" w:type="dxa"/>
            <w:shd w:val="clear" w:color="auto" w:fill="D9D9D9" w:themeFill="background1" w:themeFillShade="D9"/>
            <w:vAlign w:val="center"/>
          </w:tcPr>
          <w:p w14:paraId="042767A9" w14:textId="638F3BC7" w:rsidR="00995976" w:rsidRPr="004A4BC9" w:rsidRDefault="00995976" w:rsidP="00BE2895">
            <w:pPr>
              <w:spacing w:before="20" w:after="2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4A4BC9">
              <w:rPr>
                <w:rFonts w:ascii="Calibri" w:hAnsi="Calibri" w:cs="Calibri"/>
                <w:b/>
                <w:bCs/>
                <w:color w:val="000000"/>
                <w:sz w:val="20"/>
              </w:rPr>
              <w:t>Rate</w:t>
            </w:r>
          </w:p>
        </w:tc>
        <w:tc>
          <w:tcPr>
            <w:tcW w:w="1083" w:type="dxa"/>
            <w:shd w:val="clear" w:color="auto" w:fill="D9D9D9" w:themeFill="background1" w:themeFillShade="D9"/>
            <w:vAlign w:val="center"/>
          </w:tcPr>
          <w:p w14:paraId="76C074B7" w14:textId="77777777" w:rsidR="00995976" w:rsidRPr="004A4BC9" w:rsidRDefault="00995976" w:rsidP="00BE2895">
            <w:pPr>
              <w:spacing w:before="20" w:after="2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4A4BC9">
              <w:rPr>
                <w:rFonts w:ascii="Calibri" w:hAnsi="Calibri" w:cs="Calibri"/>
                <w:b/>
                <w:bCs/>
                <w:color w:val="000000"/>
                <w:sz w:val="20"/>
              </w:rPr>
              <w:t> </w:t>
            </w:r>
          </w:p>
        </w:tc>
        <w:tc>
          <w:tcPr>
            <w:tcW w:w="1076" w:type="dxa"/>
            <w:shd w:val="clear" w:color="auto" w:fill="D9D9D9" w:themeFill="background1" w:themeFillShade="D9"/>
            <w:vAlign w:val="center"/>
          </w:tcPr>
          <w:p w14:paraId="504A84C5" w14:textId="77777777" w:rsidR="00995976" w:rsidRPr="004A4BC9" w:rsidRDefault="00995976" w:rsidP="00BE2895">
            <w:pPr>
              <w:spacing w:before="20" w:after="2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4A4BC9">
              <w:rPr>
                <w:rFonts w:ascii="Calibri" w:hAnsi="Calibri" w:cs="Calibri"/>
                <w:b/>
                <w:bCs/>
                <w:color w:val="000000"/>
                <w:sz w:val="20"/>
              </w:rPr>
              <w:t> </w:t>
            </w:r>
          </w:p>
        </w:tc>
        <w:tc>
          <w:tcPr>
            <w:tcW w:w="1055" w:type="dxa"/>
            <w:shd w:val="clear" w:color="auto" w:fill="D9D9D9" w:themeFill="background1" w:themeFillShade="D9"/>
            <w:vAlign w:val="center"/>
          </w:tcPr>
          <w:p w14:paraId="55D44FCF" w14:textId="77777777" w:rsidR="00995976" w:rsidRPr="004A4BC9" w:rsidRDefault="00995976" w:rsidP="00BE2895">
            <w:pPr>
              <w:spacing w:before="20" w:after="2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4A4BC9">
              <w:rPr>
                <w:rFonts w:ascii="Calibri" w:hAnsi="Calibri" w:cs="Calibri"/>
                <w:b/>
                <w:bCs/>
                <w:color w:val="000000"/>
                <w:sz w:val="20"/>
              </w:rPr>
              <w:t> </w:t>
            </w:r>
          </w:p>
        </w:tc>
        <w:tc>
          <w:tcPr>
            <w:tcW w:w="1435" w:type="dxa"/>
            <w:shd w:val="clear" w:color="auto" w:fill="D9D9D9" w:themeFill="background1" w:themeFillShade="D9"/>
            <w:vAlign w:val="center"/>
          </w:tcPr>
          <w:p w14:paraId="4D0694A9" w14:textId="77777777" w:rsidR="00995976" w:rsidRPr="004A4BC9" w:rsidRDefault="00995976" w:rsidP="00BE2895">
            <w:pPr>
              <w:spacing w:before="20" w:after="2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4A4BC9">
              <w:rPr>
                <w:rFonts w:ascii="Calibri" w:hAnsi="Calibri" w:cs="Calibri"/>
                <w:b/>
                <w:bCs/>
                <w:color w:val="000000"/>
                <w:sz w:val="20"/>
              </w:rPr>
              <w:t> </w:t>
            </w:r>
          </w:p>
        </w:tc>
      </w:tr>
      <w:tr w:rsidR="00B243D8" w:rsidRPr="00797CA2" w14:paraId="53215664" w14:textId="77777777" w:rsidTr="00BE289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598F1670" w14:textId="77777777" w:rsidR="00937C11" w:rsidRPr="004A4BC9" w:rsidRDefault="00937C11" w:rsidP="00937C11">
            <w:pPr>
              <w:spacing w:before="0" w:after="0"/>
              <w:ind w:firstLineChars="200" w:firstLine="400"/>
              <w:rPr>
                <w:rFonts w:ascii="Calibri" w:hAnsi="Calibri" w:cs="Calibri"/>
                <w:iCs/>
                <w:color w:val="000000"/>
                <w:sz w:val="20"/>
              </w:rPr>
            </w:pPr>
            <w:r w:rsidRPr="004A4BC9">
              <w:rPr>
                <w:rFonts w:ascii="Calibri" w:hAnsi="Calibri" w:cs="Calibri"/>
                <w:iCs/>
                <w:color w:val="000000"/>
                <w:sz w:val="20"/>
              </w:rPr>
              <w:t>Unemployment rate (NT) (sa)</w:t>
            </w:r>
          </w:p>
        </w:tc>
        <w:tc>
          <w:tcPr>
            <w:tcW w:w="938" w:type="dxa"/>
            <w:shd w:val="clear" w:color="auto" w:fill="auto"/>
            <w:vAlign w:val="center"/>
          </w:tcPr>
          <w:p w14:paraId="615CB847" w14:textId="15093581" w:rsidR="00937C11" w:rsidRPr="005D4CDC" w:rsidRDefault="005D4CDC" w:rsidP="001C0CA4">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5D4CDC">
              <w:rPr>
                <w:rFonts w:ascii="Calibri" w:hAnsi="Calibri" w:cs="Calibri"/>
                <w:color w:val="000000"/>
                <w:sz w:val="20"/>
              </w:rPr>
              <w:t>Nov</w:t>
            </w:r>
            <w:r w:rsidR="001C0CA4" w:rsidRPr="005D4CDC">
              <w:rPr>
                <w:rFonts w:ascii="Calibri" w:hAnsi="Calibri" w:cs="Calibri"/>
                <w:color w:val="000000"/>
                <w:sz w:val="20"/>
              </w:rPr>
              <w:t>-23</w:t>
            </w:r>
          </w:p>
        </w:tc>
        <w:tc>
          <w:tcPr>
            <w:tcW w:w="1271" w:type="dxa"/>
            <w:shd w:val="clear" w:color="auto" w:fill="auto"/>
            <w:vAlign w:val="center"/>
          </w:tcPr>
          <w:p w14:paraId="3D1663B8" w14:textId="7531ED82" w:rsidR="00937C11" w:rsidRPr="005D4CDC" w:rsidRDefault="009B48D2" w:rsidP="00207524">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5D4CDC">
              <w:rPr>
                <w:rFonts w:ascii="Calibri" w:hAnsi="Calibri" w:cs="Calibri"/>
                <w:color w:val="000000"/>
                <w:sz w:val="20"/>
              </w:rPr>
              <w:t>4.</w:t>
            </w:r>
            <w:r w:rsidR="005D4CDC" w:rsidRPr="005D4CDC">
              <w:rPr>
                <w:rFonts w:ascii="Calibri" w:hAnsi="Calibri" w:cs="Calibri"/>
                <w:color w:val="000000"/>
                <w:sz w:val="20"/>
              </w:rPr>
              <w:t>6</w:t>
            </w:r>
            <w:r w:rsidR="001C0CA4" w:rsidRPr="005D4CDC">
              <w:rPr>
                <w:rFonts w:ascii="Calibri" w:hAnsi="Calibri" w:cs="Calibri"/>
                <w:color w:val="000000"/>
                <w:sz w:val="20"/>
              </w:rPr>
              <w:t>%</w:t>
            </w:r>
          </w:p>
        </w:tc>
        <w:tc>
          <w:tcPr>
            <w:tcW w:w="1083" w:type="dxa"/>
            <w:shd w:val="clear" w:color="auto" w:fill="auto"/>
            <w:vAlign w:val="center"/>
          </w:tcPr>
          <w:p w14:paraId="1EFC6136" w14:textId="30926276" w:rsidR="00937C11" w:rsidRPr="005D4CDC" w:rsidRDefault="005D4CDC" w:rsidP="00207524">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5D4CDC">
              <w:rPr>
                <w:rFonts w:ascii="Calibri" w:hAnsi="Calibri" w:cs="Calibri"/>
                <w:color w:val="000000"/>
                <w:sz w:val="20"/>
              </w:rPr>
              <w:t>0.6</w:t>
            </w:r>
            <w:r w:rsidR="001C0CA4" w:rsidRPr="005D4CDC">
              <w:rPr>
                <w:rFonts w:ascii="Calibri" w:hAnsi="Calibri" w:cs="Calibri"/>
                <w:color w:val="000000"/>
                <w:sz w:val="20"/>
              </w:rPr>
              <w:t xml:space="preserve"> ppt</w:t>
            </w:r>
          </w:p>
        </w:tc>
        <w:tc>
          <w:tcPr>
            <w:tcW w:w="1076" w:type="dxa"/>
            <w:shd w:val="clear" w:color="auto" w:fill="auto"/>
            <w:vAlign w:val="center"/>
          </w:tcPr>
          <w:p w14:paraId="532A2683" w14:textId="1456365C" w:rsidR="00937C11" w:rsidRPr="005D4CDC" w:rsidRDefault="005D4CDC" w:rsidP="00207524">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5D4CDC">
              <w:rPr>
                <w:rFonts w:ascii="Calibri" w:hAnsi="Calibri" w:cs="Calibri"/>
                <w:color w:val="000000"/>
                <w:sz w:val="20"/>
              </w:rPr>
              <w:t>1.5</w:t>
            </w:r>
            <w:r w:rsidR="009B48D2" w:rsidRPr="005D4CDC">
              <w:rPr>
                <w:rFonts w:ascii="Calibri" w:hAnsi="Calibri" w:cs="Calibri"/>
                <w:color w:val="000000"/>
                <w:sz w:val="20"/>
              </w:rPr>
              <w:t xml:space="preserve"> </w:t>
            </w:r>
            <w:r w:rsidR="001C0CA4" w:rsidRPr="005D4CDC">
              <w:rPr>
                <w:rFonts w:ascii="Calibri" w:hAnsi="Calibri" w:cs="Calibri"/>
                <w:color w:val="000000"/>
                <w:sz w:val="20"/>
              </w:rPr>
              <w:t>ppt</w:t>
            </w:r>
          </w:p>
        </w:tc>
        <w:tc>
          <w:tcPr>
            <w:tcW w:w="1055" w:type="dxa"/>
            <w:shd w:val="clear" w:color="auto" w:fill="auto"/>
            <w:vAlign w:val="center"/>
          </w:tcPr>
          <w:p w14:paraId="13145DE3" w14:textId="562BF2FE" w:rsidR="00937C11" w:rsidRPr="005D4CDC" w:rsidRDefault="001C0CA4" w:rsidP="00FF2916">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5D4CDC">
              <w:rPr>
                <w:rFonts w:ascii="Calibri" w:hAnsi="Calibri" w:cs="Calibri"/>
                <w:color w:val="000000"/>
                <w:sz w:val="20"/>
              </w:rPr>
              <w:t>na</w:t>
            </w:r>
          </w:p>
        </w:tc>
        <w:tc>
          <w:tcPr>
            <w:tcW w:w="1435" w:type="dxa"/>
            <w:shd w:val="clear" w:color="auto" w:fill="auto"/>
            <w:vAlign w:val="center"/>
          </w:tcPr>
          <w:p w14:paraId="0F628F55" w14:textId="5786D927" w:rsidR="00937C11" w:rsidRPr="005D4CDC" w:rsidRDefault="001C0CA4" w:rsidP="000C344D">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5D4CDC">
              <w:rPr>
                <w:rFonts w:ascii="Calibri" w:hAnsi="Calibri" w:cs="Calibri"/>
                <w:color w:val="000000"/>
                <w:sz w:val="20"/>
              </w:rPr>
              <w:t>-</w:t>
            </w:r>
            <w:r w:rsidR="005D4CDC" w:rsidRPr="005D4CDC">
              <w:rPr>
                <w:rFonts w:ascii="Calibri" w:hAnsi="Calibri" w:cs="Calibri"/>
                <w:color w:val="000000"/>
                <w:sz w:val="20"/>
              </w:rPr>
              <w:t>1.1</w:t>
            </w:r>
            <w:r w:rsidRPr="005D4CDC">
              <w:rPr>
                <w:rFonts w:ascii="Calibri" w:hAnsi="Calibri" w:cs="Calibri"/>
                <w:color w:val="000000"/>
                <w:sz w:val="20"/>
              </w:rPr>
              <w:t xml:space="preserve"> ppt</w:t>
            </w:r>
          </w:p>
        </w:tc>
      </w:tr>
      <w:tr w:rsidR="00B243D8" w:rsidRPr="00797CA2" w14:paraId="01535E0A"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40FC221B" w14:textId="0D3F8616" w:rsidR="00937C11" w:rsidRPr="004A4BC9" w:rsidRDefault="00720F41" w:rsidP="00937C11">
            <w:pPr>
              <w:spacing w:before="0" w:after="0"/>
              <w:ind w:firstLineChars="200" w:firstLine="400"/>
              <w:rPr>
                <w:rFonts w:ascii="Calibri" w:hAnsi="Calibri" w:cs="Calibri"/>
                <w:iCs/>
                <w:color w:val="000000"/>
                <w:sz w:val="20"/>
              </w:rPr>
            </w:pPr>
            <w:r w:rsidRPr="004A4BC9">
              <w:rPr>
                <w:rFonts w:ascii="Calibri" w:hAnsi="Calibri" w:cs="Calibri"/>
                <w:iCs/>
                <w:color w:val="000000"/>
                <w:sz w:val="20"/>
              </w:rPr>
              <w:t>Unemployment rate (Aus</w:t>
            </w:r>
            <w:r w:rsidR="00937C11" w:rsidRPr="004A4BC9">
              <w:rPr>
                <w:rFonts w:ascii="Calibri" w:hAnsi="Calibri" w:cs="Calibri"/>
                <w:iCs/>
                <w:color w:val="000000"/>
                <w:sz w:val="20"/>
              </w:rPr>
              <w:t>) (sa)</w:t>
            </w:r>
          </w:p>
        </w:tc>
        <w:tc>
          <w:tcPr>
            <w:tcW w:w="938" w:type="dxa"/>
            <w:vAlign w:val="center"/>
          </w:tcPr>
          <w:p w14:paraId="23B52F3E" w14:textId="1FDA11B5" w:rsidR="00937C11" w:rsidRPr="005D4CDC" w:rsidRDefault="005D4CDC" w:rsidP="00937C11">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5D4CDC">
              <w:rPr>
                <w:rFonts w:ascii="Calibri" w:hAnsi="Calibri" w:cs="Calibri"/>
                <w:color w:val="000000"/>
                <w:sz w:val="20"/>
              </w:rPr>
              <w:t>Nov</w:t>
            </w:r>
            <w:r w:rsidR="001C0CA4" w:rsidRPr="005D4CDC">
              <w:rPr>
                <w:rFonts w:ascii="Calibri" w:hAnsi="Calibri" w:cs="Calibri"/>
                <w:color w:val="000000"/>
                <w:sz w:val="20"/>
              </w:rPr>
              <w:t>-23</w:t>
            </w:r>
          </w:p>
        </w:tc>
        <w:tc>
          <w:tcPr>
            <w:tcW w:w="1271" w:type="dxa"/>
            <w:vAlign w:val="center"/>
          </w:tcPr>
          <w:p w14:paraId="78E2114C" w14:textId="2F3937D8" w:rsidR="00937C11" w:rsidRPr="005D4CDC" w:rsidRDefault="005D4CDC" w:rsidP="00BF4957">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5D4CDC">
              <w:rPr>
                <w:rFonts w:ascii="Calibri" w:hAnsi="Calibri" w:cs="Calibri"/>
                <w:color w:val="000000"/>
                <w:sz w:val="20"/>
              </w:rPr>
              <w:t>3.9</w:t>
            </w:r>
            <w:r w:rsidR="001C0CA4" w:rsidRPr="005D4CDC">
              <w:rPr>
                <w:rFonts w:ascii="Calibri" w:hAnsi="Calibri" w:cs="Calibri"/>
                <w:color w:val="000000"/>
                <w:sz w:val="20"/>
              </w:rPr>
              <w:t>%</w:t>
            </w:r>
          </w:p>
        </w:tc>
        <w:tc>
          <w:tcPr>
            <w:tcW w:w="1083" w:type="dxa"/>
            <w:vAlign w:val="center"/>
          </w:tcPr>
          <w:p w14:paraId="13BE7E28" w14:textId="5A41B9D4" w:rsidR="00937C11" w:rsidRPr="005D4CDC" w:rsidRDefault="009B48D2">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5D4CDC">
              <w:rPr>
                <w:rFonts w:ascii="Calibri" w:hAnsi="Calibri" w:cs="Calibri"/>
                <w:color w:val="000000"/>
                <w:sz w:val="20"/>
              </w:rPr>
              <w:t>0</w:t>
            </w:r>
            <w:r w:rsidR="005D4CDC" w:rsidRPr="005D4CDC">
              <w:rPr>
                <w:rFonts w:ascii="Calibri" w:hAnsi="Calibri" w:cs="Calibri"/>
                <w:color w:val="000000"/>
                <w:sz w:val="20"/>
              </w:rPr>
              <w:t>.1</w:t>
            </w:r>
            <w:r w:rsidRPr="005D4CDC">
              <w:rPr>
                <w:rFonts w:ascii="Calibri" w:hAnsi="Calibri" w:cs="Calibri"/>
                <w:color w:val="000000"/>
                <w:sz w:val="20"/>
              </w:rPr>
              <w:t xml:space="preserve"> </w:t>
            </w:r>
            <w:r w:rsidR="001C0CA4" w:rsidRPr="005D4CDC">
              <w:rPr>
                <w:rFonts w:ascii="Calibri" w:hAnsi="Calibri" w:cs="Calibri"/>
                <w:color w:val="000000"/>
                <w:sz w:val="20"/>
              </w:rPr>
              <w:t>ppt</w:t>
            </w:r>
          </w:p>
        </w:tc>
        <w:tc>
          <w:tcPr>
            <w:tcW w:w="1076" w:type="dxa"/>
            <w:vAlign w:val="center"/>
          </w:tcPr>
          <w:p w14:paraId="0DFA8D97" w14:textId="03A5B733" w:rsidR="00937C11" w:rsidRPr="005D4CDC" w:rsidRDefault="001C0CA4" w:rsidP="00207524">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5D4CDC">
              <w:rPr>
                <w:rFonts w:ascii="Calibri" w:hAnsi="Calibri" w:cs="Calibri"/>
                <w:color w:val="000000"/>
                <w:sz w:val="20"/>
              </w:rPr>
              <w:t>0.</w:t>
            </w:r>
            <w:r w:rsidR="005D4CDC" w:rsidRPr="005D4CDC">
              <w:rPr>
                <w:rFonts w:ascii="Calibri" w:hAnsi="Calibri" w:cs="Calibri"/>
                <w:color w:val="000000"/>
                <w:sz w:val="20"/>
              </w:rPr>
              <w:t>4</w:t>
            </w:r>
            <w:r w:rsidR="009B48D2" w:rsidRPr="005D4CDC">
              <w:rPr>
                <w:rFonts w:ascii="Calibri" w:hAnsi="Calibri" w:cs="Calibri"/>
                <w:color w:val="000000"/>
                <w:sz w:val="20"/>
              </w:rPr>
              <w:t xml:space="preserve"> </w:t>
            </w:r>
            <w:r w:rsidRPr="005D4CDC">
              <w:rPr>
                <w:rFonts w:ascii="Calibri" w:hAnsi="Calibri" w:cs="Calibri"/>
                <w:color w:val="000000"/>
                <w:sz w:val="20"/>
              </w:rPr>
              <w:t>ppt</w:t>
            </w:r>
          </w:p>
        </w:tc>
        <w:tc>
          <w:tcPr>
            <w:tcW w:w="1055" w:type="dxa"/>
            <w:vAlign w:val="center"/>
          </w:tcPr>
          <w:p w14:paraId="60169127" w14:textId="04A238FD" w:rsidR="00937C11" w:rsidRPr="005D4CDC" w:rsidRDefault="001C0CA4" w:rsidP="00FF2916">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5D4CDC">
              <w:rPr>
                <w:rFonts w:ascii="Calibri" w:hAnsi="Calibri" w:cs="Calibri"/>
                <w:color w:val="000000"/>
                <w:sz w:val="20"/>
              </w:rPr>
              <w:t>na</w:t>
            </w:r>
          </w:p>
        </w:tc>
        <w:tc>
          <w:tcPr>
            <w:tcW w:w="1435" w:type="dxa"/>
            <w:vAlign w:val="center"/>
          </w:tcPr>
          <w:p w14:paraId="5CCB60F4" w14:textId="42B34248" w:rsidR="00937C11" w:rsidRPr="005D4CDC" w:rsidRDefault="001C0CA4" w:rsidP="000C344D">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5D4CDC">
              <w:rPr>
                <w:rFonts w:ascii="Calibri" w:hAnsi="Calibri" w:cs="Calibri"/>
                <w:color w:val="000000"/>
                <w:sz w:val="20"/>
              </w:rPr>
              <w:t>-1.</w:t>
            </w:r>
            <w:r w:rsidR="005D4CDC" w:rsidRPr="005D4CDC">
              <w:rPr>
                <w:rFonts w:ascii="Calibri" w:hAnsi="Calibri" w:cs="Calibri"/>
                <w:color w:val="000000"/>
                <w:sz w:val="20"/>
              </w:rPr>
              <w:t>5</w:t>
            </w:r>
            <w:r w:rsidRPr="005D4CDC">
              <w:rPr>
                <w:rFonts w:ascii="Calibri" w:hAnsi="Calibri" w:cs="Calibri"/>
                <w:color w:val="000000"/>
                <w:sz w:val="20"/>
              </w:rPr>
              <w:t xml:space="preserve"> ppt</w:t>
            </w:r>
          </w:p>
        </w:tc>
      </w:tr>
      <w:tr w:rsidR="00B243D8" w:rsidRPr="004A4BC9" w14:paraId="3EDA8D03" w14:textId="77777777" w:rsidTr="00BE289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764B6099" w14:textId="77777777" w:rsidR="004F7E54" w:rsidRPr="004A4BC9" w:rsidRDefault="004F7E54" w:rsidP="00BE2895">
            <w:pPr>
              <w:spacing w:before="20" w:after="20"/>
              <w:rPr>
                <w:rFonts w:ascii="Calibri" w:hAnsi="Calibri" w:cs="Calibri"/>
                <w:b/>
                <w:bCs/>
                <w:color w:val="000000"/>
                <w:sz w:val="20"/>
              </w:rPr>
            </w:pPr>
            <w:r w:rsidRPr="004A4BC9">
              <w:rPr>
                <w:rFonts w:ascii="Calibri" w:hAnsi="Calibri" w:cs="Calibri"/>
                <w:b/>
                <w:bCs/>
                <w:color w:val="000000"/>
                <w:sz w:val="20"/>
              </w:rPr>
              <w:t>Population</w:t>
            </w:r>
          </w:p>
        </w:tc>
        <w:tc>
          <w:tcPr>
            <w:tcW w:w="938" w:type="dxa"/>
            <w:vAlign w:val="center"/>
          </w:tcPr>
          <w:p w14:paraId="44C5CBEA" w14:textId="77777777" w:rsidR="004F7E54" w:rsidRPr="004A4BC9" w:rsidRDefault="004F7E54" w:rsidP="00BE2895">
            <w:pPr>
              <w:spacing w:before="20" w:after="2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4A4BC9">
              <w:rPr>
                <w:rFonts w:ascii="Calibri" w:hAnsi="Calibri" w:cs="Calibri"/>
                <w:color w:val="000000"/>
                <w:sz w:val="20"/>
              </w:rPr>
              <w:t> </w:t>
            </w:r>
          </w:p>
        </w:tc>
        <w:tc>
          <w:tcPr>
            <w:tcW w:w="1271" w:type="dxa"/>
            <w:vAlign w:val="center"/>
          </w:tcPr>
          <w:p w14:paraId="732C9876" w14:textId="01CC111F" w:rsidR="004F7E54" w:rsidRPr="004A4BC9" w:rsidRDefault="00493695" w:rsidP="00BE2895">
            <w:pPr>
              <w:spacing w:before="20" w:after="2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4A4BC9">
              <w:rPr>
                <w:rFonts w:ascii="Calibri" w:hAnsi="Calibri" w:cs="Calibri"/>
                <w:b/>
                <w:color w:val="000000"/>
                <w:sz w:val="20"/>
              </w:rPr>
              <w:t>#M</w:t>
            </w:r>
          </w:p>
        </w:tc>
        <w:tc>
          <w:tcPr>
            <w:tcW w:w="1083" w:type="dxa"/>
            <w:vAlign w:val="center"/>
          </w:tcPr>
          <w:p w14:paraId="10E1D983" w14:textId="77777777" w:rsidR="004F7E54" w:rsidRPr="004A4BC9"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4A4BC9">
              <w:rPr>
                <w:rFonts w:ascii="Calibri" w:hAnsi="Calibri" w:cs="Calibri"/>
                <w:color w:val="000000"/>
                <w:sz w:val="20"/>
              </w:rPr>
              <w:t> </w:t>
            </w:r>
          </w:p>
        </w:tc>
        <w:tc>
          <w:tcPr>
            <w:tcW w:w="1076" w:type="dxa"/>
            <w:vAlign w:val="center"/>
          </w:tcPr>
          <w:p w14:paraId="436226C5" w14:textId="77777777" w:rsidR="004F7E54" w:rsidRPr="004A4BC9"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4A4BC9">
              <w:rPr>
                <w:rFonts w:ascii="Calibri" w:hAnsi="Calibri" w:cs="Calibri"/>
                <w:color w:val="000000"/>
                <w:sz w:val="20"/>
              </w:rPr>
              <w:t> </w:t>
            </w:r>
          </w:p>
        </w:tc>
        <w:tc>
          <w:tcPr>
            <w:tcW w:w="1055" w:type="dxa"/>
            <w:vAlign w:val="center"/>
          </w:tcPr>
          <w:p w14:paraId="2776258A" w14:textId="77777777" w:rsidR="004F7E54" w:rsidRPr="004A4BC9"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4A4BC9">
              <w:rPr>
                <w:rFonts w:ascii="Calibri" w:hAnsi="Calibri" w:cs="Calibri"/>
                <w:color w:val="000000"/>
                <w:sz w:val="20"/>
              </w:rPr>
              <w:t> </w:t>
            </w:r>
          </w:p>
        </w:tc>
        <w:tc>
          <w:tcPr>
            <w:tcW w:w="1435" w:type="dxa"/>
            <w:vAlign w:val="center"/>
          </w:tcPr>
          <w:p w14:paraId="7A8AEE07" w14:textId="77777777" w:rsidR="004F7E54" w:rsidRPr="004A4BC9" w:rsidRDefault="004F7E54" w:rsidP="00BE2895">
            <w:pPr>
              <w:spacing w:before="20" w:after="2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4A4BC9">
              <w:rPr>
                <w:rFonts w:ascii="Calibri" w:hAnsi="Calibri" w:cs="Calibri"/>
                <w:color w:val="000000"/>
                <w:sz w:val="20"/>
              </w:rPr>
              <w:t> </w:t>
            </w:r>
          </w:p>
        </w:tc>
      </w:tr>
      <w:tr w:rsidR="00B243D8" w:rsidRPr="00797CA2" w14:paraId="72E620D8"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61607957" w14:textId="77777777" w:rsidR="00937C11" w:rsidRPr="004A4BC9" w:rsidRDefault="00937C11" w:rsidP="00937C11">
            <w:pPr>
              <w:spacing w:before="0" w:after="0"/>
              <w:ind w:firstLineChars="200" w:firstLine="400"/>
              <w:rPr>
                <w:rFonts w:ascii="Calibri" w:hAnsi="Calibri" w:cs="Calibri"/>
                <w:iCs/>
                <w:color w:val="000000"/>
                <w:sz w:val="20"/>
              </w:rPr>
            </w:pPr>
            <w:r w:rsidRPr="004A4BC9">
              <w:rPr>
                <w:rFonts w:ascii="Calibri" w:hAnsi="Calibri" w:cs="Calibri"/>
                <w:iCs/>
                <w:color w:val="000000"/>
                <w:sz w:val="20"/>
              </w:rPr>
              <w:t>Population (NT)</w:t>
            </w:r>
          </w:p>
        </w:tc>
        <w:tc>
          <w:tcPr>
            <w:tcW w:w="938" w:type="dxa"/>
            <w:vAlign w:val="center"/>
          </w:tcPr>
          <w:p w14:paraId="4D1BE2DC" w14:textId="4314DC98" w:rsidR="00937C11" w:rsidRPr="00431794" w:rsidRDefault="00431794">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431794">
              <w:rPr>
                <w:rFonts w:ascii="Calibri" w:hAnsi="Calibri" w:cs="Calibri"/>
                <w:color w:val="000000"/>
                <w:sz w:val="20"/>
              </w:rPr>
              <w:t>Jun</w:t>
            </w:r>
            <w:r w:rsidR="0033684F" w:rsidRPr="00431794">
              <w:rPr>
                <w:rFonts w:ascii="Calibri" w:hAnsi="Calibri" w:cs="Calibri"/>
                <w:color w:val="000000"/>
                <w:sz w:val="20"/>
              </w:rPr>
              <w:t>-23</w:t>
            </w:r>
          </w:p>
        </w:tc>
        <w:tc>
          <w:tcPr>
            <w:tcW w:w="1271" w:type="dxa"/>
            <w:vAlign w:val="center"/>
          </w:tcPr>
          <w:p w14:paraId="41DAED1C" w14:textId="6C14739B" w:rsidR="00937C11" w:rsidRPr="00467461" w:rsidRDefault="00461158">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467461">
              <w:rPr>
                <w:rFonts w:ascii="Calibri" w:hAnsi="Calibri" w:cs="Calibri"/>
                <w:color w:val="000000"/>
                <w:sz w:val="20"/>
              </w:rPr>
              <w:t>0.</w:t>
            </w:r>
            <w:r w:rsidR="009B48D2" w:rsidRPr="00467461">
              <w:rPr>
                <w:rFonts w:ascii="Calibri" w:hAnsi="Calibri" w:cs="Calibri"/>
                <w:color w:val="000000"/>
                <w:sz w:val="20"/>
              </w:rPr>
              <w:t>252</w:t>
            </w:r>
          </w:p>
        </w:tc>
        <w:tc>
          <w:tcPr>
            <w:tcW w:w="1083" w:type="dxa"/>
            <w:vAlign w:val="center"/>
          </w:tcPr>
          <w:p w14:paraId="06C72730" w14:textId="60A10CA5" w:rsidR="00937C11" w:rsidRPr="00467461" w:rsidRDefault="00467461" w:rsidP="00BF4957">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467461">
              <w:rPr>
                <w:rFonts w:ascii="Calibri" w:hAnsi="Calibri" w:cs="Calibri"/>
                <w:color w:val="000000"/>
                <w:sz w:val="20"/>
              </w:rPr>
              <w:t>0.3</w:t>
            </w:r>
            <w:r w:rsidR="00551BCC" w:rsidRPr="00467461">
              <w:rPr>
                <w:rFonts w:ascii="Calibri" w:hAnsi="Calibri" w:cs="Calibri"/>
                <w:color w:val="000000"/>
                <w:sz w:val="20"/>
              </w:rPr>
              <w:t>%</w:t>
            </w:r>
          </w:p>
        </w:tc>
        <w:tc>
          <w:tcPr>
            <w:tcW w:w="1076" w:type="dxa"/>
            <w:vAlign w:val="center"/>
          </w:tcPr>
          <w:p w14:paraId="21371203" w14:textId="4E44D6D7" w:rsidR="00937C11" w:rsidRPr="00467461" w:rsidRDefault="009B48D2" w:rsidP="00BF4957">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467461">
              <w:rPr>
                <w:rFonts w:ascii="Calibri" w:hAnsi="Calibri" w:cs="Calibri"/>
                <w:color w:val="000000"/>
                <w:sz w:val="20"/>
              </w:rPr>
              <w:t>0.9</w:t>
            </w:r>
            <w:r w:rsidR="00551BCC" w:rsidRPr="00467461">
              <w:rPr>
                <w:rFonts w:ascii="Calibri" w:hAnsi="Calibri" w:cs="Calibri"/>
                <w:color w:val="000000"/>
                <w:sz w:val="20"/>
              </w:rPr>
              <w:t>%</w:t>
            </w:r>
          </w:p>
        </w:tc>
        <w:tc>
          <w:tcPr>
            <w:tcW w:w="1055" w:type="dxa"/>
            <w:vAlign w:val="center"/>
          </w:tcPr>
          <w:p w14:paraId="58BAD20F" w14:textId="43B6FC0F" w:rsidR="00937C11" w:rsidRPr="00467461" w:rsidRDefault="00CE0C8A" w:rsidP="00FF291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467461">
              <w:rPr>
                <w:rFonts w:ascii="Calibri" w:hAnsi="Calibri" w:cs="Calibri"/>
                <w:color w:val="000000"/>
                <w:sz w:val="20"/>
              </w:rPr>
              <w:t>na</w:t>
            </w:r>
          </w:p>
        </w:tc>
        <w:tc>
          <w:tcPr>
            <w:tcW w:w="1435" w:type="dxa"/>
            <w:vAlign w:val="center"/>
          </w:tcPr>
          <w:p w14:paraId="1219628B" w14:textId="5C1DBF19" w:rsidR="00937C11" w:rsidRPr="00B77859" w:rsidRDefault="00B77859" w:rsidP="00BF4957">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B77859">
              <w:rPr>
                <w:rFonts w:ascii="Calibri" w:hAnsi="Calibri" w:cs="Calibri"/>
                <w:color w:val="000000"/>
                <w:sz w:val="20"/>
              </w:rPr>
              <w:t>2.0</w:t>
            </w:r>
            <w:r w:rsidR="00937C11" w:rsidRPr="00B77859">
              <w:rPr>
                <w:rFonts w:ascii="Calibri" w:hAnsi="Calibri" w:cs="Calibri"/>
                <w:color w:val="000000"/>
                <w:sz w:val="20"/>
              </w:rPr>
              <w:t>%</w:t>
            </w:r>
          </w:p>
        </w:tc>
      </w:tr>
      <w:tr w:rsidR="00B243D8" w:rsidRPr="00797CA2" w14:paraId="1CBBCE74" w14:textId="77777777" w:rsidTr="00BE289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01870113" w14:textId="74752514" w:rsidR="00937C11" w:rsidRPr="004A4BC9" w:rsidRDefault="00720F41" w:rsidP="00937C11">
            <w:pPr>
              <w:spacing w:before="0" w:after="0"/>
              <w:ind w:firstLineChars="200" w:firstLine="400"/>
              <w:rPr>
                <w:rFonts w:ascii="Calibri" w:hAnsi="Calibri" w:cs="Calibri"/>
                <w:iCs/>
                <w:color w:val="000000"/>
                <w:sz w:val="20"/>
              </w:rPr>
            </w:pPr>
            <w:r w:rsidRPr="004A4BC9">
              <w:rPr>
                <w:rFonts w:ascii="Calibri" w:hAnsi="Calibri" w:cs="Calibri"/>
                <w:iCs/>
                <w:color w:val="000000"/>
                <w:sz w:val="20"/>
              </w:rPr>
              <w:t>Population (Aus</w:t>
            </w:r>
            <w:r w:rsidR="00937C11" w:rsidRPr="004A4BC9">
              <w:rPr>
                <w:rFonts w:ascii="Calibri" w:hAnsi="Calibri" w:cs="Calibri"/>
                <w:iCs/>
                <w:color w:val="000000"/>
                <w:sz w:val="20"/>
              </w:rPr>
              <w:t>)</w:t>
            </w:r>
          </w:p>
        </w:tc>
        <w:tc>
          <w:tcPr>
            <w:tcW w:w="938" w:type="dxa"/>
            <w:shd w:val="clear" w:color="auto" w:fill="auto"/>
            <w:vAlign w:val="center"/>
          </w:tcPr>
          <w:p w14:paraId="3340DA18" w14:textId="40653CDA" w:rsidR="00937C11" w:rsidRPr="00431794" w:rsidRDefault="00431794" w:rsidP="00937C11">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431794">
              <w:rPr>
                <w:rFonts w:ascii="Calibri" w:hAnsi="Calibri" w:cs="Calibri"/>
                <w:color w:val="000000"/>
                <w:sz w:val="20"/>
              </w:rPr>
              <w:t>Jun</w:t>
            </w:r>
            <w:r w:rsidR="0033684F" w:rsidRPr="00431794">
              <w:rPr>
                <w:rFonts w:ascii="Calibri" w:hAnsi="Calibri" w:cs="Calibri"/>
                <w:color w:val="000000"/>
                <w:sz w:val="20"/>
              </w:rPr>
              <w:t>-23</w:t>
            </w:r>
          </w:p>
        </w:tc>
        <w:tc>
          <w:tcPr>
            <w:tcW w:w="1271" w:type="dxa"/>
            <w:shd w:val="clear" w:color="auto" w:fill="auto"/>
            <w:vAlign w:val="center"/>
          </w:tcPr>
          <w:p w14:paraId="59FB9A4B" w14:textId="0573E762" w:rsidR="00937C11" w:rsidRPr="00467461" w:rsidRDefault="00461158" w:rsidP="00467461">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467461">
              <w:rPr>
                <w:rFonts w:ascii="Calibri" w:hAnsi="Calibri" w:cs="Calibri"/>
                <w:color w:val="000000"/>
                <w:sz w:val="20"/>
              </w:rPr>
              <w:t>2</w:t>
            </w:r>
            <w:r w:rsidR="00551BCC" w:rsidRPr="00467461">
              <w:rPr>
                <w:rFonts w:ascii="Calibri" w:hAnsi="Calibri" w:cs="Calibri"/>
                <w:color w:val="000000"/>
                <w:sz w:val="20"/>
              </w:rPr>
              <w:t>6</w:t>
            </w:r>
            <w:r w:rsidRPr="00467461">
              <w:rPr>
                <w:rFonts w:ascii="Calibri" w:hAnsi="Calibri" w:cs="Calibri"/>
                <w:color w:val="000000"/>
                <w:sz w:val="20"/>
              </w:rPr>
              <w:t>.</w:t>
            </w:r>
            <w:r w:rsidR="00467461" w:rsidRPr="00467461">
              <w:rPr>
                <w:rFonts w:ascii="Calibri" w:hAnsi="Calibri" w:cs="Calibri"/>
                <w:color w:val="000000"/>
                <w:sz w:val="20"/>
              </w:rPr>
              <w:t>639</w:t>
            </w:r>
          </w:p>
        </w:tc>
        <w:tc>
          <w:tcPr>
            <w:tcW w:w="1083" w:type="dxa"/>
            <w:shd w:val="clear" w:color="auto" w:fill="auto"/>
            <w:vAlign w:val="center"/>
          </w:tcPr>
          <w:p w14:paraId="245B10D8" w14:textId="2DEDAA36" w:rsidR="00937C11" w:rsidRPr="00467461" w:rsidRDefault="009B48D2" w:rsidP="00FF291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467461">
              <w:rPr>
                <w:rFonts w:ascii="Calibri" w:hAnsi="Calibri" w:cs="Calibri"/>
                <w:color w:val="000000"/>
                <w:sz w:val="20"/>
              </w:rPr>
              <w:t>0</w:t>
            </w:r>
            <w:r w:rsidR="00467461" w:rsidRPr="00467461">
              <w:rPr>
                <w:rFonts w:ascii="Calibri" w:hAnsi="Calibri" w:cs="Calibri"/>
                <w:color w:val="000000"/>
                <w:sz w:val="20"/>
              </w:rPr>
              <w:t>.6</w:t>
            </w:r>
            <w:r w:rsidR="00551BCC" w:rsidRPr="00467461">
              <w:rPr>
                <w:rFonts w:ascii="Calibri" w:hAnsi="Calibri" w:cs="Calibri"/>
                <w:color w:val="000000"/>
                <w:sz w:val="20"/>
              </w:rPr>
              <w:t>%</w:t>
            </w:r>
          </w:p>
        </w:tc>
        <w:tc>
          <w:tcPr>
            <w:tcW w:w="1076" w:type="dxa"/>
            <w:shd w:val="clear" w:color="auto" w:fill="auto"/>
            <w:vAlign w:val="center"/>
          </w:tcPr>
          <w:p w14:paraId="54A1E551" w14:textId="2EBC78D1" w:rsidR="00937C11" w:rsidRPr="00467461" w:rsidRDefault="00467461" w:rsidP="00BF4957">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467461">
              <w:rPr>
                <w:rFonts w:ascii="Calibri" w:hAnsi="Calibri" w:cs="Calibri"/>
                <w:color w:val="000000"/>
                <w:sz w:val="20"/>
              </w:rPr>
              <w:t>2.4</w:t>
            </w:r>
            <w:r w:rsidR="00551BCC" w:rsidRPr="00467461">
              <w:rPr>
                <w:rFonts w:ascii="Calibri" w:hAnsi="Calibri" w:cs="Calibri"/>
                <w:color w:val="000000"/>
                <w:sz w:val="20"/>
              </w:rPr>
              <w:t>%</w:t>
            </w:r>
          </w:p>
        </w:tc>
        <w:tc>
          <w:tcPr>
            <w:tcW w:w="1055" w:type="dxa"/>
            <w:shd w:val="clear" w:color="auto" w:fill="auto"/>
            <w:vAlign w:val="center"/>
          </w:tcPr>
          <w:p w14:paraId="61E72CC4" w14:textId="75015208" w:rsidR="00937C11" w:rsidRPr="00467461" w:rsidRDefault="00CE0C8A" w:rsidP="00FF291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467461">
              <w:rPr>
                <w:rFonts w:ascii="Calibri" w:hAnsi="Calibri" w:cs="Calibri"/>
                <w:color w:val="000000"/>
                <w:sz w:val="20"/>
              </w:rPr>
              <w:t>na</w:t>
            </w:r>
          </w:p>
        </w:tc>
        <w:tc>
          <w:tcPr>
            <w:tcW w:w="1435" w:type="dxa"/>
            <w:shd w:val="clear" w:color="auto" w:fill="auto"/>
            <w:vAlign w:val="center"/>
          </w:tcPr>
          <w:p w14:paraId="7CAD3AF5" w14:textId="2019787D" w:rsidR="00937C11" w:rsidRPr="00B77859" w:rsidRDefault="00B77859" w:rsidP="000C344D">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B77859">
              <w:rPr>
                <w:rFonts w:ascii="Calibri" w:hAnsi="Calibri" w:cs="Calibri"/>
                <w:color w:val="000000"/>
                <w:sz w:val="20"/>
              </w:rPr>
              <w:t>4.0</w:t>
            </w:r>
            <w:r w:rsidR="00551BCC" w:rsidRPr="00B77859">
              <w:rPr>
                <w:rFonts w:ascii="Calibri" w:hAnsi="Calibri" w:cs="Calibri"/>
                <w:color w:val="000000"/>
                <w:sz w:val="20"/>
              </w:rPr>
              <w:t>%</w:t>
            </w:r>
          </w:p>
        </w:tc>
      </w:tr>
    </w:tbl>
    <w:p w14:paraId="57A07CB4" w14:textId="0CC43683" w:rsidR="004F7E54" w:rsidRPr="00EE4666" w:rsidRDefault="004F7E54" w:rsidP="004F7E54">
      <w:pPr>
        <w:spacing w:after="0"/>
        <w:rPr>
          <w:sz w:val="16"/>
          <w:szCs w:val="16"/>
        </w:rPr>
      </w:pPr>
      <w:r>
        <w:rPr>
          <w:sz w:val="16"/>
          <w:szCs w:val="16"/>
        </w:rPr>
        <w:t xml:space="preserve">1. Monthly change for retail sales, goods exports, </w:t>
      </w:r>
      <w:r w:rsidR="005D00F6">
        <w:rPr>
          <w:sz w:val="16"/>
          <w:szCs w:val="16"/>
        </w:rPr>
        <w:t xml:space="preserve">employment and </w:t>
      </w:r>
      <w:r>
        <w:rPr>
          <w:sz w:val="16"/>
          <w:szCs w:val="16"/>
        </w:rPr>
        <w:t>unemployment; quarterly change for all other variables.</w:t>
      </w:r>
    </w:p>
    <w:p w14:paraId="42DCE9B8" w14:textId="2642DB3E" w:rsidR="004F7E54" w:rsidRDefault="004F7E54" w:rsidP="004F7E54">
      <w:pPr>
        <w:spacing w:after="0"/>
        <w:rPr>
          <w:sz w:val="16"/>
          <w:szCs w:val="16"/>
        </w:rPr>
      </w:pPr>
      <w:r>
        <w:rPr>
          <w:sz w:val="16"/>
          <w:szCs w:val="16"/>
        </w:rPr>
        <w:t>2</w:t>
      </w:r>
      <w:r w:rsidRPr="00EE4666">
        <w:rPr>
          <w:sz w:val="16"/>
          <w:szCs w:val="16"/>
        </w:rPr>
        <w:t xml:space="preserve">. Compares the latest </w:t>
      </w:r>
      <w:r w:rsidR="00720F41">
        <w:rPr>
          <w:sz w:val="16"/>
          <w:szCs w:val="16"/>
        </w:rPr>
        <w:t>period</w:t>
      </w:r>
      <w:r w:rsidRPr="00EE4666">
        <w:rPr>
          <w:sz w:val="16"/>
          <w:szCs w:val="16"/>
        </w:rPr>
        <w:t xml:space="preserve"> w</w:t>
      </w:r>
      <w:r>
        <w:rPr>
          <w:sz w:val="16"/>
          <w:szCs w:val="16"/>
        </w:rPr>
        <w:t xml:space="preserve">ith the same </w:t>
      </w:r>
      <w:r w:rsidR="00720F41">
        <w:rPr>
          <w:sz w:val="16"/>
          <w:szCs w:val="16"/>
        </w:rPr>
        <w:t>period</w:t>
      </w:r>
      <w:r>
        <w:rPr>
          <w:sz w:val="16"/>
          <w:szCs w:val="16"/>
        </w:rPr>
        <w:t xml:space="preserve"> last year</w:t>
      </w:r>
      <w:r w:rsidR="00720F41">
        <w:rPr>
          <w:sz w:val="16"/>
          <w:szCs w:val="16"/>
        </w:rPr>
        <w:t>.</w:t>
      </w:r>
    </w:p>
    <w:p w14:paraId="2FFF1A00" w14:textId="5E6BECB2" w:rsidR="004F7E54" w:rsidRDefault="004F7E54" w:rsidP="004F7E54">
      <w:pPr>
        <w:spacing w:after="0"/>
        <w:rPr>
          <w:sz w:val="16"/>
          <w:szCs w:val="16"/>
        </w:rPr>
      </w:pPr>
      <w:r>
        <w:rPr>
          <w:sz w:val="16"/>
          <w:szCs w:val="16"/>
        </w:rPr>
        <w:t>3</w:t>
      </w:r>
      <w:r w:rsidRPr="00EE4666">
        <w:rPr>
          <w:sz w:val="16"/>
          <w:szCs w:val="16"/>
        </w:rPr>
        <w:t xml:space="preserve">. Compares the 12 months up to and including the latest </w:t>
      </w:r>
      <w:r w:rsidR="00720F41">
        <w:rPr>
          <w:sz w:val="16"/>
          <w:szCs w:val="16"/>
        </w:rPr>
        <w:t>period</w:t>
      </w:r>
      <w:r w:rsidRPr="00EE4666">
        <w:rPr>
          <w:sz w:val="16"/>
          <w:szCs w:val="16"/>
        </w:rPr>
        <w:t xml:space="preserve"> with the previous 12-month</w:t>
      </w:r>
      <w:r>
        <w:rPr>
          <w:sz w:val="16"/>
          <w:szCs w:val="16"/>
        </w:rPr>
        <w:t xml:space="preserve"> period</w:t>
      </w:r>
      <w:r w:rsidR="005E7A46">
        <w:rPr>
          <w:sz w:val="16"/>
          <w:szCs w:val="16"/>
        </w:rPr>
        <w:t xml:space="preserve"> using original data.</w:t>
      </w:r>
    </w:p>
    <w:p w14:paraId="689549E4" w14:textId="7F2C5AA2" w:rsidR="004F7E54" w:rsidRDefault="004F7E54" w:rsidP="004F7E54">
      <w:pPr>
        <w:spacing w:after="120"/>
        <w:jc w:val="both"/>
        <w:rPr>
          <w:sz w:val="21"/>
          <w:szCs w:val="21"/>
        </w:rPr>
      </w:pPr>
      <w:r>
        <w:rPr>
          <w:rFonts w:cstheme="minorHAnsi"/>
          <w:sz w:val="16"/>
          <w:szCs w:val="16"/>
        </w:rPr>
        <w:t xml:space="preserve">4. </w:t>
      </w:r>
      <w:r w:rsidR="0020517E">
        <w:rPr>
          <w:rFonts w:cstheme="minorHAnsi"/>
          <w:sz w:val="16"/>
          <w:szCs w:val="16"/>
        </w:rPr>
        <w:t xml:space="preserve">Compares the </w:t>
      </w:r>
      <w:r w:rsidR="004056AA">
        <w:rPr>
          <w:rFonts w:cstheme="minorHAnsi"/>
          <w:sz w:val="16"/>
          <w:szCs w:val="16"/>
        </w:rPr>
        <w:t>12 months</w:t>
      </w:r>
      <w:r w:rsidR="0020517E">
        <w:rPr>
          <w:rFonts w:cstheme="minorHAnsi"/>
          <w:sz w:val="16"/>
          <w:szCs w:val="16"/>
        </w:rPr>
        <w:t xml:space="preserve"> up to and including latest period with the year to December 2019 </w:t>
      </w:r>
      <w:r w:rsidR="004056AA">
        <w:rPr>
          <w:rFonts w:cstheme="minorHAnsi"/>
          <w:sz w:val="16"/>
          <w:szCs w:val="16"/>
        </w:rPr>
        <w:t xml:space="preserve">period </w:t>
      </w:r>
      <w:r w:rsidR="0020517E">
        <w:rPr>
          <w:rFonts w:cstheme="minorHAnsi"/>
          <w:sz w:val="16"/>
          <w:szCs w:val="16"/>
        </w:rPr>
        <w:t>using original data.</w:t>
      </w:r>
    </w:p>
    <w:tbl>
      <w:tblPr>
        <w:tblStyle w:val="PlainTable4"/>
        <w:tblW w:w="10428" w:type="dxa"/>
        <w:tblLook w:val="04A0" w:firstRow="1" w:lastRow="0" w:firstColumn="1" w:lastColumn="0" w:noHBand="0" w:noVBand="1"/>
      </w:tblPr>
      <w:tblGrid>
        <w:gridCol w:w="4962"/>
        <w:gridCol w:w="5466"/>
      </w:tblGrid>
      <w:tr w:rsidR="00482D19" w:rsidRPr="00B55F93" w14:paraId="6A9D9C39" w14:textId="77777777" w:rsidTr="000A12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44CC8987" w14:textId="16C887A6" w:rsidR="0055662D" w:rsidRPr="00237B6A" w:rsidRDefault="00E24FCF">
            <w:pPr>
              <w:spacing w:after="120"/>
              <w:jc w:val="both"/>
              <w:rPr>
                <w:b w:val="0"/>
                <w:bCs w:val="0"/>
                <w:noProof/>
                <w:spacing w:val="-6"/>
                <w:sz w:val="20"/>
                <w:szCs w:val="20"/>
                <w:lang w:eastAsia="en-AU"/>
              </w:rPr>
            </w:pPr>
            <w:r w:rsidRPr="00237B6A">
              <w:rPr>
                <w:bCs w:val="0"/>
                <w:noProof/>
                <w:spacing w:val="-6"/>
                <w:sz w:val="20"/>
                <w:szCs w:val="20"/>
                <w:lang w:eastAsia="en-AU"/>
              </w:rPr>
              <w:lastRenderedPageBreak/>
              <w:t>Chart</w:t>
            </w:r>
            <w:r w:rsidR="003B0FF0" w:rsidRPr="00237B6A">
              <w:rPr>
                <w:bCs w:val="0"/>
                <w:noProof/>
                <w:spacing w:val="-6"/>
                <w:sz w:val="20"/>
                <w:szCs w:val="20"/>
                <w:lang w:eastAsia="en-AU"/>
              </w:rPr>
              <w:t xml:space="preserve"> 1</w:t>
            </w:r>
            <w:r w:rsidR="001D13F9" w:rsidRPr="00237B6A">
              <w:rPr>
                <w:bCs w:val="0"/>
                <w:noProof/>
                <w:spacing w:val="-6"/>
                <w:sz w:val="20"/>
                <w:szCs w:val="20"/>
                <w:lang w:eastAsia="en-AU"/>
              </w:rPr>
              <w:t>:</w:t>
            </w:r>
            <w:r w:rsidR="001D13F9" w:rsidRPr="00237B6A">
              <w:rPr>
                <w:b w:val="0"/>
                <w:bCs w:val="0"/>
                <w:noProof/>
                <w:spacing w:val="-6"/>
                <w:sz w:val="20"/>
                <w:szCs w:val="20"/>
                <w:lang w:eastAsia="en-AU"/>
              </w:rPr>
              <w:t xml:space="preserve"> </w:t>
            </w:r>
            <w:r w:rsidR="002D0EC2">
              <w:rPr>
                <w:b w:val="0"/>
                <w:bCs w:val="0"/>
                <w:noProof/>
                <w:spacing w:val="-6"/>
                <w:sz w:val="20"/>
                <w:szCs w:val="20"/>
                <w:lang w:eastAsia="en-AU"/>
              </w:rPr>
              <w:t xml:space="preserve">Territory SFD increased by 1.1% in the year to September 2023, mainly driven by increased public investment (12.4%), supported by increased household  consumption (0.6%) and government consumption (0.4%), with </w:t>
            </w:r>
            <w:r w:rsidR="00C04CD4">
              <w:rPr>
                <w:b w:val="0"/>
                <w:bCs w:val="0"/>
                <w:noProof/>
                <w:spacing w:val="-6"/>
                <w:sz w:val="20"/>
                <w:szCs w:val="20"/>
                <w:lang w:eastAsia="en-AU"/>
              </w:rPr>
              <w:t xml:space="preserve">a </w:t>
            </w:r>
            <w:r w:rsidR="002D0EC2">
              <w:rPr>
                <w:b w:val="0"/>
                <w:bCs w:val="0"/>
                <w:noProof/>
                <w:spacing w:val="-6"/>
                <w:sz w:val="20"/>
                <w:szCs w:val="20"/>
                <w:lang w:eastAsia="en-AU"/>
              </w:rPr>
              <w:t xml:space="preserve">decrease in private investment </w:t>
            </w:r>
            <w:r w:rsidR="00313B64">
              <w:rPr>
                <w:b w:val="0"/>
                <w:bCs w:val="0"/>
                <w:noProof/>
                <w:spacing w:val="-6"/>
                <w:sz w:val="20"/>
                <w:szCs w:val="20"/>
                <w:lang w:eastAsia="en-AU"/>
              </w:rPr>
              <w:t>(</w:t>
            </w:r>
            <w:r w:rsidR="00900A37">
              <w:rPr>
                <w:b w:val="0"/>
                <w:bCs w:val="0"/>
                <w:noProof/>
                <w:spacing w:val="-6"/>
                <w:sz w:val="20"/>
                <w:szCs w:val="20"/>
                <w:lang w:eastAsia="en-AU"/>
              </w:rPr>
              <w:t xml:space="preserve">0.5%) </w:t>
            </w:r>
            <w:r w:rsidR="002D0EC2">
              <w:rPr>
                <w:b w:val="0"/>
                <w:bCs w:val="0"/>
                <w:noProof/>
                <w:spacing w:val="-6"/>
                <w:sz w:val="20"/>
                <w:szCs w:val="20"/>
                <w:lang w:eastAsia="en-AU"/>
              </w:rPr>
              <w:t xml:space="preserve">being the sole detractor. </w:t>
            </w:r>
            <w:r w:rsidR="00AD1B84">
              <w:rPr>
                <w:b w:val="0"/>
                <w:bCs w:val="0"/>
                <w:noProof/>
                <w:spacing w:val="-6"/>
                <w:sz w:val="20"/>
                <w:szCs w:val="20"/>
                <w:lang w:eastAsia="en-AU"/>
              </w:rPr>
              <w:t>D</w:t>
            </w:r>
            <w:r w:rsidR="002D0EC2">
              <w:rPr>
                <w:b w:val="0"/>
                <w:bCs w:val="0"/>
                <w:noProof/>
                <w:spacing w:val="-6"/>
                <w:sz w:val="20"/>
                <w:szCs w:val="20"/>
                <w:lang w:eastAsia="en-AU"/>
              </w:rPr>
              <w:t xml:space="preserve">omestic </w:t>
            </w:r>
            <w:r w:rsidR="00AD1B84">
              <w:rPr>
                <w:b w:val="0"/>
                <w:bCs w:val="0"/>
                <w:noProof/>
                <w:spacing w:val="-6"/>
                <w:sz w:val="20"/>
                <w:szCs w:val="20"/>
                <w:lang w:eastAsia="en-AU"/>
              </w:rPr>
              <w:t xml:space="preserve">demand has been </w:t>
            </w:r>
            <w:r w:rsidR="002D0EC2">
              <w:rPr>
                <w:b w:val="0"/>
                <w:bCs w:val="0"/>
                <w:noProof/>
                <w:spacing w:val="-6"/>
                <w:sz w:val="20"/>
                <w:szCs w:val="20"/>
                <w:lang w:eastAsia="en-AU"/>
              </w:rPr>
              <w:t>on a growth trajectory since 2020</w:t>
            </w:r>
            <w:r w:rsidR="00AD1B84">
              <w:rPr>
                <w:b w:val="0"/>
                <w:bCs w:val="0"/>
                <w:noProof/>
                <w:spacing w:val="-6"/>
                <w:sz w:val="20"/>
                <w:szCs w:val="20"/>
                <w:lang w:eastAsia="en-AU"/>
              </w:rPr>
              <w:t xml:space="preserve"> supported by investment in resource and economic and social infrastructure projects.</w:t>
            </w:r>
            <w:bookmarkStart w:id="0" w:name="_GoBack"/>
            <w:bookmarkEnd w:id="0"/>
          </w:p>
        </w:tc>
        <w:tc>
          <w:tcPr>
            <w:tcW w:w="5466" w:type="dxa"/>
            <w:shd w:val="clear" w:color="auto" w:fill="auto"/>
          </w:tcPr>
          <w:p w14:paraId="1C04437C" w14:textId="53755FC5" w:rsidR="003B0FF0" w:rsidRPr="00B55F93" w:rsidRDefault="00E24FCF">
            <w:pPr>
              <w:spacing w:after="120"/>
              <w:jc w:val="both"/>
              <w:cnfStyle w:val="100000000000" w:firstRow="1" w:lastRow="0" w:firstColumn="0" w:lastColumn="0" w:oddVBand="0" w:evenVBand="0" w:oddHBand="0" w:evenHBand="0" w:firstRowFirstColumn="0" w:firstRowLastColumn="0" w:lastRowFirstColumn="0" w:lastRowLastColumn="0"/>
              <w:rPr>
                <w:b w:val="0"/>
                <w:bCs w:val="0"/>
                <w:noProof/>
                <w:spacing w:val="-2"/>
                <w:sz w:val="20"/>
                <w:szCs w:val="20"/>
                <w:lang w:eastAsia="en-AU"/>
              </w:rPr>
            </w:pPr>
            <w:r w:rsidRPr="00B55F93">
              <w:rPr>
                <w:noProof/>
                <w:spacing w:val="-2"/>
                <w:sz w:val="20"/>
                <w:szCs w:val="20"/>
                <w:lang w:eastAsia="en-AU"/>
              </w:rPr>
              <w:t>Chart</w:t>
            </w:r>
            <w:r w:rsidR="003B0FF0" w:rsidRPr="00B55F93">
              <w:rPr>
                <w:noProof/>
                <w:spacing w:val="-2"/>
                <w:sz w:val="20"/>
                <w:szCs w:val="20"/>
                <w:lang w:eastAsia="en-AU"/>
              </w:rPr>
              <w:t xml:space="preserve"> 2</w:t>
            </w:r>
            <w:r w:rsidR="00B45E33" w:rsidRPr="00B55F93">
              <w:rPr>
                <w:noProof/>
                <w:spacing w:val="-2"/>
                <w:sz w:val="20"/>
                <w:szCs w:val="20"/>
                <w:lang w:eastAsia="en-AU"/>
              </w:rPr>
              <w:t>:</w:t>
            </w:r>
            <w:r w:rsidR="004A7DDB">
              <w:rPr>
                <w:b w:val="0"/>
                <w:noProof/>
                <w:spacing w:val="-2"/>
                <w:sz w:val="20"/>
                <w:szCs w:val="20"/>
                <w:lang w:eastAsia="en-AU"/>
              </w:rPr>
              <w:t xml:space="preserve"> </w:t>
            </w:r>
            <w:r w:rsidR="00194B21">
              <w:rPr>
                <w:b w:val="0"/>
                <w:noProof/>
                <w:spacing w:val="-2"/>
                <w:sz w:val="20"/>
                <w:szCs w:val="20"/>
                <w:lang w:eastAsia="en-AU"/>
              </w:rPr>
              <w:t xml:space="preserve">The Territory’s population </w:t>
            </w:r>
            <w:r w:rsidR="004168F4">
              <w:rPr>
                <w:b w:val="0"/>
                <w:noProof/>
                <w:spacing w:val="-2"/>
                <w:sz w:val="20"/>
                <w:szCs w:val="20"/>
                <w:lang w:eastAsia="en-AU"/>
              </w:rPr>
              <w:t>is now abo</w:t>
            </w:r>
            <w:r w:rsidR="003B2912">
              <w:rPr>
                <w:b w:val="0"/>
                <w:noProof/>
                <w:spacing w:val="-2"/>
                <w:sz w:val="20"/>
                <w:szCs w:val="20"/>
                <w:lang w:eastAsia="en-AU"/>
              </w:rPr>
              <w:t>ve 252,4</w:t>
            </w:r>
            <w:r w:rsidR="004168F4">
              <w:rPr>
                <w:b w:val="0"/>
                <w:noProof/>
                <w:spacing w:val="-2"/>
                <w:sz w:val="20"/>
                <w:szCs w:val="20"/>
                <w:lang w:eastAsia="en-AU"/>
              </w:rPr>
              <w:t>00 with annual growth of 0.9% to June 2023</w:t>
            </w:r>
            <w:r w:rsidR="003B2912">
              <w:rPr>
                <w:b w:val="0"/>
                <w:noProof/>
                <w:spacing w:val="-2"/>
                <w:sz w:val="20"/>
                <w:szCs w:val="20"/>
                <w:lang w:eastAsia="en-AU"/>
              </w:rPr>
              <w:t>, or 2,245 persons</w:t>
            </w:r>
            <w:r w:rsidR="004168F4">
              <w:rPr>
                <w:b w:val="0"/>
                <w:noProof/>
                <w:spacing w:val="-2"/>
                <w:sz w:val="20"/>
                <w:szCs w:val="20"/>
                <w:lang w:eastAsia="en-AU"/>
              </w:rPr>
              <w:t xml:space="preserve">. </w:t>
            </w:r>
            <w:r w:rsidR="00691D05">
              <w:rPr>
                <w:b w:val="0"/>
                <w:noProof/>
                <w:spacing w:val="-2"/>
                <w:sz w:val="20"/>
                <w:szCs w:val="20"/>
                <w:lang w:eastAsia="en-AU"/>
              </w:rPr>
              <w:t>T</w:t>
            </w:r>
            <w:r w:rsidR="004168F4">
              <w:rPr>
                <w:b w:val="0"/>
                <w:noProof/>
                <w:spacing w:val="-2"/>
                <w:sz w:val="20"/>
                <w:szCs w:val="20"/>
                <w:lang w:eastAsia="en-AU"/>
              </w:rPr>
              <w:t xml:space="preserve">he strongest contributor over the past year </w:t>
            </w:r>
            <w:r w:rsidR="00691D05">
              <w:rPr>
                <w:b w:val="0"/>
                <w:noProof/>
                <w:spacing w:val="-2"/>
                <w:sz w:val="20"/>
                <w:szCs w:val="20"/>
                <w:lang w:eastAsia="en-AU"/>
              </w:rPr>
              <w:t>w</w:t>
            </w:r>
            <w:r w:rsidR="004168F4">
              <w:rPr>
                <w:b w:val="0"/>
                <w:noProof/>
                <w:spacing w:val="-2"/>
                <w:sz w:val="20"/>
                <w:szCs w:val="20"/>
                <w:lang w:eastAsia="en-AU"/>
              </w:rPr>
              <w:t xml:space="preserve">as </w:t>
            </w:r>
            <w:r w:rsidR="003B2912">
              <w:rPr>
                <w:b w:val="0"/>
                <w:noProof/>
                <w:spacing w:val="-2"/>
                <w:sz w:val="20"/>
                <w:szCs w:val="20"/>
                <w:lang w:eastAsia="en-AU"/>
              </w:rPr>
              <w:t xml:space="preserve">net </w:t>
            </w:r>
            <w:r w:rsidR="00A36F1E">
              <w:rPr>
                <w:b w:val="0"/>
                <w:noProof/>
                <w:spacing w:val="-2"/>
                <w:sz w:val="20"/>
                <w:szCs w:val="20"/>
                <w:lang w:eastAsia="en-AU"/>
              </w:rPr>
              <w:t>overseas</w:t>
            </w:r>
            <w:r w:rsidR="004168F4">
              <w:rPr>
                <w:b w:val="0"/>
                <w:noProof/>
                <w:spacing w:val="-2"/>
                <w:sz w:val="20"/>
                <w:szCs w:val="20"/>
                <w:lang w:eastAsia="en-AU"/>
              </w:rPr>
              <w:t xml:space="preserve"> migratio</w:t>
            </w:r>
            <w:r w:rsidR="003B2912">
              <w:rPr>
                <w:b w:val="0"/>
                <w:noProof/>
                <w:spacing w:val="-2"/>
                <w:sz w:val="20"/>
                <w:szCs w:val="20"/>
                <w:lang w:eastAsia="en-AU"/>
              </w:rPr>
              <w:t>n</w:t>
            </w:r>
            <w:r w:rsidR="00691D05">
              <w:rPr>
                <w:b w:val="0"/>
                <w:noProof/>
                <w:spacing w:val="-2"/>
                <w:sz w:val="20"/>
                <w:szCs w:val="20"/>
                <w:lang w:eastAsia="en-AU"/>
              </w:rPr>
              <w:t xml:space="preserve"> at </w:t>
            </w:r>
            <w:r w:rsidR="003B2912">
              <w:rPr>
                <w:b w:val="0"/>
                <w:noProof/>
                <w:spacing w:val="-2"/>
                <w:sz w:val="20"/>
                <w:szCs w:val="20"/>
                <w:lang w:eastAsia="en-AU"/>
              </w:rPr>
              <w:t>3,335 persons</w:t>
            </w:r>
            <w:r w:rsidR="00A8108E">
              <w:rPr>
                <w:b w:val="0"/>
                <w:noProof/>
                <w:spacing w:val="-2"/>
                <w:sz w:val="20"/>
                <w:szCs w:val="20"/>
                <w:lang w:eastAsia="en-AU"/>
              </w:rPr>
              <w:t xml:space="preserve">. Given net interstate migration has historically been a ‘drag’ on </w:t>
            </w:r>
            <w:r w:rsidR="00691D05">
              <w:rPr>
                <w:b w:val="0"/>
                <w:noProof/>
                <w:spacing w:val="-2"/>
                <w:sz w:val="20"/>
                <w:szCs w:val="20"/>
                <w:lang w:eastAsia="en-AU"/>
              </w:rPr>
              <w:t>population</w:t>
            </w:r>
            <w:r w:rsidR="00973BEC">
              <w:rPr>
                <w:b w:val="0"/>
                <w:noProof/>
                <w:spacing w:val="-2"/>
                <w:sz w:val="20"/>
                <w:szCs w:val="20"/>
                <w:lang w:eastAsia="en-AU"/>
              </w:rPr>
              <w:t xml:space="preserve"> growth in the Territory</w:t>
            </w:r>
            <w:r w:rsidR="00A8108E">
              <w:rPr>
                <w:b w:val="0"/>
                <w:noProof/>
                <w:spacing w:val="-2"/>
                <w:sz w:val="20"/>
                <w:szCs w:val="20"/>
                <w:lang w:eastAsia="en-AU"/>
              </w:rPr>
              <w:t xml:space="preserve">, </w:t>
            </w:r>
            <w:r w:rsidR="00691D05">
              <w:rPr>
                <w:b w:val="0"/>
                <w:noProof/>
                <w:spacing w:val="-2"/>
                <w:sz w:val="20"/>
                <w:szCs w:val="20"/>
                <w:lang w:eastAsia="en-AU"/>
              </w:rPr>
              <w:t xml:space="preserve">overseas migration will be integral to </w:t>
            </w:r>
            <w:r w:rsidR="00343100">
              <w:rPr>
                <w:b w:val="0"/>
                <w:noProof/>
                <w:spacing w:val="-2"/>
                <w:sz w:val="20"/>
                <w:szCs w:val="20"/>
                <w:lang w:eastAsia="en-AU"/>
              </w:rPr>
              <w:t xml:space="preserve">not only </w:t>
            </w:r>
            <w:r w:rsidR="00691D05">
              <w:rPr>
                <w:b w:val="0"/>
                <w:noProof/>
                <w:spacing w:val="-2"/>
                <w:sz w:val="20"/>
                <w:szCs w:val="20"/>
                <w:lang w:eastAsia="en-AU"/>
              </w:rPr>
              <w:t>meeting skilled labour demands in the short term</w:t>
            </w:r>
            <w:r w:rsidR="00343100">
              <w:rPr>
                <w:b w:val="0"/>
                <w:noProof/>
                <w:spacing w:val="-2"/>
                <w:sz w:val="20"/>
                <w:szCs w:val="20"/>
                <w:lang w:eastAsia="en-AU"/>
              </w:rPr>
              <w:t>,</w:t>
            </w:r>
            <w:r w:rsidR="00691D05">
              <w:rPr>
                <w:b w:val="0"/>
                <w:noProof/>
                <w:spacing w:val="-2"/>
                <w:sz w:val="20"/>
                <w:szCs w:val="20"/>
                <w:lang w:eastAsia="en-AU"/>
              </w:rPr>
              <w:t xml:space="preserve"> </w:t>
            </w:r>
            <w:r w:rsidR="00343100">
              <w:rPr>
                <w:b w:val="0"/>
                <w:noProof/>
                <w:spacing w:val="-2"/>
                <w:sz w:val="20"/>
                <w:szCs w:val="20"/>
                <w:lang w:eastAsia="en-AU"/>
              </w:rPr>
              <w:t>but</w:t>
            </w:r>
            <w:r w:rsidR="00691D05">
              <w:rPr>
                <w:b w:val="0"/>
                <w:noProof/>
                <w:spacing w:val="-2"/>
                <w:sz w:val="20"/>
                <w:szCs w:val="20"/>
                <w:lang w:eastAsia="en-AU"/>
              </w:rPr>
              <w:t xml:space="preserve"> laying the foundations for broader economic growth going forward.</w:t>
            </w:r>
          </w:p>
        </w:tc>
      </w:tr>
      <w:tr w:rsidR="000775CB" w:rsidRPr="00482D19" w14:paraId="582FE79B" w14:textId="77777777" w:rsidTr="000A1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4F2C27B3" w14:textId="3D33AD8F" w:rsidR="000775CB" w:rsidRPr="00472E9F" w:rsidRDefault="000775CB" w:rsidP="000775CB">
            <w:pPr>
              <w:jc w:val="center"/>
              <w:rPr>
                <w:sz w:val="20"/>
                <w:szCs w:val="20"/>
              </w:rPr>
            </w:pPr>
            <w:r w:rsidRPr="00472E9F">
              <w:rPr>
                <w:sz w:val="20"/>
                <w:szCs w:val="20"/>
              </w:rPr>
              <w:t>State Final Demand – NT</w:t>
            </w:r>
          </w:p>
          <w:p w14:paraId="7D6843EB" w14:textId="2A3EE4EB" w:rsidR="000775CB" w:rsidRDefault="000775CB" w:rsidP="000775CB">
            <w:pPr>
              <w:jc w:val="center"/>
              <w:rPr>
                <w:sz w:val="16"/>
                <w:szCs w:val="16"/>
              </w:rPr>
            </w:pPr>
            <w:r w:rsidRPr="00472E9F">
              <w:rPr>
                <w:sz w:val="16"/>
                <w:szCs w:val="16"/>
              </w:rPr>
              <w:t>Components, moving annual total</w:t>
            </w:r>
            <w:r w:rsidR="00DE0A02">
              <w:rPr>
                <w:sz w:val="16"/>
                <w:szCs w:val="16"/>
              </w:rPr>
              <w:t xml:space="preserve"> ($B)</w:t>
            </w:r>
          </w:p>
          <w:p w14:paraId="1787A566" w14:textId="78E2520D" w:rsidR="000775CB" w:rsidRPr="00542A1B" w:rsidRDefault="00900A37" w:rsidP="000775CB">
            <w:pPr>
              <w:jc w:val="center"/>
              <w:rPr>
                <w:noProof/>
                <w:sz w:val="16"/>
                <w:szCs w:val="16"/>
                <w:lang w:eastAsia="en-AU"/>
              </w:rPr>
            </w:pPr>
            <w:r>
              <w:rPr>
                <w:noProof/>
                <w:sz w:val="16"/>
                <w:szCs w:val="16"/>
                <w:lang w:eastAsia="en-AU"/>
              </w:rPr>
              <w:drawing>
                <wp:inline distT="0" distB="0" distL="0" distR="0" wp14:anchorId="177D3CC1" wp14:editId="356DEE41">
                  <wp:extent cx="2926800" cy="2606400"/>
                  <wp:effectExtent l="0" t="0" r="6985"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6800" cy="2606400"/>
                          </a:xfrm>
                          <a:prstGeom prst="rect">
                            <a:avLst/>
                          </a:prstGeom>
                          <a:noFill/>
                        </pic:spPr>
                      </pic:pic>
                    </a:graphicData>
                  </a:graphic>
                </wp:inline>
              </w:drawing>
            </w:r>
          </w:p>
        </w:tc>
        <w:tc>
          <w:tcPr>
            <w:tcW w:w="5466" w:type="dxa"/>
            <w:shd w:val="clear" w:color="auto" w:fill="auto"/>
          </w:tcPr>
          <w:p w14:paraId="77FBF9BB" w14:textId="0B0FFAD2" w:rsidR="00C27FFE" w:rsidRPr="00EC73A2" w:rsidRDefault="00194B21" w:rsidP="00C27FF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Population – NT</w:t>
            </w:r>
          </w:p>
          <w:p w14:paraId="18A881BB" w14:textId="34943C21" w:rsidR="00C27FFE" w:rsidRPr="00EC73A2" w:rsidRDefault="00194B21" w:rsidP="00C27FFE">
            <w:pPr>
              <w:jc w:val="center"/>
              <w:cnfStyle w:val="000000100000" w:firstRow="0" w:lastRow="0" w:firstColumn="0" w:lastColumn="0" w:oddVBand="0" w:evenVBand="0" w:oddHBand="1" w:evenHBand="0" w:firstRowFirstColumn="0" w:firstRowLastColumn="0" w:lastRowFirstColumn="0" w:lastRowLastColumn="0"/>
              <w:rPr>
                <w:b/>
                <w:sz w:val="16"/>
                <w:szCs w:val="16"/>
              </w:rPr>
            </w:pPr>
            <w:r>
              <w:rPr>
                <w:b/>
                <w:sz w:val="16"/>
                <w:szCs w:val="16"/>
              </w:rPr>
              <w:t>Components, moving annual total (persons)</w:t>
            </w:r>
          </w:p>
          <w:p w14:paraId="49E102A9" w14:textId="6932F544" w:rsidR="000775CB" w:rsidRPr="00542A1B" w:rsidRDefault="00691D05">
            <w:pPr>
              <w:jc w:val="center"/>
              <w:cnfStyle w:val="000000100000" w:firstRow="0" w:lastRow="0" w:firstColumn="0" w:lastColumn="0" w:oddVBand="0" w:evenVBand="0" w:oddHBand="1" w:evenHBand="0" w:firstRowFirstColumn="0" w:firstRowLastColumn="0" w:lastRowFirstColumn="0" w:lastRowLastColumn="0"/>
              <w:rPr>
                <w:b/>
                <w:sz w:val="16"/>
                <w:szCs w:val="16"/>
              </w:rPr>
            </w:pPr>
            <w:r>
              <w:rPr>
                <w:b/>
                <w:noProof/>
                <w:sz w:val="16"/>
                <w:szCs w:val="16"/>
                <w:lang w:eastAsia="en-AU"/>
              </w:rPr>
              <w:drawing>
                <wp:inline distT="0" distB="0" distL="0" distR="0" wp14:anchorId="0352D321" wp14:editId="3F57201C">
                  <wp:extent cx="2923200" cy="2599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23200" cy="2599200"/>
                          </a:xfrm>
                          <a:prstGeom prst="rect">
                            <a:avLst/>
                          </a:prstGeom>
                          <a:noFill/>
                        </pic:spPr>
                      </pic:pic>
                    </a:graphicData>
                  </a:graphic>
                </wp:inline>
              </w:drawing>
            </w:r>
          </w:p>
        </w:tc>
      </w:tr>
      <w:tr w:rsidR="001337CA" w:rsidRPr="00482D19" w14:paraId="0EEE78EC" w14:textId="77777777" w:rsidTr="000A1234">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584D6F6B" w14:textId="0C3A3FBE" w:rsidR="00196053" w:rsidRPr="00556156" w:rsidRDefault="001337CA">
            <w:pPr>
              <w:spacing w:before="240" w:after="120"/>
              <w:jc w:val="both"/>
              <w:rPr>
                <w:b w:val="0"/>
                <w:bCs w:val="0"/>
                <w:noProof/>
                <w:spacing w:val="-2"/>
                <w:sz w:val="20"/>
                <w:szCs w:val="20"/>
                <w:lang w:eastAsia="en-AU"/>
              </w:rPr>
            </w:pPr>
            <w:r w:rsidRPr="00556156">
              <w:rPr>
                <w:bCs w:val="0"/>
                <w:noProof/>
                <w:spacing w:val="-2"/>
                <w:sz w:val="20"/>
                <w:szCs w:val="20"/>
                <w:lang w:eastAsia="en-AU"/>
              </w:rPr>
              <w:t>Chart 3</w:t>
            </w:r>
            <w:r w:rsidRPr="00556156">
              <w:rPr>
                <w:b w:val="0"/>
                <w:bCs w:val="0"/>
                <w:noProof/>
                <w:spacing w:val="-2"/>
                <w:sz w:val="20"/>
                <w:szCs w:val="20"/>
                <w:lang w:eastAsia="en-AU"/>
              </w:rPr>
              <w:t>:</w:t>
            </w:r>
            <w:r w:rsidR="009B0DC9">
              <w:rPr>
                <w:b w:val="0"/>
                <w:bCs w:val="0"/>
                <w:noProof/>
                <w:spacing w:val="-2"/>
                <w:sz w:val="20"/>
                <w:szCs w:val="20"/>
                <w:lang w:eastAsia="en-AU"/>
              </w:rPr>
              <w:t xml:space="preserve"> </w:t>
            </w:r>
            <w:r w:rsidR="005439AD" w:rsidRPr="0069002B">
              <w:rPr>
                <w:b w:val="0"/>
                <w:noProof/>
                <w:spacing w:val="-2"/>
                <w:sz w:val="20"/>
                <w:szCs w:val="20"/>
                <w:lang w:eastAsia="en-AU"/>
              </w:rPr>
              <w:t>The Territory</w:t>
            </w:r>
            <w:r w:rsidR="00757E2B">
              <w:rPr>
                <w:b w:val="0"/>
                <w:noProof/>
                <w:spacing w:val="-2"/>
                <w:sz w:val="20"/>
                <w:szCs w:val="20"/>
                <w:lang w:eastAsia="en-AU"/>
              </w:rPr>
              <w:t xml:space="preserve"> </w:t>
            </w:r>
            <w:r w:rsidR="005439AD" w:rsidRPr="0069002B">
              <w:rPr>
                <w:b w:val="0"/>
                <w:noProof/>
                <w:spacing w:val="-2"/>
                <w:sz w:val="20"/>
                <w:szCs w:val="20"/>
                <w:lang w:eastAsia="en-AU"/>
              </w:rPr>
              <w:t xml:space="preserve">grapples with the dual challenges of skills and geographic mismatch – where the right persons are not available in the place of job openings, and job opportunities are scarce in regions with high unemployment. </w:t>
            </w:r>
            <w:r w:rsidR="00B123CA">
              <w:rPr>
                <w:b w:val="0"/>
                <w:noProof/>
                <w:spacing w:val="-2"/>
                <w:sz w:val="20"/>
                <w:szCs w:val="20"/>
                <w:lang w:eastAsia="en-AU"/>
              </w:rPr>
              <w:t>These issues are more pronounced in the Territory than nationally. In Darwin there are around 1.8 job vacancies per unemployed person compared with a 1:1 ratio for the capital cities. The ratio is significantly lower in regional areas</w:t>
            </w:r>
            <w:r w:rsidR="0042273D">
              <w:rPr>
                <w:b w:val="0"/>
                <w:noProof/>
                <w:spacing w:val="-2"/>
                <w:sz w:val="20"/>
                <w:szCs w:val="20"/>
                <w:lang w:eastAsia="en-AU"/>
              </w:rPr>
              <w:t>, where there tend to be fewer job opportunities.</w:t>
            </w:r>
          </w:p>
        </w:tc>
        <w:tc>
          <w:tcPr>
            <w:tcW w:w="5466" w:type="dxa"/>
            <w:shd w:val="clear" w:color="auto" w:fill="auto"/>
          </w:tcPr>
          <w:p w14:paraId="2DB835A3" w14:textId="10018E34" w:rsidR="00196053" w:rsidRPr="0003699C" w:rsidRDefault="001337CA" w:rsidP="0043278A">
            <w:pPr>
              <w:spacing w:before="240" w:after="120"/>
              <w:jc w:val="both"/>
              <w:cnfStyle w:val="000000000000" w:firstRow="0" w:lastRow="0" w:firstColumn="0" w:lastColumn="0" w:oddVBand="0" w:evenVBand="0" w:oddHBand="0" w:evenHBand="0" w:firstRowFirstColumn="0" w:firstRowLastColumn="0" w:lastRowFirstColumn="0" w:lastRowLastColumn="0"/>
              <w:rPr>
                <w:noProof/>
                <w:spacing w:val="-2"/>
                <w:sz w:val="20"/>
                <w:szCs w:val="20"/>
                <w:lang w:eastAsia="en-AU"/>
              </w:rPr>
            </w:pPr>
            <w:r w:rsidRPr="00CB1C9D">
              <w:rPr>
                <w:b/>
                <w:noProof/>
                <w:spacing w:val="-2"/>
                <w:sz w:val="20"/>
                <w:szCs w:val="20"/>
                <w:lang w:eastAsia="en-AU"/>
              </w:rPr>
              <w:t>Chart 4:</w:t>
            </w:r>
            <w:r w:rsidR="00AB7E95" w:rsidRPr="00CB1C9D">
              <w:rPr>
                <w:noProof/>
                <w:spacing w:val="-2"/>
                <w:sz w:val="20"/>
                <w:szCs w:val="20"/>
                <w:lang w:eastAsia="en-AU"/>
              </w:rPr>
              <w:t xml:space="preserve"> </w:t>
            </w:r>
            <w:r w:rsidR="00471A41">
              <w:rPr>
                <w:noProof/>
                <w:spacing w:val="-2"/>
                <w:sz w:val="20"/>
                <w:szCs w:val="20"/>
                <w:lang w:eastAsia="en-AU"/>
              </w:rPr>
              <w:t xml:space="preserve">The private sector is more agile to changing economic conditions. This is reflected in recent wage growth. Tight labour market conditions since 2021 are being felt in the private and public sectors, but it is the private sector </w:t>
            </w:r>
            <w:r w:rsidR="00471A41" w:rsidRPr="001367C4">
              <w:rPr>
                <w:noProof/>
                <w:spacing w:val="-2"/>
                <w:sz w:val="20"/>
                <w:szCs w:val="20"/>
                <w:lang w:eastAsia="en-AU"/>
              </w:rPr>
              <w:t>that is responding</w:t>
            </w:r>
            <w:r w:rsidR="00471A41">
              <w:rPr>
                <w:noProof/>
                <w:spacing w:val="-2"/>
                <w:sz w:val="20"/>
                <w:szCs w:val="20"/>
                <w:lang w:eastAsia="en-AU"/>
              </w:rPr>
              <w:t xml:space="preserve"> with remuneration, with wages growth of 4.4% in the year to September 2023, compared with 1.5% for the public sector. That said, over the past 10 years annual growth for both sect</w:t>
            </w:r>
            <w:r w:rsidR="0069002B">
              <w:rPr>
                <w:noProof/>
                <w:spacing w:val="-2"/>
                <w:sz w:val="20"/>
                <w:szCs w:val="20"/>
                <w:lang w:eastAsia="en-AU"/>
              </w:rPr>
              <w:t>ors has averaged 2.4% per annum. Latest Treasury forecasts expect Territory private sector wage growth to remain above 4% through 2024.</w:t>
            </w:r>
          </w:p>
        </w:tc>
      </w:tr>
      <w:tr w:rsidR="001337CA" w:rsidRPr="00482D19" w14:paraId="53EF8C2D" w14:textId="77777777" w:rsidTr="000A1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75A5059E" w14:textId="23C0E699" w:rsidR="005439AD" w:rsidRDefault="00076469" w:rsidP="00471A41">
            <w:pPr>
              <w:jc w:val="center"/>
              <w:rPr>
                <w:sz w:val="16"/>
                <w:szCs w:val="16"/>
              </w:rPr>
            </w:pPr>
            <w:r>
              <w:rPr>
                <w:sz w:val="20"/>
                <w:szCs w:val="20"/>
              </w:rPr>
              <w:t xml:space="preserve">Vacancies per </w:t>
            </w:r>
            <w:r w:rsidR="00B72D60">
              <w:rPr>
                <w:sz w:val="20"/>
                <w:szCs w:val="20"/>
              </w:rPr>
              <w:t xml:space="preserve">one </w:t>
            </w:r>
            <w:r>
              <w:rPr>
                <w:sz w:val="20"/>
                <w:szCs w:val="20"/>
              </w:rPr>
              <w:t>unemployed person</w:t>
            </w:r>
          </w:p>
          <w:p w14:paraId="193C87E6" w14:textId="3B007D9B" w:rsidR="001337CA" w:rsidRPr="00D80414" w:rsidRDefault="00B72D60" w:rsidP="00E236EE">
            <w:pPr>
              <w:jc w:val="center"/>
              <w:rPr>
                <w:b w:val="0"/>
                <w:sz w:val="16"/>
                <w:szCs w:val="16"/>
              </w:rPr>
            </w:pPr>
            <w:r>
              <w:rPr>
                <w:sz w:val="16"/>
                <w:szCs w:val="16"/>
              </w:rPr>
              <w:t xml:space="preserve">Capital cities vs </w:t>
            </w:r>
            <w:r w:rsidR="00E236EE">
              <w:rPr>
                <w:sz w:val="16"/>
                <w:szCs w:val="16"/>
              </w:rPr>
              <w:t>rest of NT/AUS</w:t>
            </w:r>
            <w:r>
              <w:rPr>
                <w:sz w:val="16"/>
                <w:szCs w:val="16"/>
              </w:rPr>
              <w:t xml:space="preserve">, Moving </w:t>
            </w:r>
            <w:r w:rsidR="004C7293">
              <w:rPr>
                <w:sz w:val="16"/>
                <w:szCs w:val="16"/>
              </w:rPr>
              <w:t xml:space="preserve">Annual </w:t>
            </w:r>
            <w:r>
              <w:rPr>
                <w:sz w:val="16"/>
                <w:szCs w:val="16"/>
              </w:rPr>
              <w:t>Average</w:t>
            </w:r>
            <w:r w:rsidR="00471A41" w:rsidRPr="00EC73A2">
              <w:rPr>
                <w:sz w:val="16"/>
                <w:szCs w:val="16"/>
              </w:rPr>
              <w:t xml:space="preserve"> (</w:t>
            </w:r>
            <w:r>
              <w:rPr>
                <w:sz w:val="16"/>
                <w:szCs w:val="16"/>
              </w:rPr>
              <w:t>#</w:t>
            </w:r>
            <w:r w:rsidR="00471A41" w:rsidRPr="00EC73A2">
              <w:rPr>
                <w:sz w:val="16"/>
                <w:szCs w:val="16"/>
              </w:rPr>
              <w:t>)</w:t>
            </w:r>
          </w:p>
        </w:tc>
        <w:tc>
          <w:tcPr>
            <w:tcW w:w="5466" w:type="dxa"/>
            <w:shd w:val="clear" w:color="auto" w:fill="auto"/>
          </w:tcPr>
          <w:p w14:paraId="042FB597" w14:textId="77777777" w:rsidR="005439AD" w:rsidRPr="00D80414" w:rsidRDefault="005439AD" w:rsidP="005439AD">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69002B">
              <w:rPr>
                <w:b/>
                <w:bCs/>
                <w:sz w:val="20"/>
                <w:szCs w:val="20"/>
              </w:rPr>
              <w:t>Wage Price Index</w:t>
            </w:r>
          </w:p>
          <w:p w14:paraId="364D70DD" w14:textId="5C4235E1" w:rsidR="001337CA" w:rsidRPr="00C27FFE" w:rsidRDefault="00471A41" w:rsidP="00471A41">
            <w:pPr>
              <w:jc w:val="center"/>
              <w:cnfStyle w:val="000000100000" w:firstRow="0" w:lastRow="0" w:firstColumn="0" w:lastColumn="0" w:oddVBand="0" w:evenVBand="0" w:oddHBand="1" w:evenHBand="0" w:firstRowFirstColumn="0" w:firstRowLastColumn="0" w:lastRowFirstColumn="0" w:lastRowLastColumn="0"/>
              <w:rPr>
                <w:b/>
                <w:sz w:val="16"/>
                <w:szCs w:val="16"/>
              </w:rPr>
            </w:pPr>
            <w:r w:rsidRPr="0069002B">
              <w:rPr>
                <w:b/>
                <w:bCs/>
                <w:sz w:val="16"/>
                <w:szCs w:val="16"/>
              </w:rPr>
              <w:t>Year-on-year (% change)</w:t>
            </w:r>
          </w:p>
        </w:tc>
      </w:tr>
      <w:tr w:rsidR="00FF6F32" w:rsidRPr="00482D19" w14:paraId="6F0888B8" w14:textId="77777777" w:rsidTr="000A1234">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0E2B0C7B" w14:textId="252BD6A0" w:rsidR="00FF6F32" w:rsidRDefault="00E236EE" w:rsidP="001337CA">
            <w:pPr>
              <w:jc w:val="center"/>
              <w:rPr>
                <w:sz w:val="20"/>
                <w:szCs w:val="20"/>
              </w:rPr>
            </w:pPr>
            <w:r>
              <w:rPr>
                <w:noProof/>
                <w:sz w:val="20"/>
                <w:szCs w:val="20"/>
                <w:lang w:eastAsia="en-AU"/>
              </w:rPr>
              <w:drawing>
                <wp:inline distT="0" distB="0" distL="0" distR="0" wp14:anchorId="44D79A35" wp14:editId="5D3BC83B">
                  <wp:extent cx="2923200" cy="260280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3200" cy="2602800"/>
                          </a:xfrm>
                          <a:prstGeom prst="rect">
                            <a:avLst/>
                          </a:prstGeom>
                          <a:noFill/>
                        </pic:spPr>
                      </pic:pic>
                    </a:graphicData>
                  </a:graphic>
                </wp:inline>
              </w:drawing>
            </w:r>
          </w:p>
        </w:tc>
        <w:tc>
          <w:tcPr>
            <w:tcW w:w="5466" w:type="dxa"/>
            <w:shd w:val="clear" w:color="auto" w:fill="auto"/>
          </w:tcPr>
          <w:p w14:paraId="248A771E" w14:textId="0E2E5204" w:rsidR="00FF6F32" w:rsidRDefault="00471A41" w:rsidP="001337CA">
            <w:pPr>
              <w:jc w:val="center"/>
              <w:cnfStyle w:val="000000000000" w:firstRow="0" w:lastRow="0" w:firstColumn="0" w:lastColumn="0" w:oddVBand="0" w:evenVBand="0" w:oddHBand="0" w:evenHBand="0" w:firstRowFirstColumn="0" w:firstRowLastColumn="0" w:lastRowFirstColumn="0" w:lastRowLastColumn="0"/>
              <w:rPr>
                <w:b/>
                <w:sz w:val="20"/>
                <w:szCs w:val="20"/>
              </w:rPr>
            </w:pPr>
            <w:r>
              <w:rPr>
                <w:noProof/>
                <w:sz w:val="20"/>
                <w:szCs w:val="20"/>
                <w:lang w:eastAsia="en-AU"/>
              </w:rPr>
              <w:drawing>
                <wp:inline distT="0" distB="0" distL="0" distR="0" wp14:anchorId="20FFA8FB" wp14:editId="0B026BC5">
                  <wp:extent cx="2926800" cy="2602800"/>
                  <wp:effectExtent l="0" t="0" r="698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6800" cy="2602800"/>
                          </a:xfrm>
                          <a:prstGeom prst="rect">
                            <a:avLst/>
                          </a:prstGeom>
                          <a:noFill/>
                        </pic:spPr>
                      </pic:pic>
                    </a:graphicData>
                  </a:graphic>
                </wp:inline>
              </w:drawing>
            </w:r>
          </w:p>
        </w:tc>
      </w:tr>
    </w:tbl>
    <w:p w14:paraId="40FC8A91" w14:textId="77777777" w:rsidR="00525B4A" w:rsidRDefault="00525B4A" w:rsidP="00BC265F">
      <w:pPr>
        <w:spacing w:after="0"/>
        <w:jc w:val="both"/>
        <w:rPr>
          <w:i/>
          <w:iCs/>
          <w:color w:val="808080" w:themeColor="background1" w:themeShade="80"/>
          <w:sz w:val="16"/>
          <w:szCs w:val="16"/>
        </w:rPr>
      </w:pPr>
    </w:p>
    <w:p w14:paraId="215AF235" w14:textId="16471BA7" w:rsidR="009B0DC9" w:rsidRPr="00BC265F" w:rsidRDefault="00B8103F" w:rsidP="00BC265F">
      <w:pPr>
        <w:spacing w:after="120"/>
        <w:jc w:val="both"/>
        <w:rPr>
          <w:i/>
          <w:iCs/>
          <w:sz w:val="15"/>
          <w:szCs w:val="15"/>
        </w:rPr>
      </w:pPr>
      <w:r w:rsidRPr="00BC265F">
        <w:rPr>
          <w:i/>
          <w:iCs/>
          <w:color w:val="808080" w:themeColor="background1" w:themeShade="80"/>
          <w:sz w:val="15"/>
          <w:szCs w:val="15"/>
        </w:rPr>
        <w:t>The Northern Territory of Australia exercised due care and skill to ensure that at the time of publication the information contained in this publication is true and correct. However, it is not intended to be relied on as professional advice or used for commercial purposes. The Territory gives no warranty or assurances as to the accuracy of the information contained in the publication and to the maximum extent permitted by law accepts no direct or indirect liability for reliance on its content</w:t>
      </w:r>
      <w:r w:rsidRPr="00BC265F">
        <w:rPr>
          <w:i/>
          <w:iCs/>
          <w:sz w:val="15"/>
          <w:szCs w:val="15"/>
        </w:rPr>
        <w:t>.</w:t>
      </w:r>
    </w:p>
    <w:sectPr w:rsidR="009B0DC9" w:rsidRPr="00BC265F" w:rsidSect="006727B6">
      <w:headerReference w:type="default" r:id="rId13"/>
      <w:footerReference w:type="default" r:id="rId14"/>
      <w:headerReference w:type="first" r:id="rId15"/>
      <w:footerReference w:type="first" r:id="rId16"/>
      <w:pgSz w:w="11906" w:h="16838" w:code="9"/>
      <w:pgMar w:top="426" w:right="794" w:bottom="142" w:left="794" w:header="680" w:footer="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7F8C4" w14:textId="77777777" w:rsidR="00B00979" w:rsidRDefault="00B00979" w:rsidP="007332FF">
      <w:r>
        <w:separator/>
      </w:r>
    </w:p>
  </w:endnote>
  <w:endnote w:type="continuationSeparator" w:id="0">
    <w:p w14:paraId="5A0C1365" w14:textId="77777777" w:rsidR="00B00979" w:rsidRDefault="00B00979"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0AC70" w14:textId="77777777" w:rsidR="00B00979" w:rsidRPr="00DD607E" w:rsidRDefault="00B00979" w:rsidP="00450636">
    <w:pPr>
      <w:spacing w:after="0"/>
      <w:rPr>
        <w:sz w:val="4"/>
        <w:szCs w:val="4"/>
      </w:rPr>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B00979" w:rsidRPr="00132658" w14:paraId="76144F35" w14:textId="77777777" w:rsidTr="00DD607E">
      <w:trPr>
        <w:cantSplit/>
        <w:trHeight w:hRule="exact" w:val="850"/>
      </w:trPr>
      <w:tc>
        <w:tcPr>
          <w:tcW w:w="10318" w:type="dxa"/>
          <w:vAlign w:val="center"/>
        </w:tcPr>
        <w:p w14:paraId="47143647" w14:textId="31EFF08C" w:rsidR="00B00979" w:rsidRDefault="00B00979" w:rsidP="00DD607E">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Industry, Tourism and Trade</w:t>
              </w:r>
            </w:sdtContent>
          </w:sdt>
        </w:p>
        <w:p w14:paraId="6D7329B7" w14:textId="219D1793" w:rsidR="00B00979" w:rsidRPr="00AC4488" w:rsidRDefault="00B52F56" w:rsidP="00DD607E">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3-12-20T00:00:00Z">
                <w:dateFormat w:val="d MMMM yyyy"/>
                <w:lid w:val="en-AU"/>
                <w:storeMappedDataAs w:val="dateTime"/>
                <w:calendar w:val="gregorian"/>
              </w:date>
            </w:sdtPr>
            <w:sdtEndPr>
              <w:rPr>
                <w:rStyle w:val="PageNumber"/>
              </w:rPr>
            </w:sdtEndPr>
            <w:sdtContent>
              <w:r w:rsidR="0043278A">
                <w:rPr>
                  <w:rStyle w:val="PageNumber"/>
                </w:rPr>
                <w:t>20 December 2023</w:t>
              </w:r>
            </w:sdtContent>
          </w:sdt>
          <w:r w:rsidR="00B00979" w:rsidRPr="00CE6614">
            <w:rPr>
              <w:rStyle w:val="PageNumber"/>
            </w:rPr>
            <w:t xml:space="preserve"> | </w:t>
          </w:r>
          <w:r w:rsidR="00B00979" w:rsidRPr="00AC4488">
            <w:rPr>
              <w:rStyle w:val="PageNumber"/>
            </w:rPr>
            <w:t xml:space="preserve">Page </w:t>
          </w:r>
          <w:r w:rsidR="00B00979" w:rsidRPr="00AC4488">
            <w:rPr>
              <w:rStyle w:val="PageNumber"/>
            </w:rPr>
            <w:fldChar w:fldCharType="begin"/>
          </w:r>
          <w:r w:rsidR="00B00979" w:rsidRPr="00AC4488">
            <w:rPr>
              <w:rStyle w:val="PageNumber"/>
            </w:rPr>
            <w:instrText xml:space="preserve"> PAGE  \* Arabic  \* MERGEFORMAT </w:instrText>
          </w:r>
          <w:r w:rsidR="00B00979" w:rsidRPr="00AC4488">
            <w:rPr>
              <w:rStyle w:val="PageNumber"/>
            </w:rPr>
            <w:fldChar w:fldCharType="separate"/>
          </w:r>
          <w:r>
            <w:rPr>
              <w:rStyle w:val="PageNumber"/>
              <w:noProof/>
            </w:rPr>
            <w:t>2</w:t>
          </w:r>
          <w:r w:rsidR="00B00979" w:rsidRPr="00AC4488">
            <w:rPr>
              <w:rStyle w:val="PageNumber"/>
            </w:rPr>
            <w:fldChar w:fldCharType="end"/>
          </w:r>
          <w:r w:rsidR="00B00979" w:rsidRPr="00AC4488">
            <w:rPr>
              <w:rStyle w:val="PageNumber"/>
            </w:rPr>
            <w:t xml:space="preserve"> of </w:t>
          </w:r>
          <w:r w:rsidR="00B00979" w:rsidRPr="00AC4488">
            <w:rPr>
              <w:rStyle w:val="PageNumber"/>
            </w:rPr>
            <w:fldChar w:fldCharType="begin"/>
          </w:r>
          <w:r w:rsidR="00B00979" w:rsidRPr="00AC4488">
            <w:rPr>
              <w:rStyle w:val="PageNumber"/>
            </w:rPr>
            <w:instrText xml:space="preserve"> NUMPAGES  \* Arabic  \* MERGEFORMAT </w:instrText>
          </w:r>
          <w:r w:rsidR="00B00979" w:rsidRPr="00AC4488">
            <w:rPr>
              <w:rStyle w:val="PageNumber"/>
            </w:rPr>
            <w:fldChar w:fldCharType="separate"/>
          </w:r>
          <w:r>
            <w:rPr>
              <w:rStyle w:val="PageNumber"/>
              <w:noProof/>
            </w:rPr>
            <w:t>2</w:t>
          </w:r>
          <w:r w:rsidR="00B00979" w:rsidRPr="00AC4488">
            <w:rPr>
              <w:rStyle w:val="PageNumber"/>
            </w:rPr>
            <w:fldChar w:fldCharType="end"/>
          </w:r>
        </w:p>
      </w:tc>
    </w:tr>
  </w:tbl>
  <w:p w14:paraId="042F9CAB" w14:textId="77777777" w:rsidR="00B00979" w:rsidRPr="00B11C67" w:rsidRDefault="00B00979"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9771F" w14:textId="77777777" w:rsidR="00B00979" w:rsidRPr="00DD607E" w:rsidRDefault="00B00979" w:rsidP="0071700C">
    <w:pPr>
      <w:spacing w:after="0"/>
      <w:rPr>
        <w:sz w:val="4"/>
        <w:szCs w:val="4"/>
      </w:rPr>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B00979" w:rsidRPr="00132658" w14:paraId="06641354" w14:textId="77777777" w:rsidTr="00DD607E">
      <w:trPr>
        <w:cantSplit/>
        <w:trHeight w:hRule="exact" w:val="1134"/>
      </w:trPr>
      <w:tc>
        <w:tcPr>
          <w:tcW w:w="7767" w:type="dxa"/>
          <w:vAlign w:val="center"/>
        </w:tcPr>
        <w:p w14:paraId="53DBAA4A" w14:textId="7BDEE23F" w:rsidR="00B00979" w:rsidRDefault="00B00979" w:rsidP="00DD607E">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Industry, Tourism and Trade</w:t>
              </w:r>
            </w:sdtContent>
          </w:sdt>
        </w:p>
        <w:p w14:paraId="2D20C468" w14:textId="47935B5B" w:rsidR="00B00979" w:rsidRPr="00CE30CF" w:rsidRDefault="00B52F56" w:rsidP="00444DBF">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12-20T00:00:00Z">
                <w:dateFormat w:val="d MMMM yyyy"/>
                <w:lid w:val="en-AU"/>
                <w:storeMappedDataAs w:val="dateTime"/>
                <w:calendar w:val="gregorian"/>
              </w:date>
            </w:sdtPr>
            <w:sdtEndPr>
              <w:rPr>
                <w:rStyle w:val="PageNumber"/>
              </w:rPr>
            </w:sdtEndPr>
            <w:sdtContent>
              <w:r w:rsidR="0043278A">
                <w:rPr>
                  <w:rStyle w:val="PageNumber"/>
                </w:rPr>
                <w:t>20 December 2023</w:t>
              </w:r>
            </w:sdtContent>
          </w:sdt>
          <w:r w:rsidR="00B00979" w:rsidRPr="00CE6614">
            <w:rPr>
              <w:rStyle w:val="PageNumber"/>
            </w:rPr>
            <w:t xml:space="preserve"> </w:t>
          </w:r>
          <w:r w:rsidR="00B00979">
            <w:rPr>
              <w:rStyle w:val="PageNumber"/>
            </w:rPr>
            <w:t xml:space="preserve">| </w:t>
          </w:r>
          <w:r w:rsidR="00B00979" w:rsidRPr="00AC4488">
            <w:rPr>
              <w:rStyle w:val="PageNumber"/>
            </w:rPr>
            <w:t xml:space="preserve">Page </w:t>
          </w:r>
          <w:r w:rsidR="00B00979" w:rsidRPr="00AC4488">
            <w:rPr>
              <w:rStyle w:val="PageNumber"/>
            </w:rPr>
            <w:fldChar w:fldCharType="begin"/>
          </w:r>
          <w:r w:rsidR="00B00979" w:rsidRPr="00AC4488">
            <w:rPr>
              <w:rStyle w:val="PageNumber"/>
            </w:rPr>
            <w:instrText xml:space="preserve"> PAGE  \* Arabic  \* MERGEFORMAT </w:instrText>
          </w:r>
          <w:r w:rsidR="00B00979" w:rsidRPr="00AC4488">
            <w:rPr>
              <w:rStyle w:val="PageNumber"/>
            </w:rPr>
            <w:fldChar w:fldCharType="separate"/>
          </w:r>
          <w:r>
            <w:rPr>
              <w:rStyle w:val="PageNumber"/>
              <w:noProof/>
            </w:rPr>
            <w:t>1</w:t>
          </w:r>
          <w:r w:rsidR="00B00979" w:rsidRPr="00AC4488">
            <w:rPr>
              <w:rStyle w:val="PageNumber"/>
            </w:rPr>
            <w:fldChar w:fldCharType="end"/>
          </w:r>
          <w:r w:rsidR="00B00979" w:rsidRPr="00AC4488">
            <w:rPr>
              <w:rStyle w:val="PageNumber"/>
            </w:rPr>
            <w:t xml:space="preserve"> of </w:t>
          </w:r>
          <w:r w:rsidR="00B00979" w:rsidRPr="00AC4488">
            <w:rPr>
              <w:rStyle w:val="PageNumber"/>
            </w:rPr>
            <w:fldChar w:fldCharType="begin"/>
          </w:r>
          <w:r w:rsidR="00B00979" w:rsidRPr="00AC4488">
            <w:rPr>
              <w:rStyle w:val="PageNumber"/>
            </w:rPr>
            <w:instrText xml:space="preserve"> NUMPAGES  \* Arabic  \* MERGEFORMAT </w:instrText>
          </w:r>
          <w:r w:rsidR="00B00979" w:rsidRPr="00AC4488">
            <w:rPr>
              <w:rStyle w:val="PageNumber"/>
            </w:rPr>
            <w:fldChar w:fldCharType="separate"/>
          </w:r>
          <w:r>
            <w:rPr>
              <w:rStyle w:val="PageNumber"/>
              <w:noProof/>
            </w:rPr>
            <w:t>2</w:t>
          </w:r>
          <w:r w:rsidR="00B00979" w:rsidRPr="00AC4488">
            <w:rPr>
              <w:rStyle w:val="PageNumber"/>
            </w:rPr>
            <w:fldChar w:fldCharType="end"/>
          </w:r>
        </w:p>
      </w:tc>
      <w:tc>
        <w:tcPr>
          <w:tcW w:w="2551" w:type="dxa"/>
          <w:vAlign w:val="bottom"/>
        </w:tcPr>
        <w:p w14:paraId="5D1B965B" w14:textId="77777777" w:rsidR="00B00979" w:rsidRPr="001E14EB" w:rsidRDefault="00B00979" w:rsidP="0071700C">
          <w:pPr>
            <w:spacing w:after="0"/>
            <w:jc w:val="right"/>
          </w:pPr>
          <w:r>
            <w:rPr>
              <w:noProof/>
              <w:lang w:eastAsia="en-AU"/>
            </w:rPr>
            <w:drawing>
              <wp:inline distT="0" distB="0" distL="0" distR="0" wp14:anchorId="6278F0C3" wp14:editId="54B9576F">
                <wp:extent cx="1572479" cy="561600"/>
                <wp:effectExtent l="0" t="0" r="8890" b="0"/>
                <wp:docPr id="8" name="Picture 8"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48463111" w14:textId="77777777" w:rsidR="00B00979" w:rsidRPr="00661BE1" w:rsidRDefault="00B00979"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0B723" w14:textId="77777777" w:rsidR="00B00979" w:rsidRDefault="00B00979" w:rsidP="007332FF">
      <w:r>
        <w:separator/>
      </w:r>
    </w:p>
  </w:footnote>
  <w:footnote w:type="continuationSeparator" w:id="0">
    <w:p w14:paraId="3DEC5E53" w14:textId="77777777" w:rsidR="00B00979" w:rsidRDefault="00B00979"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07D10" w14:textId="2C9FA90C" w:rsidR="00B00979" w:rsidRPr="00162207" w:rsidRDefault="00B52F56"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B00979">
          <w:t>State of the Economy – September Q 2023</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spacing w:val="-10"/>
        <w:sz w:val="56"/>
        <w:szCs w:val="56"/>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7B59E8FA" w14:textId="0D7B03A8" w:rsidR="00B00979" w:rsidRDefault="00B00979" w:rsidP="0008691E">
        <w:pPr>
          <w:pStyle w:val="Title"/>
          <w:spacing w:after="120"/>
        </w:pPr>
        <w:r w:rsidRPr="00F96702">
          <w:rPr>
            <w:rStyle w:val="TitleChar"/>
            <w:spacing w:val="-10"/>
            <w:sz w:val="56"/>
            <w:szCs w:val="56"/>
          </w:rPr>
          <w:t>State of the Economy – September Q 2023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262556"/>
    <w:multiLevelType w:val="multilevel"/>
    <w:tmpl w:val="3E5E177A"/>
    <w:name w:val="NTG Table Bullet List3322222222222222"/>
    <w:numStyleLink w:val="Tablenumberlist"/>
  </w:abstractNum>
  <w:abstractNum w:abstractNumId="65"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453664D"/>
    <w:multiLevelType w:val="multilevel"/>
    <w:tmpl w:val="0C78A7AC"/>
    <w:name w:val="NTG Table Bullet List3322222222222222222"/>
    <w:numStyleLink w:val="Tablebulletlist"/>
  </w:abstractNum>
  <w:abstractNum w:abstractNumId="68" w15:restartNumberingAfterBreak="0">
    <w:nsid w:val="76141D1E"/>
    <w:multiLevelType w:val="multilevel"/>
    <w:tmpl w:val="0C78A7AC"/>
    <w:name w:val="NTG Table Bullet List332222222222"/>
    <w:numStyleLink w:val="Tablebulletlist"/>
  </w:abstractNum>
  <w:abstractNum w:abstractNumId="69" w15:restartNumberingAfterBreak="0">
    <w:nsid w:val="765A32D4"/>
    <w:multiLevelType w:val="multilevel"/>
    <w:tmpl w:val="4E6AC8F6"/>
    <w:numStyleLink w:val="Numberlist"/>
  </w:abstractNum>
  <w:abstractNum w:abstractNumId="70"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3"/>
  </w:num>
  <w:num w:numId="2">
    <w:abstractNumId w:val="21"/>
  </w:num>
  <w:num w:numId="3">
    <w:abstractNumId w:val="71"/>
  </w:num>
  <w:num w:numId="4">
    <w:abstractNumId w:val="43"/>
  </w:num>
  <w:num w:numId="5">
    <w:abstractNumId w:val="27"/>
  </w:num>
  <w:num w:numId="6">
    <w:abstractNumId w:val="15"/>
  </w:num>
  <w:num w:numId="7">
    <w:abstractNumId w:val="48"/>
  </w:num>
  <w:num w:numId="8">
    <w:abstractNumId w:val="24"/>
  </w:num>
  <w:num w:numId="9">
    <w:abstractNumId w:val="55"/>
  </w:num>
  <w:num w:numId="10">
    <w:abstractNumId w:val="20"/>
  </w:num>
  <w:num w:numId="11">
    <w:abstractNumId w:val="61"/>
  </w:num>
  <w:num w:numId="12">
    <w:abstractNumId w:val="17"/>
  </w:num>
  <w:num w:numId="13">
    <w:abstractNumId w:val="1"/>
  </w:num>
  <w:num w:numId="14">
    <w:abstractNumId w:val="59"/>
  </w:num>
  <w:num w:numId="15">
    <w:abstractNumId w:val="26"/>
  </w:num>
  <w:num w:numId="16">
    <w:abstractNumId w:val="60"/>
  </w:num>
  <w:num w:numId="17">
    <w:abstractNumId w:val="69"/>
  </w:num>
  <w:num w:numId="18">
    <w:abstractNumId w:val="54"/>
  </w:num>
  <w:num w:numId="19">
    <w:abstractNumId w:val="46"/>
  </w:num>
  <w:num w:numId="20">
    <w:abstractNumId w:val="50"/>
  </w:num>
  <w:num w:numId="21">
    <w:abstractNumId w:val="38"/>
  </w:num>
  <w:num w:numId="22">
    <w:abstractNumId w:val="53"/>
  </w:num>
  <w:num w:numId="23">
    <w:abstractNumId w:val="45"/>
  </w:num>
  <w:num w:numId="24">
    <w:abstractNumId w:val="40"/>
  </w:num>
  <w:num w:numId="25">
    <w:abstractNumId w:val="36"/>
  </w:num>
  <w:num w:numId="26">
    <w:abstractNumId w:val="10"/>
  </w:num>
  <w:num w:numId="27">
    <w:abstractNumId w:val="70"/>
  </w:num>
  <w:num w:numId="28">
    <w:abstractNumId w:val="35"/>
  </w:num>
  <w:num w:numId="29">
    <w:abstractNumId w:val="28"/>
  </w:num>
  <w:num w:numId="30">
    <w:abstractNumId w:val="0"/>
  </w:num>
  <w:num w:numId="31">
    <w:abstractNumId w:val="39"/>
  </w:num>
  <w:num w:numId="32">
    <w:abstractNumId w:val="9"/>
  </w:num>
  <w:num w:numId="33">
    <w:abstractNumId w:val="62"/>
  </w:num>
  <w:num w:numId="34">
    <w:abstractNumId w:val="31"/>
  </w:num>
  <w:num w:numId="35">
    <w:abstractNumId w:val="47"/>
  </w:num>
  <w:num w:numId="36">
    <w:abstractNumId w:val="63"/>
  </w:num>
  <w:num w:numId="37">
    <w:abstractNumId w:val="65"/>
  </w:num>
  <w:num w:numId="38">
    <w:abstractNumId w:val="14"/>
  </w:num>
  <w:num w:numId="39">
    <w:abstractNumId w:val="25"/>
  </w:num>
  <w:num w:numId="40">
    <w:abstractNumId w:val="66"/>
  </w:num>
  <w:num w:numId="41">
    <w:abstractNumId w:val="2"/>
  </w:num>
  <w:num w:numId="42">
    <w:abstractNumId w:val="58"/>
  </w:num>
  <w:num w:numId="43">
    <w:abstractNumId w:val="11"/>
  </w:num>
  <w:num w:numId="44">
    <w:abstractNumId w:val="34"/>
  </w:num>
  <w:num w:numId="45">
    <w:abstractNumId w:val="41"/>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9C"/>
    <w:rsid w:val="00000AF0"/>
    <w:rsid w:val="00001C92"/>
    <w:rsid w:val="00001D51"/>
    <w:rsid w:val="00001DDF"/>
    <w:rsid w:val="0000322D"/>
    <w:rsid w:val="00005EE4"/>
    <w:rsid w:val="00007670"/>
    <w:rsid w:val="000077FE"/>
    <w:rsid w:val="00010665"/>
    <w:rsid w:val="00011E6B"/>
    <w:rsid w:val="0001581A"/>
    <w:rsid w:val="00017A14"/>
    <w:rsid w:val="00017F79"/>
    <w:rsid w:val="000204DB"/>
    <w:rsid w:val="0002393A"/>
    <w:rsid w:val="0002438A"/>
    <w:rsid w:val="000246C7"/>
    <w:rsid w:val="00027DB8"/>
    <w:rsid w:val="00031A96"/>
    <w:rsid w:val="00032AFD"/>
    <w:rsid w:val="00032B0B"/>
    <w:rsid w:val="0003465A"/>
    <w:rsid w:val="00034E2A"/>
    <w:rsid w:val="0003699C"/>
    <w:rsid w:val="00040BF3"/>
    <w:rsid w:val="00040D2C"/>
    <w:rsid w:val="0004211C"/>
    <w:rsid w:val="00042768"/>
    <w:rsid w:val="00042E05"/>
    <w:rsid w:val="0004508D"/>
    <w:rsid w:val="00046C59"/>
    <w:rsid w:val="000477A2"/>
    <w:rsid w:val="00050164"/>
    <w:rsid w:val="00051362"/>
    <w:rsid w:val="00051BFD"/>
    <w:rsid w:val="00051F45"/>
    <w:rsid w:val="00052953"/>
    <w:rsid w:val="00053312"/>
    <w:rsid w:val="00053336"/>
    <w:rsid w:val="0005341A"/>
    <w:rsid w:val="0005591A"/>
    <w:rsid w:val="00056DEF"/>
    <w:rsid w:val="00056EDC"/>
    <w:rsid w:val="000576D2"/>
    <w:rsid w:val="00060C85"/>
    <w:rsid w:val="0006258E"/>
    <w:rsid w:val="00062862"/>
    <w:rsid w:val="000641B1"/>
    <w:rsid w:val="0006635A"/>
    <w:rsid w:val="000669A1"/>
    <w:rsid w:val="00067C3D"/>
    <w:rsid w:val="000720BE"/>
    <w:rsid w:val="0007259C"/>
    <w:rsid w:val="00073494"/>
    <w:rsid w:val="0007388D"/>
    <w:rsid w:val="00073DF0"/>
    <w:rsid w:val="00076469"/>
    <w:rsid w:val="0007719F"/>
    <w:rsid w:val="000775CB"/>
    <w:rsid w:val="000801B3"/>
    <w:rsid w:val="00080202"/>
    <w:rsid w:val="00080DCD"/>
    <w:rsid w:val="00080E22"/>
    <w:rsid w:val="00082573"/>
    <w:rsid w:val="000840A3"/>
    <w:rsid w:val="00085062"/>
    <w:rsid w:val="00085B4D"/>
    <w:rsid w:val="0008691E"/>
    <w:rsid w:val="00086A5F"/>
    <w:rsid w:val="0008798A"/>
    <w:rsid w:val="000911EF"/>
    <w:rsid w:val="000962C5"/>
    <w:rsid w:val="00097865"/>
    <w:rsid w:val="000A1234"/>
    <w:rsid w:val="000A24B2"/>
    <w:rsid w:val="000A4317"/>
    <w:rsid w:val="000A439F"/>
    <w:rsid w:val="000A559C"/>
    <w:rsid w:val="000A57C7"/>
    <w:rsid w:val="000A6DA4"/>
    <w:rsid w:val="000B2CA1"/>
    <w:rsid w:val="000C1538"/>
    <w:rsid w:val="000C1A5B"/>
    <w:rsid w:val="000C344D"/>
    <w:rsid w:val="000D04AF"/>
    <w:rsid w:val="000D0C98"/>
    <w:rsid w:val="000D1F29"/>
    <w:rsid w:val="000D4503"/>
    <w:rsid w:val="000D4C48"/>
    <w:rsid w:val="000D633D"/>
    <w:rsid w:val="000D63B5"/>
    <w:rsid w:val="000E2753"/>
    <w:rsid w:val="000E33C4"/>
    <w:rsid w:val="000E342B"/>
    <w:rsid w:val="000E3847"/>
    <w:rsid w:val="000E3ED2"/>
    <w:rsid w:val="000E49D5"/>
    <w:rsid w:val="000E599A"/>
    <w:rsid w:val="000E5DD2"/>
    <w:rsid w:val="000F00A7"/>
    <w:rsid w:val="000F2958"/>
    <w:rsid w:val="000F3850"/>
    <w:rsid w:val="000F4762"/>
    <w:rsid w:val="000F604F"/>
    <w:rsid w:val="000F6F78"/>
    <w:rsid w:val="000F7863"/>
    <w:rsid w:val="0010243F"/>
    <w:rsid w:val="00102EC4"/>
    <w:rsid w:val="001034F8"/>
    <w:rsid w:val="00104E7F"/>
    <w:rsid w:val="001070D5"/>
    <w:rsid w:val="001137EC"/>
    <w:rsid w:val="001152F5"/>
    <w:rsid w:val="00117743"/>
    <w:rsid w:val="00117F5B"/>
    <w:rsid w:val="0012025E"/>
    <w:rsid w:val="00120E95"/>
    <w:rsid w:val="00121EF2"/>
    <w:rsid w:val="00126AD3"/>
    <w:rsid w:val="001319FB"/>
    <w:rsid w:val="00132658"/>
    <w:rsid w:val="001330EE"/>
    <w:rsid w:val="001337CA"/>
    <w:rsid w:val="001356E5"/>
    <w:rsid w:val="001367C4"/>
    <w:rsid w:val="00140DFA"/>
    <w:rsid w:val="00141DA4"/>
    <w:rsid w:val="00144FB9"/>
    <w:rsid w:val="00145247"/>
    <w:rsid w:val="001453CC"/>
    <w:rsid w:val="00150DC0"/>
    <w:rsid w:val="0015394D"/>
    <w:rsid w:val="00156BE0"/>
    <w:rsid w:val="00156CD4"/>
    <w:rsid w:val="00157B87"/>
    <w:rsid w:val="0016153B"/>
    <w:rsid w:val="00162207"/>
    <w:rsid w:val="00164A3E"/>
    <w:rsid w:val="00165169"/>
    <w:rsid w:val="001659F6"/>
    <w:rsid w:val="00166FF6"/>
    <w:rsid w:val="00170846"/>
    <w:rsid w:val="001713EA"/>
    <w:rsid w:val="001717BC"/>
    <w:rsid w:val="00173D4E"/>
    <w:rsid w:val="00176123"/>
    <w:rsid w:val="00181620"/>
    <w:rsid w:val="001823F3"/>
    <w:rsid w:val="00184C51"/>
    <w:rsid w:val="00186D0A"/>
    <w:rsid w:val="00186E76"/>
    <w:rsid w:val="00187130"/>
    <w:rsid w:val="00194B21"/>
    <w:rsid w:val="001957AD"/>
    <w:rsid w:val="00195B9C"/>
    <w:rsid w:val="00196053"/>
    <w:rsid w:val="00196F8E"/>
    <w:rsid w:val="001A2B7F"/>
    <w:rsid w:val="001A3AFD"/>
    <w:rsid w:val="001A496C"/>
    <w:rsid w:val="001A576A"/>
    <w:rsid w:val="001A5CF0"/>
    <w:rsid w:val="001B1434"/>
    <w:rsid w:val="001B2252"/>
    <w:rsid w:val="001B25F5"/>
    <w:rsid w:val="001B28DA"/>
    <w:rsid w:val="001B2B6C"/>
    <w:rsid w:val="001B4B9F"/>
    <w:rsid w:val="001C0CA4"/>
    <w:rsid w:val="001C31C6"/>
    <w:rsid w:val="001C3AD0"/>
    <w:rsid w:val="001C5C22"/>
    <w:rsid w:val="001C62BD"/>
    <w:rsid w:val="001C7D27"/>
    <w:rsid w:val="001D01C4"/>
    <w:rsid w:val="001D13F9"/>
    <w:rsid w:val="001D4F99"/>
    <w:rsid w:val="001D52B0"/>
    <w:rsid w:val="001D5A18"/>
    <w:rsid w:val="001D5FAC"/>
    <w:rsid w:val="001D7BC6"/>
    <w:rsid w:val="001D7CA4"/>
    <w:rsid w:val="001E057F"/>
    <w:rsid w:val="001E14B0"/>
    <w:rsid w:val="001E14EB"/>
    <w:rsid w:val="001E48F1"/>
    <w:rsid w:val="001E6821"/>
    <w:rsid w:val="001F2C24"/>
    <w:rsid w:val="001F4793"/>
    <w:rsid w:val="001F59E6"/>
    <w:rsid w:val="001F5EDA"/>
    <w:rsid w:val="001F74D7"/>
    <w:rsid w:val="00200964"/>
    <w:rsid w:val="00200EFE"/>
    <w:rsid w:val="00201A37"/>
    <w:rsid w:val="00203F1C"/>
    <w:rsid w:val="0020517E"/>
    <w:rsid w:val="002054D0"/>
    <w:rsid w:val="00206936"/>
    <w:rsid w:val="00206C6F"/>
    <w:rsid w:val="00206FBD"/>
    <w:rsid w:val="00207524"/>
    <w:rsid w:val="00207746"/>
    <w:rsid w:val="002078B8"/>
    <w:rsid w:val="002102E5"/>
    <w:rsid w:val="00210C9C"/>
    <w:rsid w:val="00215B99"/>
    <w:rsid w:val="00220CAC"/>
    <w:rsid w:val="00222195"/>
    <w:rsid w:val="00223374"/>
    <w:rsid w:val="0022537F"/>
    <w:rsid w:val="00230031"/>
    <w:rsid w:val="00232FE7"/>
    <w:rsid w:val="00235C01"/>
    <w:rsid w:val="00237B6A"/>
    <w:rsid w:val="00240BD3"/>
    <w:rsid w:val="002456A4"/>
    <w:rsid w:val="00247343"/>
    <w:rsid w:val="00257981"/>
    <w:rsid w:val="00260660"/>
    <w:rsid w:val="0026162A"/>
    <w:rsid w:val="002644AF"/>
    <w:rsid w:val="00265C56"/>
    <w:rsid w:val="00265E14"/>
    <w:rsid w:val="0027159D"/>
    <w:rsid w:val="002716CD"/>
    <w:rsid w:val="0027337A"/>
    <w:rsid w:val="00274D4B"/>
    <w:rsid w:val="00275972"/>
    <w:rsid w:val="00276E71"/>
    <w:rsid w:val="002806F5"/>
    <w:rsid w:val="00281577"/>
    <w:rsid w:val="00284024"/>
    <w:rsid w:val="00287D73"/>
    <w:rsid w:val="00290388"/>
    <w:rsid w:val="002926BC"/>
    <w:rsid w:val="00292F85"/>
    <w:rsid w:val="00293A72"/>
    <w:rsid w:val="0029403A"/>
    <w:rsid w:val="002A0160"/>
    <w:rsid w:val="002A0924"/>
    <w:rsid w:val="002A30C3"/>
    <w:rsid w:val="002A4183"/>
    <w:rsid w:val="002A553D"/>
    <w:rsid w:val="002A6F6A"/>
    <w:rsid w:val="002A7712"/>
    <w:rsid w:val="002B0BD5"/>
    <w:rsid w:val="002B38F7"/>
    <w:rsid w:val="002B4F50"/>
    <w:rsid w:val="002B5591"/>
    <w:rsid w:val="002B6454"/>
    <w:rsid w:val="002B6AA4"/>
    <w:rsid w:val="002C1FE9"/>
    <w:rsid w:val="002C5A67"/>
    <w:rsid w:val="002C5B87"/>
    <w:rsid w:val="002C64A8"/>
    <w:rsid w:val="002D0EC2"/>
    <w:rsid w:val="002D3A57"/>
    <w:rsid w:val="002D568F"/>
    <w:rsid w:val="002D6524"/>
    <w:rsid w:val="002D6B5C"/>
    <w:rsid w:val="002D7D05"/>
    <w:rsid w:val="002E20C8"/>
    <w:rsid w:val="002E4290"/>
    <w:rsid w:val="002E66A6"/>
    <w:rsid w:val="002F0DB1"/>
    <w:rsid w:val="002F2885"/>
    <w:rsid w:val="002F2AD8"/>
    <w:rsid w:val="002F45A1"/>
    <w:rsid w:val="002F5C9A"/>
    <w:rsid w:val="002F648D"/>
    <w:rsid w:val="002F70A5"/>
    <w:rsid w:val="0030203D"/>
    <w:rsid w:val="00302889"/>
    <w:rsid w:val="00302AB6"/>
    <w:rsid w:val="003037F9"/>
    <w:rsid w:val="0030583E"/>
    <w:rsid w:val="00307FE1"/>
    <w:rsid w:val="00313B64"/>
    <w:rsid w:val="00314CBE"/>
    <w:rsid w:val="003164BA"/>
    <w:rsid w:val="00316822"/>
    <w:rsid w:val="003258E6"/>
    <w:rsid w:val="00330977"/>
    <w:rsid w:val="00331475"/>
    <w:rsid w:val="00332E54"/>
    <w:rsid w:val="0033684F"/>
    <w:rsid w:val="0033687A"/>
    <w:rsid w:val="00342283"/>
    <w:rsid w:val="00343100"/>
    <w:rsid w:val="00343A87"/>
    <w:rsid w:val="00344A36"/>
    <w:rsid w:val="003456F4"/>
    <w:rsid w:val="003461DE"/>
    <w:rsid w:val="003479FA"/>
    <w:rsid w:val="00347ECC"/>
    <w:rsid w:val="00347FB6"/>
    <w:rsid w:val="0035004A"/>
    <w:rsid w:val="003504FD"/>
    <w:rsid w:val="00350881"/>
    <w:rsid w:val="00350C94"/>
    <w:rsid w:val="00354B8C"/>
    <w:rsid w:val="003568EE"/>
    <w:rsid w:val="00357D55"/>
    <w:rsid w:val="00361BB3"/>
    <w:rsid w:val="00363513"/>
    <w:rsid w:val="00364509"/>
    <w:rsid w:val="003657E5"/>
    <w:rsid w:val="0036589C"/>
    <w:rsid w:val="00365C48"/>
    <w:rsid w:val="00367196"/>
    <w:rsid w:val="003678F4"/>
    <w:rsid w:val="00370543"/>
    <w:rsid w:val="00371312"/>
    <w:rsid w:val="00371DC7"/>
    <w:rsid w:val="00371E07"/>
    <w:rsid w:val="003763FC"/>
    <w:rsid w:val="00377B21"/>
    <w:rsid w:val="00381183"/>
    <w:rsid w:val="00381429"/>
    <w:rsid w:val="00382A7F"/>
    <w:rsid w:val="00383349"/>
    <w:rsid w:val="003849BD"/>
    <w:rsid w:val="0038616F"/>
    <w:rsid w:val="00390862"/>
    <w:rsid w:val="0039092C"/>
    <w:rsid w:val="00390CE3"/>
    <w:rsid w:val="00392EA0"/>
    <w:rsid w:val="00392F44"/>
    <w:rsid w:val="00394876"/>
    <w:rsid w:val="00394AAF"/>
    <w:rsid w:val="00394CE5"/>
    <w:rsid w:val="003954DD"/>
    <w:rsid w:val="00397C41"/>
    <w:rsid w:val="003A049C"/>
    <w:rsid w:val="003A5A25"/>
    <w:rsid w:val="003A6341"/>
    <w:rsid w:val="003A707E"/>
    <w:rsid w:val="003B0FF0"/>
    <w:rsid w:val="003B2912"/>
    <w:rsid w:val="003B67FD"/>
    <w:rsid w:val="003B6A61"/>
    <w:rsid w:val="003C1967"/>
    <w:rsid w:val="003C2198"/>
    <w:rsid w:val="003C4941"/>
    <w:rsid w:val="003C4DAA"/>
    <w:rsid w:val="003D0C20"/>
    <w:rsid w:val="003D0F63"/>
    <w:rsid w:val="003D10AB"/>
    <w:rsid w:val="003D3136"/>
    <w:rsid w:val="003D4080"/>
    <w:rsid w:val="003D42C0"/>
    <w:rsid w:val="003D4A8F"/>
    <w:rsid w:val="003D5B29"/>
    <w:rsid w:val="003D7818"/>
    <w:rsid w:val="003E2445"/>
    <w:rsid w:val="003E28BE"/>
    <w:rsid w:val="003E3BB2"/>
    <w:rsid w:val="003E5606"/>
    <w:rsid w:val="003F05E4"/>
    <w:rsid w:val="003F45CD"/>
    <w:rsid w:val="003F56CB"/>
    <w:rsid w:val="003F5B58"/>
    <w:rsid w:val="00400E91"/>
    <w:rsid w:val="0040145E"/>
    <w:rsid w:val="004018E0"/>
    <w:rsid w:val="0040222A"/>
    <w:rsid w:val="00403A99"/>
    <w:rsid w:val="00403E1F"/>
    <w:rsid w:val="004047BC"/>
    <w:rsid w:val="004056AA"/>
    <w:rsid w:val="004067D0"/>
    <w:rsid w:val="004100F7"/>
    <w:rsid w:val="00414CB3"/>
    <w:rsid w:val="004155A2"/>
    <w:rsid w:val="0041563D"/>
    <w:rsid w:val="004168F4"/>
    <w:rsid w:val="00420059"/>
    <w:rsid w:val="00420F71"/>
    <w:rsid w:val="00421F57"/>
    <w:rsid w:val="0042273D"/>
    <w:rsid w:val="00426E25"/>
    <w:rsid w:val="00427D9C"/>
    <w:rsid w:val="00427E7E"/>
    <w:rsid w:val="00430711"/>
    <w:rsid w:val="00430816"/>
    <w:rsid w:val="00431562"/>
    <w:rsid w:val="00431794"/>
    <w:rsid w:val="0043278A"/>
    <w:rsid w:val="0043465D"/>
    <w:rsid w:val="00435082"/>
    <w:rsid w:val="004351DF"/>
    <w:rsid w:val="00437DC3"/>
    <w:rsid w:val="00443B6E"/>
    <w:rsid w:val="00444DBF"/>
    <w:rsid w:val="00446444"/>
    <w:rsid w:val="00447AB3"/>
    <w:rsid w:val="00450636"/>
    <w:rsid w:val="0045420A"/>
    <w:rsid w:val="00454925"/>
    <w:rsid w:val="004554D4"/>
    <w:rsid w:val="00456B4C"/>
    <w:rsid w:val="00461158"/>
    <w:rsid w:val="00461744"/>
    <w:rsid w:val="00462E61"/>
    <w:rsid w:val="00464495"/>
    <w:rsid w:val="00466185"/>
    <w:rsid w:val="00466303"/>
    <w:rsid w:val="004668A7"/>
    <w:rsid w:val="00466D96"/>
    <w:rsid w:val="00467461"/>
    <w:rsid w:val="00467747"/>
    <w:rsid w:val="00470017"/>
    <w:rsid w:val="0047105A"/>
    <w:rsid w:val="004713C1"/>
    <w:rsid w:val="00471693"/>
    <w:rsid w:val="00471A41"/>
    <w:rsid w:val="00473C98"/>
    <w:rsid w:val="00474965"/>
    <w:rsid w:val="004749EB"/>
    <w:rsid w:val="00475C20"/>
    <w:rsid w:val="00475DF9"/>
    <w:rsid w:val="004778F4"/>
    <w:rsid w:val="00481C23"/>
    <w:rsid w:val="00482D19"/>
    <w:rsid w:val="00482DF8"/>
    <w:rsid w:val="00486247"/>
    <w:rsid w:val="004864DE"/>
    <w:rsid w:val="00486739"/>
    <w:rsid w:val="0048769F"/>
    <w:rsid w:val="00492543"/>
    <w:rsid w:val="00492C34"/>
    <w:rsid w:val="00493695"/>
    <w:rsid w:val="004940BF"/>
    <w:rsid w:val="00494BE5"/>
    <w:rsid w:val="004A0EBA"/>
    <w:rsid w:val="004A2538"/>
    <w:rsid w:val="004A331E"/>
    <w:rsid w:val="004A466F"/>
    <w:rsid w:val="004A4BC9"/>
    <w:rsid w:val="004A6912"/>
    <w:rsid w:val="004A7DDB"/>
    <w:rsid w:val="004B0C15"/>
    <w:rsid w:val="004B3221"/>
    <w:rsid w:val="004B346F"/>
    <w:rsid w:val="004B35EA"/>
    <w:rsid w:val="004B36BA"/>
    <w:rsid w:val="004B4BFA"/>
    <w:rsid w:val="004B69E4"/>
    <w:rsid w:val="004C6C39"/>
    <w:rsid w:val="004C7293"/>
    <w:rsid w:val="004D075F"/>
    <w:rsid w:val="004D0870"/>
    <w:rsid w:val="004D1B76"/>
    <w:rsid w:val="004D344E"/>
    <w:rsid w:val="004D3E5A"/>
    <w:rsid w:val="004D464A"/>
    <w:rsid w:val="004D6986"/>
    <w:rsid w:val="004D6BA9"/>
    <w:rsid w:val="004D7FE3"/>
    <w:rsid w:val="004E019E"/>
    <w:rsid w:val="004E06EC"/>
    <w:rsid w:val="004E0A3F"/>
    <w:rsid w:val="004E142F"/>
    <w:rsid w:val="004E1497"/>
    <w:rsid w:val="004E2CB7"/>
    <w:rsid w:val="004E6014"/>
    <w:rsid w:val="004F016A"/>
    <w:rsid w:val="004F7E54"/>
    <w:rsid w:val="005006F9"/>
    <w:rsid w:val="00500B2E"/>
    <w:rsid w:val="00500F94"/>
    <w:rsid w:val="00501666"/>
    <w:rsid w:val="00501E96"/>
    <w:rsid w:val="00502FB3"/>
    <w:rsid w:val="00503DE9"/>
    <w:rsid w:val="0050530C"/>
    <w:rsid w:val="00505344"/>
    <w:rsid w:val="00505DEA"/>
    <w:rsid w:val="00507782"/>
    <w:rsid w:val="00512A04"/>
    <w:rsid w:val="00514CF2"/>
    <w:rsid w:val="00520499"/>
    <w:rsid w:val="005249F5"/>
    <w:rsid w:val="00525B4A"/>
    <w:rsid w:val="005260F7"/>
    <w:rsid w:val="005310F5"/>
    <w:rsid w:val="0053333F"/>
    <w:rsid w:val="00533995"/>
    <w:rsid w:val="005343C8"/>
    <w:rsid w:val="0053568C"/>
    <w:rsid w:val="00542A1B"/>
    <w:rsid w:val="005439AD"/>
    <w:rsid w:val="00543B8F"/>
    <w:rsid w:val="00543BD1"/>
    <w:rsid w:val="00544A9A"/>
    <w:rsid w:val="0054648B"/>
    <w:rsid w:val="00550306"/>
    <w:rsid w:val="005509A7"/>
    <w:rsid w:val="00551BCC"/>
    <w:rsid w:val="00551DD1"/>
    <w:rsid w:val="0055202C"/>
    <w:rsid w:val="00553BF7"/>
    <w:rsid w:val="00553CE3"/>
    <w:rsid w:val="0055420C"/>
    <w:rsid w:val="0055521C"/>
    <w:rsid w:val="00556113"/>
    <w:rsid w:val="00556156"/>
    <w:rsid w:val="0055662D"/>
    <w:rsid w:val="005570D6"/>
    <w:rsid w:val="0056010A"/>
    <w:rsid w:val="00564C12"/>
    <w:rsid w:val="005654B8"/>
    <w:rsid w:val="0056590F"/>
    <w:rsid w:val="005701E4"/>
    <w:rsid w:val="00570D1F"/>
    <w:rsid w:val="00570D94"/>
    <w:rsid w:val="00575CD7"/>
    <w:rsid w:val="005762CC"/>
    <w:rsid w:val="00580EAD"/>
    <w:rsid w:val="00581F22"/>
    <w:rsid w:val="00582D3D"/>
    <w:rsid w:val="0058401C"/>
    <w:rsid w:val="005867A4"/>
    <w:rsid w:val="00590040"/>
    <w:rsid w:val="00590057"/>
    <w:rsid w:val="005928CC"/>
    <w:rsid w:val="00595386"/>
    <w:rsid w:val="005964F7"/>
    <w:rsid w:val="00597234"/>
    <w:rsid w:val="00597ACE"/>
    <w:rsid w:val="005A0938"/>
    <w:rsid w:val="005A0B99"/>
    <w:rsid w:val="005A0CD7"/>
    <w:rsid w:val="005A2AC5"/>
    <w:rsid w:val="005A2B7E"/>
    <w:rsid w:val="005A2D03"/>
    <w:rsid w:val="005A3DC7"/>
    <w:rsid w:val="005A4AC0"/>
    <w:rsid w:val="005A539B"/>
    <w:rsid w:val="005A5FDF"/>
    <w:rsid w:val="005B0FB7"/>
    <w:rsid w:val="005B122A"/>
    <w:rsid w:val="005B1FCB"/>
    <w:rsid w:val="005B5AC2"/>
    <w:rsid w:val="005C2833"/>
    <w:rsid w:val="005C5C82"/>
    <w:rsid w:val="005D00F6"/>
    <w:rsid w:val="005D2E25"/>
    <w:rsid w:val="005D4CDC"/>
    <w:rsid w:val="005D4EDF"/>
    <w:rsid w:val="005D77EB"/>
    <w:rsid w:val="005E144D"/>
    <w:rsid w:val="005E1500"/>
    <w:rsid w:val="005E29E9"/>
    <w:rsid w:val="005E3A43"/>
    <w:rsid w:val="005E6537"/>
    <w:rsid w:val="005E7A46"/>
    <w:rsid w:val="005F0B17"/>
    <w:rsid w:val="005F1B02"/>
    <w:rsid w:val="005F3818"/>
    <w:rsid w:val="005F6602"/>
    <w:rsid w:val="005F77C7"/>
    <w:rsid w:val="00604221"/>
    <w:rsid w:val="006051CD"/>
    <w:rsid w:val="00606F0C"/>
    <w:rsid w:val="00611029"/>
    <w:rsid w:val="006177CB"/>
    <w:rsid w:val="00620675"/>
    <w:rsid w:val="00622910"/>
    <w:rsid w:val="006254B6"/>
    <w:rsid w:val="0062608A"/>
    <w:rsid w:val="00627FC8"/>
    <w:rsid w:val="00632449"/>
    <w:rsid w:val="00633ABB"/>
    <w:rsid w:val="006433C3"/>
    <w:rsid w:val="00650094"/>
    <w:rsid w:val="00650F5B"/>
    <w:rsid w:val="006536A6"/>
    <w:rsid w:val="006609AE"/>
    <w:rsid w:val="00660CC9"/>
    <w:rsid w:val="00664465"/>
    <w:rsid w:val="00664760"/>
    <w:rsid w:val="0066618E"/>
    <w:rsid w:val="00666B8A"/>
    <w:rsid w:val="006670D7"/>
    <w:rsid w:val="00667D94"/>
    <w:rsid w:val="006707E4"/>
    <w:rsid w:val="006715B1"/>
    <w:rsid w:val="006719EA"/>
    <w:rsid w:val="00671F13"/>
    <w:rsid w:val="00671F95"/>
    <w:rsid w:val="006727B6"/>
    <w:rsid w:val="0067400A"/>
    <w:rsid w:val="006761B5"/>
    <w:rsid w:val="0067646E"/>
    <w:rsid w:val="00677FEA"/>
    <w:rsid w:val="00680032"/>
    <w:rsid w:val="006805D6"/>
    <w:rsid w:val="00681A02"/>
    <w:rsid w:val="0068410C"/>
    <w:rsid w:val="006847AD"/>
    <w:rsid w:val="00684BC6"/>
    <w:rsid w:val="00684CDF"/>
    <w:rsid w:val="0069002B"/>
    <w:rsid w:val="00690274"/>
    <w:rsid w:val="0069114B"/>
    <w:rsid w:val="00691D05"/>
    <w:rsid w:val="0069296E"/>
    <w:rsid w:val="0069444F"/>
    <w:rsid w:val="006944C1"/>
    <w:rsid w:val="00695F2D"/>
    <w:rsid w:val="006A0B30"/>
    <w:rsid w:val="006A756A"/>
    <w:rsid w:val="006B1BF9"/>
    <w:rsid w:val="006B5FE6"/>
    <w:rsid w:val="006B7D4C"/>
    <w:rsid w:val="006C09A2"/>
    <w:rsid w:val="006C0EC2"/>
    <w:rsid w:val="006C168B"/>
    <w:rsid w:val="006C5153"/>
    <w:rsid w:val="006C6DF9"/>
    <w:rsid w:val="006C7220"/>
    <w:rsid w:val="006D33C2"/>
    <w:rsid w:val="006D4037"/>
    <w:rsid w:val="006D66F7"/>
    <w:rsid w:val="006D7A79"/>
    <w:rsid w:val="006E1703"/>
    <w:rsid w:val="006E31A4"/>
    <w:rsid w:val="006E36CC"/>
    <w:rsid w:val="006E4B98"/>
    <w:rsid w:val="006F33B9"/>
    <w:rsid w:val="006F5DE3"/>
    <w:rsid w:val="00703172"/>
    <w:rsid w:val="00705C9D"/>
    <w:rsid w:val="00705F13"/>
    <w:rsid w:val="0070624C"/>
    <w:rsid w:val="007130D5"/>
    <w:rsid w:val="00714F1D"/>
    <w:rsid w:val="00715225"/>
    <w:rsid w:val="0071566E"/>
    <w:rsid w:val="0071700C"/>
    <w:rsid w:val="00720662"/>
    <w:rsid w:val="00720CC6"/>
    <w:rsid w:val="00720F41"/>
    <w:rsid w:val="00722DDB"/>
    <w:rsid w:val="00723B37"/>
    <w:rsid w:val="00723FFB"/>
    <w:rsid w:val="00724728"/>
    <w:rsid w:val="00724F98"/>
    <w:rsid w:val="00726CC3"/>
    <w:rsid w:val="00726D30"/>
    <w:rsid w:val="00730B9B"/>
    <w:rsid w:val="0073182E"/>
    <w:rsid w:val="007332FF"/>
    <w:rsid w:val="007340CD"/>
    <w:rsid w:val="00735A05"/>
    <w:rsid w:val="007408F5"/>
    <w:rsid w:val="00741EAE"/>
    <w:rsid w:val="00745960"/>
    <w:rsid w:val="00747270"/>
    <w:rsid w:val="007516A3"/>
    <w:rsid w:val="0075177F"/>
    <w:rsid w:val="00755248"/>
    <w:rsid w:val="00757E2B"/>
    <w:rsid w:val="0076190B"/>
    <w:rsid w:val="007620D1"/>
    <w:rsid w:val="007632F1"/>
    <w:rsid w:val="0076355D"/>
    <w:rsid w:val="00763A2D"/>
    <w:rsid w:val="0076497E"/>
    <w:rsid w:val="00764B78"/>
    <w:rsid w:val="00765B4A"/>
    <w:rsid w:val="007676A4"/>
    <w:rsid w:val="007733F0"/>
    <w:rsid w:val="00775041"/>
    <w:rsid w:val="00777795"/>
    <w:rsid w:val="00777D34"/>
    <w:rsid w:val="0078043C"/>
    <w:rsid w:val="00781C57"/>
    <w:rsid w:val="00782AF4"/>
    <w:rsid w:val="00783A57"/>
    <w:rsid w:val="00783CF6"/>
    <w:rsid w:val="00784C92"/>
    <w:rsid w:val="007859CD"/>
    <w:rsid w:val="00785C24"/>
    <w:rsid w:val="00786993"/>
    <w:rsid w:val="0079059C"/>
    <w:rsid w:val="007907E4"/>
    <w:rsid w:val="00790AC2"/>
    <w:rsid w:val="00796461"/>
    <w:rsid w:val="00797CA2"/>
    <w:rsid w:val="007A101C"/>
    <w:rsid w:val="007A40C3"/>
    <w:rsid w:val="007A6A4F"/>
    <w:rsid w:val="007B03F5"/>
    <w:rsid w:val="007B4068"/>
    <w:rsid w:val="007B5C09"/>
    <w:rsid w:val="007B5DA2"/>
    <w:rsid w:val="007C0966"/>
    <w:rsid w:val="007C19E7"/>
    <w:rsid w:val="007C2BFF"/>
    <w:rsid w:val="007C5A4F"/>
    <w:rsid w:val="007C5CFD"/>
    <w:rsid w:val="007C6D9F"/>
    <w:rsid w:val="007D0C1A"/>
    <w:rsid w:val="007D4893"/>
    <w:rsid w:val="007E0432"/>
    <w:rsid w:val="007E0A27"/>
    <w:rsid w:val="007E1C62"/>
    <w:rsid w:val="007E20C7"/>
    <w:rsid w:val="007E247A"/>
    <w:rsid w:val="007E70CF"/>
    <w:rsid w:val="007E74A4"/>
    <w:rsid w:val="007F07C4"/>
    <w:rsid w:val="007F1288"/>
    <w:rsid w:val="007F1B6F"/>
    <w:rsid w:val="007F263F"/>
    <w:rsid w:val="007F421C"/>
    <w:rsid w:val="007F4A68"/>
    <w:rsid w:val="007F782F"/>
    <w:rsid w:val="008015A8"/>
    <w:rsid w:val="00801B1A"/>
    <w:rsid w:val="00806D2E"/>
    <w:rsid w:val="0080702B"/>
    <w:rsid w:val="0080766E"/>
    <w:rsid w:val="008077D2"/>
    <w:rsid w:val="00811169"/>
    <w:rsid w:val="00813916"/>
    <w:rsid w:val="00814B2A"/>
    <w:rsid w:val="00815297"/>
    <w:rsid w:val="008170DB"/>
    <w:rsid w:val="00817333"/>
    <w:rsid w:val="00817BA1"/>
    <w:rsid w:val="00817ED6"/>
    <w:rsid w:val="00821B08"/>
    <w:rsid w:val="00823022"/>
    <w:rsid w:val="00824357"/>
    <w:rsid w:val="0082634E"/>
    <w:rsid w:val="00826B71"/>
    <w:rsid w:val="008313C4"/>
    <w:rsid w:val="0083433C"/>
    <w:rsid w:val="00835434"/>
    <w:rsid w:val="008358C0"/>
    <w:rsid w:val="0083751D"/>
    <w:rsid w:val="0083787F"/>
    <w:rsid w:val="00840B7F"/>
    <w:rsid w:val="00842838"/>
    <w:rsid w:val="00854EC1"/>
    <w:rsid w:val="0085593E"/>
    <w:rsid w:val="0085797F"/>
    <w:rsid w:val="00861DC3"/>
    <w:rsid w:val="00864B30"/>
    <w:rsid w:val="00867019"/>
    <w:rsid w:val="00867160"/>
    <w:rsid w:val="00872EF1"/>
    <w:rsid w:val="008735A9"/>
    <w:rsid w:val="0087446D"/>
    <w:rsid w:val="00877BC5"/>
    <w:rsid w:val="00877D20"/>
    <w:rsid w:val="00881C48"/>
    <w:rsid w:val="00885B80"/>
    <w:rsid w:val="00885C30"/>
    <w:rsid w:val="00885E9B"/>
    <w:rsid w:val="00887C50"/>
    <w:rsid w:val="00891C4F"/>
    <w:rsid w:val="008925B6"/>
    <w:rsid w:val="0089368E"/>
    <w:rsid w:val="00893C96"/>
    <w:rsid w:val="0089500A"/>
    <w:rsid w:val="00895561"/>
    <w:rsid w:val="00895F64"/>
    <w:rsid w:val="00896C05"/>
    <w:rsid w:val="00897C94"/>
    <w:rsid w:val="008A4B30"/>
    <w:rsid w:val="008A7C12"/>
    <w:rsid w:val="008B03CE"/>
    <w:rsid w:val="008B0AA7"/>
    <w:rsid w:val="008B529E"/>
    <w:rsid w:val="008C17FB"/>
    <w:rsid w:val="008C4F41"/>
    <w:rsid w:val="008C64D2"/>
    <w:rsid w:val="008C70BB"/>
    <w:rsid w:val="008D1B00"/>
    <w:rsid w:val="008D57B8"/>
    <w:rsid w:val="008E03FC"/>
    <w:rsid w:val="008E36F0"/>
    <w:rsid w:val="008E510B"/>
    <w:rsid w:val="008E6907"/>
    <w:rsid w:val="008E7A3E"/>
    <w:rsid w:val="008F4E8E"/>
    <w:rsid w:val="00900A37"/>
    <w:rsid w:val="00901EF5"/>
    <w:rsid w:val="00902B13"/>
    <w:rsid w:val="00905CB7"/>
    <w:rsid w:val="00911941"/>
    <w:rsid w:val="00913D75"/>
    <w:rsid w:val="0092024D"/>
    <w:rsid w:val="00922203"/>
    <w:rsid w:val="00925146"/>
    <w:rsid w:val="00925F0F"/>
    <w:rsid w:val="0092606D"/>
    <w:rsid w:val="00926483"/>
    <w:rsid w:val="00932F6B"/>
    <w:rsid w:val="0093445A"/>
    <w:rsid w:val="00934BDD"/>
    <w:rsid w:val="009353F0"/>
    <w:rsid w:val="009363D9"/>
    <w:rsid w:val="009364D7"/>
    <w:rsid w:val="00937C11"/>
    <w:rsid w:val="009444F0"/>
    <w:rsid w:val="009459D4"/>
    <w:rsid w:val="009468BC"/>
    <w:rsid w:val="00947FAE"/>
    <w:rsid w:val="009511E0"/>
    <w:rsid w:val="00957FBD"/>
    <w:rsid w:val="009616DF"/>
    <w:rsid w:val="009617D8"/>
    <w:rsid w:val="0096542F"/>
    <w:rsid w:val="00967FA7"/>
    <w:rsid w:val="009707F5"/>
    <w:rsid w:val="00971645"/>
    <w:rsid w:val="00971767"/>
    <w:rsid w:val="00971DBB"/>
    <w:rsid w:val="00972BF6"/>
    <w:rsid w:val="00973BEC"/>
    <w:rsid w:val="00973C6B"/>
    <w:rsid w:val="00974E9F"/>
    <w:rsid w:val="00976D93"/>
    <w:rsid w:val="00977919"/>
    <w:rsid w:val="00981DAD"/>
    <w:rsid w:val="00982B79"/>
    <w:rsid w:val="00983000"/>
    <w:rsid w:val="00983B51"/>
    <w:rsid w:val="009870FA"/>
    <w:rsid w:val="00987CD2"/>
    <w:rsid w:val="009920EC"/>
    <w:rsid w:val="009921C3"/>
    <w:rsid w:val="00992EBB"/>
    <w:rsid w:val="0099551D"/>
    <w:rsid w:val="00995976"/>
    <w:rsid w:val="009A0E6D"/>
    <w:rsid w:val="009A107C"/>
    <w:rsid w:val="009A5334"/>
    <w:rsid w:val="009A5897"/>
    <w:rsid w:val="009A5F24"/>
    <w:rsid w:val="009B0882"/>
    <w:rsid w:val="009B0992"/>
    <w:rsid w:val="009B0B3E"/>
    <w:rsid w:val="009B0DC9"/>
    <w:rsid w:val="009B1913"/>
    <w:rsid w:val="009B196F"/>
    <w:rsid w:val="009B24CD"/>
    <w:rsid w:val="009B48D2"/>
    <w:rsid w:val="009B6657"/>
    <w:rsid w:val="009B6966"/>
    <w:rsid w:val="009B6FC6"/>
    <w:rsid w:val="009B705E"/>
    <w:rsid w:val="009B7E6A"/>
    <w:rsid w:val="009C5A3E"/>
    <w:rsid w:val="009D0EB5"/>
    <w:rsid w:val="009D14F9"/>
    <w:rsid w:val="009D2B74"/>
    <w:rsid w:val="009D414F"/>
    <w:rsid w:val="009D4CB4"/>
    <w:rsid w:val="009D63FF"/>
    <w:rsid w:val="009E0874"/>
    <w:rsid w:val="009E11BB"/>
    <w:rsid w:val="009E175D"/>
    <w:rsid w:val="009E2FAE"/>
    <w:rsid w:val="009E30C4"/>
    <w:rsid w:val="009E3CC2"/>
    <w:rsid w:val="009F06BD"/>
    <w:rsid w:val="009F1144"/>
    <w:rsid w:val="009F2A4D"/>
    <w:rsid w:val="009F6574"/>
    <w:rsid w:val="009F6D84"/>
    <w:rsid w:val="009F7EE2"/>
    <w:rsid w:val="00A00828"/>
    <w:rsid w:val="00A03290"/>
    <w:rsid w:val="00A0387E"/>
    <w:rsid w:val="00A04F15"/>
    <w:rsid w:val="00A05BFD"/>
    <w:rsid w:val="00A07490"/>
    <w:rsid w:val="00A077F3"/>
    <w:rsid w:val="00A10655"/>
    <w:rsid w:val="00A10EB8"/>
    <w:rsid w:val="00A12B64"/>
    <w:rsid w:val="00A1566E"/>
    <w:rsid w:val="00A16D7E"/>
    <w:rsid w:val="00A16E91"/>
    <w:rsid w:val="00A22B63"/>
    <w:rsid w:val="00A22C38"/>
    <w:rsid w:val="00A25193"/>
    <w:rsid w:val="00A26E80"/>
    <w:rsid w:val="00A277A8"/>
    <w:rsid w:val="00A3191E"/>
    <w:rsid w:val="00A31AE8"/>
    <w:rsid w:val="00A33A52"/>
    <w:rsid w:val="00A36F1E"/>
    <w:rsid w:val="00A37282"/>
    <w:rsid w:val="00A3739D"/>
    <w:rsid w:val="00A37DDA"/>
    <w:rsid w:val="00A41298"/>
    <w:rsid w:val="00A4154F"/>
    <w:rsid w:val="00A4169F"/>
    <w:rsid w:val="00A44502"/>
    <w:rsid w:val="00A45005"/>
    <w:rsid w:val="00A456D3"/>
    <w:rsid w:val="00A4639A"/>
    <w:rsid w:val="00A46B93"/>
    <w:rsid w:val="00A55815"/>
    <w:rsid w:val="00A567EE"/>
    <w:rsid w:val="00A57AC8"/>
    <w:rsid w:val="00A63831"/>
    <w:rsid w:val="00A63A00"/>
    <w:rsid w:val="00A7010D"/>
    <w:rsid w:val="00A70DD8"/>
    <w:rsid w:val="00A71B7A"/>
    <w:rsid w:val="00A726DA"/>
    <w:rsid w:val="00A7279C"/>
    <w:rsid w:val="00A74D9D"/>
    <w:rsid w:val="00A76790"/>
    <w:rsid w:val="00A8108E"/>
    <w:rsid w:val="00A81720"/>
    <w:rsid w:val="00A829CA"/>
    <w:rsid w:val="00A85D0C"/>
    <w:rsid w:val="00A90A9C"/>
    <w:rsid w:val="00A922F0"/>
    <w:rsid w:val="00A925EC"/>
    <w:rsid w:val="00A929AA"/>
    <w:rsid w:val="00A92A01"/>
    <w:rsid w:val="00A92B6B"/>
    <w:rsid w:val="00A963A7"/>
    <w:rsid w:val="00A97EAF"/>
    <w:rsid w:val="00AA1E59"/>
    <w:rsid w:val="00AA2531"/>
    <w:rsid w:val="00AA4A64"/>
    <w:rsid w:val="00AA541E"/>
    <w:rsid w:val="00AB10E9"/>
    <w:rsid w:val="00AB6AAC"/>
    <w:rsid w:val="00AB7E95"/>
    <w:rsid w:val="00AC04CF"/>
    <w:rsid w:val="00AC1B5D"/>
    <w:rsid w:val="00AD0DA4"/>
    <w:rsid w:val="00AD1B84"/>
    <w:rsid w:val="00AD3B51"/>
    <w:rsid w:val="00AD4169"/>
    <w:rsid w:val="00AD5F30"/>
    <w:rsid w:val="00AD7229"/>
    <w:rsid w:val="00AD78C8"/>
    <w:rsid w:val="00AD7C7B"/>
    <w:rsid w:val="00AE2207"/>
    <w:rsid w:val="00AE2321"/>
    <w:rsid w:val="00AE25C6"/>
    <w:rsid w:val="00AE306C"/>
    <w:rsid w:val="00AE4D22"/>
    <w:rsid w:val="00AE689F"/>
    <w:rsid w:val="00AE7CD4"/>
    <w:rsid w:val="00AF28C1"/>
    <w:rsid w:val="00AF7ACC"/>
    <w:rsid w:val="00B00979"/>
    <w:rsid w:val="00B01CB2"/>
    <w:rsid w:val="00B02EF1"/>
    <w:rsid w:val="00B02FC5"/>
    <w:rsid w:val="00B0378E"/>
    <w:rsid w:val="00B04B66"/>
    <w:rsid w:val="00B071F2"/>
    <w:rsid w:val="00B07C97"/>
    <w:rsid w:val="00B11C67"/>
    <w:rsid w:val="00B123CA"/>
    <w:rsid w:val="00B134F9"/>
    <w:rsid w:val="00B14257"/>
    <w:rsid w:val="00B15754"/>
    <w:rsid w:val="00B16002"/>
    <w:rsid w:val="00B2046E"/>
    <w:rsid w:val="00B20E8B"/>
    <w:rsid w:val="00B2303E"/>
    <w:rsid w:val="00B243D8"/>
    <w:rsid w:val="00B254CF"/>
    <w:rsid w:val="00B257E1"/>
    <w:rsid w:val="00B2599A"/>
    <w:rsid w:val="00B27AC4"/>
    <w:rsid w:val="00B30CCE"/>
    <w:rsid w:val="00B329E8"/>
    <w:rsid w:val="00B343CC"/>
    <w:rsid w:val="00B36168"/>
    <w:rsid w:val="00B3721D"/>
    <w:rsid w:val="00B42993"/>
    <w:rsid w:val="00B42F39"/>
    <w:rsid w:val="00B447F0"/>
    <w:rsid w:val="00B45A2F"/>
    <w:rsid w:val="00B45E33"/>
    <w:rsid w:val="00B46FCD"/>
    <w:rsid w:val="00B5084A"/>
    <w:rsid w:val="00B520BB"/>
    <w:rsid w:val="00B5288E"/>
    <w:rsid w:val="00B52F56"/>
    <w:rsid w:val="00B53EF2"/>
    <w:rsid w:val="00B55B64"/>
    <w:rsid w:val="00B55F93"/>
    <w:rsid w:val="00B55F96"/>
    <w:rsid w:val="00B5702F"/>
    <w:rsid w:val="00B606A1"/>
    <w:rsid w:val="00B614F7"/>
    <w:rsid w:val="00B61B26"/>
    <w:rsid w:val="00B626AB"/>
    <w:rsid w:val="00B63F0C"/>
    <w:rsid w:val="00B6427B"/>
    <w:rsid w:val="00B64D7A"/>
    <w:rsid w:val="00B65288"/>
    <w:rsid w:val="00B65E6B"/>
    <w:rsid w:val="00B675B2"/>
    <w:rsid w:val="00B70BEA"/>
    <w:rsid w:val="00B72D60"/>
    <w:rsid w:val="00B7450C"/>
    <w:rsid w:val="00B74CA2"/>
    <w:rsid w:val="00B7660D"/>
    <w:rsid w:val="00B77859"/>
    <w:rsid w:val="00B8017E"/>
    <w:rsid w:val="00B8103F"/>
    <w:rsid w:val="00B81261"/>
    <w:rsid w:val="00B8223E"/>
    <w:rsid w:val="00B832AE"/>
    <w:rsid w:val="00B83FA9"/>
    <w:rsid w:val="00B86678"/>
    <w:rsid w:val="00B90D29"/>
    <w:rsid w:val="00B92F9B"/>
    <w:rsid w:val="00B941B3"/>
    <w:rsid w:val="00B96513"/>
    <w:rsid w:val="00B96CD4"/>
    <w:rsid w:val="00BA1D47"/>
    <w:rsid w:val="00BA2574"/>
    <w:rsid w:val="00BA66F0"/>
    <w:rsid w:val="00BB15DE"/>
    <w:rsid w:val="00BB1807"/>
    <w:rsid w:val="00BB2239"/>
    <w:rsid w:val="00BB2AE7"/>
    <w:rsid w:val="00BB4DEF"/>
    <w:rsid w:val="00BB5C77"/>
    <w:rsid w:val="00BB6464"/>
    <w:rsid w:val="00BB6AE4"/>
    <w:rsid w:val="00BC1BB8"/>
    <w:rsid w:val="00BC265F"/>
    <w:rsid w:val="00BC2797"/>
    <w:rsid w:val="00BC7B0A"/>
    <w:rsid w:val="00BD6C72"/>
    <w:rsid w:val="00BD7FE1"/>
    <w:rsid w:val="00BE08AB"/>
    <w:rsid w:val="00BE2895"/>
    <w:rsid w:val="00BE37CA"/>
    <w:rsid w:val="00BE5E3F"/>
    <w:rsid w:val="00BE6144"/>
    <w:rsid w:val="00BE635A"/>
    <w:rsid w:val="00BE750C"/>
    <w:rsid w:val="00BF17E9"/>
    <w:rsid w:val="00BF1BE3"/>
    <w:rsid w:val="00BF26A2"/>
    <w:rsid w:val="00BF2ABB"/>
    <w:rsid w:val="00BF4957"/>
    <w:rsid w:val="00BF4EC6"/>
    <w:rsid w:val="00BF5099"/>
    <w:rsid w:val="00BF6965"/>
    <w:rsid w:val="00C00A8B"/>
    <w:rsid w:val="00C017A6"/>
    <w:rsid w:val="00C044EF"/>
    <w:rsid w:val="00C04CD4"/>
    <w:rsid w:val="00C06FE9"/>
    <w:rsid w:val="00C07719"/>
    <w:rsid w:val="00C10B5E"/>
    <w:rsid w:val="00C10F10"/>
    <w:rsid w:val="00C1353F"/>
    <w:rsid w:val="00C13FC4"/>
    <w:rsid w:val="00C15D4D"/>
    <w:rsid w:val="00C175DC"/>
    <w:rsid w:val="00C22C15"/>
    <w:rsid w:val="00C27FFE"/>
    <w:rsid w:val="00C30171"/>
    <w:rsid w:val="00C309D8"/>
    <w:rsid w:val="00C36C35"/>
    <w:rsid w:val="00C43519"/>
    <w:rsid w:val="00C43EBE"/>
    <w:rsid w:val="00C45263"/>
    <w:rsid w:val="00C458E2"/>
    <w:rsid w:val="00C45983"/>
    <w:rsid w:val="00C459BC"/>
    <w:rsid w:val="00C51537"/>
    <w:rsid w:val="00C52689"/>
    <w:rsid w:val="00C52AD8"/>
    <w:rsid w:val="00C52BC3"/>
    <w:rsid w:val="00C54091"/>
    <w:rsid w:val="00C54EB6"/>
    <w:rsid w:val="00C60B7C"/>
    <w:rsid w:val="00C61AFA"/>
    <w:rsid w:val="00C61D64"/>
    <w:rsid w:val="00C62099"/>
    <w:rsid w:val="00C62A34"/>
    <w:rsid w:val="00C64694"/>
    <w:rsid w:val="00C64EA3"/>
    <w:rsid w:val="00C65243"/>
    <w:rsid w:val="00C71648"/>
    <w:rsid w:val="00C72867"/>
    <w:rsid w:val="00C72BA2"/>
    <w:rsid w:val="00C730E0"/>
    <w:rsid w:val="00C75E81"/>
    <w:rsid w:val="00C811AE"/>
    <w:rsid w:val="00C814B0"/>
    <w:rsid w:val="00C81F19"/>
    <w:rsid w:val="00C83BB6"/>
    <w:rsid w:val="00C86609"/>
    <w:rsid w:val="00C9051A"/>
    <w:rsid w:val="00C90A1F"/>
    <w:rsid w:val="00C92B4C"/>
    <w:rsid w:val="00C930EF"/>
    <w:rsid w:val="00C943CD"/>
    <w:rsid w:val="00C94AF2"/>
    <w:rsid w:val="00C954F6"/>
    <w:rsid w:val="00C95601"/>
    <w:rsid w:val="00CA2FB0"/>
    <w:rsid w:val="00CA36A0"/>
    <w:rsid w:val="00CA5C87"/>
    <w:rsid w:val="00CA6BAF"/>
    <w:rsid w:val="00CA6BC5"/>
    <w:rsid w:val="00CA79A4"/>
    <w:rsid w:val="00CA7DC2"/>
    <w:rsid w:val="00CB02D5"/>
    <w:rsid w:val="00CB1326"/>
    <w:rsid w:val="00CB1C9D"/>
    <w:rsid w:val="00CB2A79"/>
    <w:rsid w:val="00CC138B"/>
    <w:rsid w:val="00CC2FF8"/>
    <w:rsid w:val="00CC571B"/>
    <w:rsid w:val="00CC5ABA"/>
    <w:rsid w:val="00CC61CD"/>
    <w:rsid w:val="00CC66EA"/>
    <w:rsid w:val="00CC6C02"/>
    <w:rsid w:val="00CC737B"/>
    <w:rsid w:val="00CD2BA2"/>
    <w:rsid w:val="00CD3085"/>
    <w:rsid w:val="00CD41D6"/>
    <w:rsid w:val="00CD5011"/>
    <w:rsid w:val="00CD718C"/>
    <w:rsid w:val="00CD7E47"/>
    <w:rsid w:val="00CE0800"/>
    <w:rsid w:val="00CE0930"/>
    <w:rsid w:val="00CE0C8A"/>
    <w:rsid w:val="00CE5C8D"/>
    <w:rsid w:val="00CE640F"/>
    <w:rsid w:val="00CE76BC"/>
    <w:rsid w:val="00CF1103"/>
    <w:rsid w:val="00CF410A"/>
    <w:rsid w:val="00CF540E"/>
    <w:rsid w:val="00CF5EFC"/>
    <w:rsid w:val="00CF609D"/>
    <w:rsid w:val="00CF627A"/>
    <w:rsid w:val="00D02D65"/>
    <w:rsid w:val="00D02F07"/>
    <w:rsid w:val="00D05CB8"/>
    <w:rsid w:val="00D11970"/>
    <w:rsid w:val="00D11C97"/>
    <w:rsid w:val="00D12729"/>
    <w:rsid w:val="00D15D88"/>
    <w:rsid w:val="00D161B2"/>
    <w:rsid w:val="00D245A8"/>
    <w:rsid w:val="00D2496C"/>
    <w:rsid w:val="00D2699B"/>
    <w:rsid w:val="00D27D49"/>
    <w:rsid w:val="00D27EBE"/>
    <w:rsid w:val="00D36A49"/>
    <w:rsid w:val="00D45A1C"/>
    <w:rsid w:val="00D46F91"/>
    <w:rsid w:val="00D47DC7"/>
    <w:rsid w:val="00D517C6"/>
    <w:rsid w:val="00D52CA5"/>
    <w:rsid w:val="00D532F2"/>
    <w:rsid w:val="00D53C11"/>
    <w:rsid w:val="00D57073"/>
    <w:rsid w:val="00D66CA6"/>
    <w:rsid w:val="00D71935"/>
    <w:rsid w:val="00D71D84"/>
    <w:rsid w:val="00D72464"/>
    <w:rsid w:val="00D72A57"/>
    <w:rsid w:val="00D7371A"/>
    <w:rsid w:val="00D73908"/>
    <w:rsid w:val="00D74CD4"/>
    <w:rsid w:val="00D75EAA"/>
    <w:rsid w:val="00D760DE"/>
    <w:rsid w:val="00D768EB"/>
    <w:rsid w:val="00D76F16"/>
    <w:rsid w:val="00D77B60"/>
    <w:rsid w:val="00D80414"/>
    <w:rsid w:val="00D80594"/>
    <w:rsid w:val="00D81BB1"/>
    <w:rsid w:val="00D81E17"/>
    <w:rsid w:val="00D82D1E"/>
    <w:rsid w:val="00D82E4B"/>
    <w:rsid w:val="00D832D9"/>
    <w:rsid w:val="00D90F00"/>
    <w:rsid w:val="00D930D2"/>
    <w:rsid w:val="00D96804"/>
    <w:rsid w:val="00D975C0"/>
    <w:rsid w:val="00DA1847"/>
    <w:rsid w:val="00DA233B"/>
    <w:rsid w:val="00DA5285"/>
    <w:rsid w:val="00DA7C9C"/>
    <w:rsid w:val="00DB10D0"/>
    <w:rsid w:val="00DB1311"/>
    <w:rsid w:val="00DB191D"/>
    <w:rsid w:val="00DB2147"/>
    <w:rsid w:val="00DB25BB"/>
    <w:rsid w:val="00DB3036"/>
    <w:rsid w:val="00DB4F91"/>
    <w:rsid w:val="00DB6D0A"/>
    <w:rsid w:val="00DB7B0C"/>
    <w:rsid w:val="00DC06BE"/>
    <w:rsid w:val="00DC1968"/>
    <w:rsid w:val="00DC1F0F"/>
    <w:rsid w:val="00DC262B"/>
    <w:rsid w:val="00DC3117"/>
    <w:rsid w:val="00DC4E2A"/>
    <w:rsid w:val="00DC5DD9"/>
    <w:rsid w:val="00DC6189"/>
    <w:rsid w:val="00DC6D2D"/>
    <w:rsid w:val="00DD0E9F"/>
    <w:rsid w:val="00DD37D4"/>
    <w:rsid w:val="00DD4E59"/>
    <w:rsid w:val="00DD52DD"/>
    <w:rsid w:val="00DD542C"/>
    <w:rsid w:val="00DD607E"/>
    <w:rsid w:val="00DD6D79"/>
    <w:rsid w:val="00DE0A02"/>
    <w:rsid w:val="00DE33B5"/>
    <w:rsid w:val="00DE3710"/>
    <w:rsid w:val="00DE5477"/>
    <w:rsid w:val="00DE5E18"/>
    <w:rsid w:val="00DF0487"/>
    <w:rsid w:val="00DF0517"/>
    <w:rsid w:val="00DF5EA4"/>
    <w:rsid w:val="00DF7252"/>
    <w:rsid w:val="00DF7A71"/>
    <w:rsid w:val="00DF7C55"/>
    <w:rsid w:val="00E00109"/>
    <w:rsid w:val="00E00EC5"/>
    <w:rsid w:val="00E01998"/>
    <w:rsid w:val="00E02681"/>
    <w:rsid w:val="00E02792"/>
    <w:rsid w:val="00E028C5"/>
    <w:rsid w:val="00E034D8"/>
    <w:rsid w:val="00E04072"/>
    <w:rsid w:val="00E04CC0"/>
    <w:rsid w:val="00E11070"/>
    <w:rsid w:val="00E11135"/>
    <w:rsid w:val="00E136CD"/>
    <w:rsid w:val="00E14D55"/>
    <w:rsid w:val="00E152A4"/>
    <w:rsid w:val="00E1543F"/>
    <w:rsid w:val="00E154B7"/>
    <w:rsid w:val="00E15816"/>
    <w:rsid w:val="00E160D5"/>
    <w:rsid w:val="00E236EE"/>
    <w:rsid w:val="00E239FF"/>
    <w:rsid w:val="00E24FCF"/>
    <w:rsid w:val="00E25A65"/>
    <w:rsid w:val="00E27D7B"/>
    <w:rsid w:val="00E30556"/>
    <w:rsid w:val="00E30981"/>
    <w:rsid w:val="00E310D3"/>
    <w:rsid w:val="00E33136"/>
    <w:rsid w:val="00E34A55"/>
    <w:rsid w:val="00E34D7C"/>
    <w:rsid w:val="00E34DEA"/>
    <w:rsid w:val="00E36B08"/>
    <w:rsid w:val="00E3723D"/>
    <w:rsid w:val="00E37DEC"/>
    <w:rsid w:val="00E42A06"/>
    <w:rsid w:val="00E4441C"/>
    <w:rsid w:val="00E44C89"/>
    <w:rsid w:val="00E457A6"/>
    <w:rsid w:val="00E473C5"/>
    <w:rsid w:val="00E50581"/>
    <w:rsid w:val="00E53490"/>
    <w:rsid w:val="00E548EA"/>
    <w:rsid w:val="00E54F9E"/>
    <w:rsid w:val="00E57055"/>
    <w:rsid w:val="00E60B24"/>
    <w:rsid w:val="00E61BA2"/>
    <w:rsid w:val="00E63864"/>
    <w:rsid w:val="00E63E0A"/>
    <w:rsid w:val="00E6403F"/>
    <w:rsid w:val="00E67E03"/>
    <w:rsid w:val="00E70F60"/>
    <w:rsid w:val="00E74C27"/>
    <w:rsid w:val="00E75451"/>
    <w:rsid w:val="00E75EA9"/>
    <w:rsid w:val="00E76AD6"/>
    <w:rsid w:val="00E770C4"/>
    <w:rsid w:val="00E83CEF"/>
    <w:rsid w:val="00E84C5A"/>
    <w:rsid w:val="00E861DB"/>
    <w:rsid w:val="00E86E4F"/>
    <w:rsid w:val="00E87BF8"/>
    <w:rsid w:val="00E908F1"/>
    <w:rsid w:val="00E9198F"/>
    <w:rsid w:val="00E91C70"/>
    <w:rsid w:val="00E93406"/>
    <w:rsid w:val="00E956C5"/>
    <w:rsid w:val="00E95C39"/>
    <w:rsid w:val="00EA2C39"/>
    <w:rsid w:val="00EA350D"/>
    <w:rsid w:val="00EA46DB"/>
    <w:rsid w:val="00EB0A3C"/>
    <w:rsid w:val="00EB0A96"/>
    <w:rsid w:val="00EB70CD"/>
    <w:rsid w:val="00EB77F9"/>
    <w:rsid w:val="00EB7ACC"/>
    <w:rsid w:val="00EC4F5D"/>
    <w:rsid w:val="00EC5769"/>
    <w:rsid w:val="00EC73A2"/>
    <w:rsid w:val="00EC772C"/>
    <w:rsid w:val="00EC787C"/>
    <w:rsid w:val="00EC79B5"/>
    <w:rsid w:val="00EC7D00"/>
    <w:rsid w:val="00EC7EDC"/>
    <w:rsid w:val="00ED0304"/>
    <w:rsid w:val="00ED0D3F"/>
    <w:rsid w:val="00ED406B"/>
    <w:rsid w:val="00ED4FF7"/>
    <w:rsid w:val="00ED5B7B"/>
    <w:rsid w:val="00EE38FA"/>
    <w:rsid w:val="00EE3E2C"/>
    <w:rsid w:val="00EE4055"/>
    <w:rsid w:val="00EE462B"/>
    <w:rsid w:val="00EE5D23"/>
    <w:rsid w:val="00EE750D"/>
    <w:rsid w:val="00EE7953"/>
    <w:rsid w:val="00EE7E20"/>
    <w:rsid w:val="00EF34C4"/>
    <w:rsid w:val="00EF3CA4"/>
    <w:rsid w:val="00EF49A8"/>
    <w:rsid w:val="00EF7859"/>
    <w:rsid w:val="00F014DA"/>
    <w:rsid w:val="00F02591"/>
    <w:rsid w:val="00F07290"/>
    <w:rsid w:val="00F07B65"/>
    <w:rsid w:val="00F10638"/>
    <w:rsid w:val="00F12F1A"/>
    <w:rsid w:val="00F149EE"/>
    <w:rsid w:val="00F272EA"/>
    <w:rsid w:val="00F30AE1"/>
    <w:rsid w:val="00F31E87"/>
    <w:rsid w:val="00F35B69"/>
    <w:rsid w:val="00F36949"/>
    <w:rsid w:val="00F422C1"/>
    <w:rsid w:val="00F43199"/>
    <w:rsid w:val="00F45E4E"/>
    <w:rsid w:val="00F461A7"/>
    <w:rsid w:val="00F47A1F"/>
    <w:rsid w:val="00F536C0"/>
    <w:rsid w:val="00F53D8B"/>
    <w:rsid w:val="00F546CA"/>
    <w:rsid w:val="00F568CA"/>
    <w:rsid w:val="00F5694E"/>
    <w:rsid w:val="00F5696E"/>
    <w:rsid w:val="00F57348"/>
    <w:rsid w:val="00F60EFF"/>
    <w:rsid w:val="00F64FA5"/>
    <w:rsid w:val="00F65586"/>
    <w:rsid w:val="00F67D2D"/>
    <w:rsid w:val="00F70EFC"/>
    <w:rsid w:val="00F7425D"/>
    <w:rsid w:val="00F858F2"/>
    <w:rsid w:val="00F860CC"/>
    <w:rsid w:val="00F93E71"/>
    <w:rsid w:val="00F94398"/>
    <w:rsid w:val="00F96702"/>
    <w:rsid w:val="00FA2DF3"/>
    <w:rsid w:val="00FA579F"/>
    <w:rsid w:val="00FA62F5"/>
    <w:rsid w:val="00FA65D0"/>
    <w:rsid w:val="00FA6C4A"/>
    <w:rsid w:val="00FA7F47"/>
    <w:rsid w:val="00FB1C07"/>
    <w:rsid w:val="00FB2B56"/>
    <w:rsid w:val="00FB2F9D"/>
    <w:rsid w:val="00FB3597"/>
    <w:rsid w:val="00FB546E"/>
    <w:rsid w:val="00FB55D5"/>
    <w:rsid w:val="00FB56FB"/>
    <w:rsid w:val="00FC12BF"/>
    <w:rsid w:val="00FC14AF"/>
    <w:rsid w:val="00FC1C1E"/>
    <w:rsid w:val="00FC2C60"/>
    <w:rsid w:val="00FC2CBB"/>
    <w:rsid w:val="00FC36F0"/>
    <w:rsid w:val="00FC7A11"/>
    <w:rsid w:val="00FD2204"/>
    <w:rsid w:val="00FD3E6F"/>
    <w:rsid w:val="00FD51B9"/>
    <w:rsid w:val="00FD5849"/>
    <w:rsid w:val="00FD5ABC"/>
    <w:rsid w:val="00FE03E4"/>
    <w:rsid w:val="00FE23AD"/>
    <w:rsid w:val="00FE2A39"/>
    <w:rsid w:val="00FE4F68"/>
    <w:rsid w:val="00FE5107"/>
    <w:rsid w:val="00FE73C2"/>
    <w:rsid w:val="00FF04FE"/>
    <w:rsid w:val="00FF2916"/>
    <w:rsid w:val="00FF39CF"/>
    <w:rsid w:val="00FF6F32"/>
    <w:rsid w:val="00FF7159"/>
    <w:rsid w:val="00FF7580"/>
    <w:rsid w:val="00FF792F"/>
    <w:rsid w:val="00FF7A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7E30C9F6"/>
  <w15:docId w15:val="{B790BB2D-4E6B-4D19-B804-034E001B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1F2C24"/>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table" w:styleId="PlainTable4">
    <w:name w:val="Plain Table 4"/>
    <w:basedOn w:val="TableNormal"/>
    <w:uiPriority w:val="44"/>
    <w:rsid w:val="00482D1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7632F1"/>
    <w:pPr>
      <w:spacing w:after="0"/>
    </w:pPr>
    <w:rPr>
      <w:sz w:val="20"/>
      <w:szCs w:val="20"/>
    </w:rPr>
  </w:style>
  <w:style w:type="character" w:customStyle="1" w:styleId="FootnoteTextChar">
    <w:name w:val="Footnote Text Char"/>
    <w:basedOn w:val="DefaultParagraphFont"/>
    <w:link w:val="FootnoteText"/>
    <w:uiPriority w:val="99"/>
    <w:semiHidden/>
    <w:rsid w:val="007632F1"/>
    <w:rPr>
      <w:rFonts w:ascii="Lato" w:hAnsi="Lato"/>
      <w:sz w:val="20"/>
      <w:szCs w:val="20"/>
    </w:rPr>
  </w:style>
  <w:style w:type="character" w:styleId="FootnoteReference">
    <w:name w:val="footnote reference"/>
    <w:basedOn w:val="DefaultParagraphFont"/>
    <w:uiPriority w:val="99"/>
    <w:semiHidden/>
    <w:unhideWhenUsed/>
    <w:rsid w:val="007632F1"/>
    <w:rPr>
      <w:vertAlign w:val="superscript"/>
    </w:rPr>
  </w:style>
  <w:style w:type="character" w:styleId="CommentReference">
    <w:name w:val="annotation reference"/>
    <w:basedOn w:val="DefaultParagraphFont"/>
    <w:uiPriority w:val="99"/>
    <w:semiHidden/>
    <w:unhideWhenUsed/>
    <w:rsid w:val="00F422C1"/>
    <w:rPr>
      <w:sz w:val="16"/>
      <w:szCs w:val="16"/>
    </w:rPr>
  </w:style>
  <w:style w:type="paragraph" w:styleId="CommentText">
    <w:name w:val="annotation text"/>
    <w:basedOn w:val="Normal"/>
    <w:link w:val="CommentTextChar"/>
    <w:uiPriority w:val="99"/>
    <w:semiHidden/>
    <w:unhideWhenUsed/>
    <w:rsid w:val="00F422C1"/>
    <w:rPr>
      <w:sz w:val="20"/>
      <w:szCs w:val="20"/>
    </w:rPr>
  </w:style>
  <w:style w:type="character" w:customStyle="1" w:styleId="CommentTextChar">
    <w:name w:val="Comment Text Char"/>
    <w:basedOn w:val="DefaultParagraphFont"/>
    <w:link w:val="CommentText"/>
    <w:uiPriority w:val="99"/>
    <w:semiHidden/>
    <w:rsid w:val="00F422C1"/>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F422C1"/>
    <w:rPr>
      <w:b/>
      <w:bCs/>
    </w:rPr>
  </w:style>
  <w:style w:type="character" w:customStyle="1" w:styleId="CommentSubjectChar">
    <w:name w:val="Comment Subject Char"/>
    <w:basedOn w:val="CommentTextChar"/>
    <w:link w:val="CommentSubject"/>
    <w:uiPriority w:val="99"/>
    <w:semiHidden/>
    <w:rsid w:val="00F422C1"/>
    <w:rPr>
      <w:rFonts w:ascii="Lato" w:hAnsi="Lato"/>
      <w:b/>
      <w:bCs/>
      <w:sz w:val="20"/>
      <w:szCs w:val="20"/>
    </w:rPr>
  </w:style>
  <w:style w:type="paragraph" w:styleId="Revision">
    <w:name w:val="Revision"/>
    <w:hidden/>
    <w:uiPriority w:val="99"/>
    <w:semiHidden/>
    <w:rsid w:val="00632449"/>
    <w:pPr>
      <w:spacing w:after="0"/>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3185">
      <w:bodyDiv w:val="1"/>
      <w:marLeft w:val="0"/>
      <w:marRight w:val="0"/>
      <w:marTop w:val="0"/>
      <w:marBottom w:val="0"/>
      <w:divBdr>
        <w:top w:val="none" w:sz="0" w:space="0" w:color="auto"/>
        <w:left w:val="none" w:sz="0" w:space="0" w:color="auto"/>
        <w:bottom w:val="none" w:sz="0" w:space="0" w:color="auto"/>
        <w:right w:val="none" w:sz="0" w:space="0" w:color="auto"/>
      </w:divBdr>
    </w:div>
    <w:div w:id="35932648">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55657989">
      <w:bodyDiv w:val="1"/>
      <w:marLeft w:val="0"/>
      <w:marRight w:val="0"/>
      <w:marTop w:val="0"/>
      <w:marBottom w:val="0"/>
      <w:divBdr>
        <w:top w:val="none" w:sz="0" w:space="0" w:color="auto"/>
        <w:left w:val="none" w:sz="0" w:space="0" w:color="auto"/>
        <w:bottom w:val="none" w:sz="0" w:space="0" w:color="auto"/>
        <w:right w:val="none" w:sz="0" w:space="0" w:color="auto"/>
      </w:divBdr>
    </w:div>
    <w:div w:id="322197383">
      <w:bodyDiv w:val="1"/>
      <w:marLeft w:val="0"/>
      <w:marRight w:val="0"/>
      <w:marTop w:val="0"/>
      <w:marBottom w:val="0"/>
      <w:divBdr>
        <w:top w:val="none" w:sz="0" w:space="0" w:color="auto"/>
        <w:left w:val="none" w:sz="0" w:space="0" w:color="auto"/>
        <w:bottom w:val="none" w:sz="0" w:space="0" w:color="auto"/>
        <w:right w:val="none" w:sz="0" w:space="0" w:color="auto"/>
      </w:divBdr>
    </w:div>
    <w:div w:id="515384822">
      <w:bodyDiv w:val="1"/>
      <w:marLeft w:val="0"/>
      <w:marRight w:val="0"/>
      <w:marTop w:val="0"/>
      <w:marBottom w:val="0"/>
      <w:divBdr>
        <w:top w:val="none" w:sz="0" w:space="0" w:color="auto"/>
        <w:left w:val="none" w:sz="0" w:space="0" w:color="auto"/>
        <w:bottom w:val="none" w:sz="0" w:space="0" w:color="auto"/>
        <w:right w:val="none" w:sz="0" w:space="0" w:color="auto"/>
      </w:divBdr>
    </w:div>
    <w:div w:id="643389988">
      <w:bodyDiv w:val="1"/>
      <w:marLeft w:val="0"/>
      <w:marRight w:val="0"/>
      <w:marTop w:val="0"/>
      <w:marBottom w:val="0"/>
      <w:divBdr>
        <w:top w:val="none" w:sz="0" w:space="0" w:color="auto"/>
        <w:left w:val="none" w:sz="0" w:space="0" w:color="auto"/>
        <w:bottom w:val="none" w:sz="0" w:space="0" w:color="auto"/>
        <w:right w:val="none" w:sz="0" w:space="0" w:color="auto"/>
      </w:divBdr>
    </w:div>
    <w:div w:id="662395597">
      <w:bodyDiv w:val="1"/>
      <w:marLeft w:val="0"/>
      <w:marRight w:val="0"/>
      <w:marTop w:val="0"/>
      <w:marBottom w:val="0"/>
      <w:divBdr>
        <w:top w:val="none" w:sz="0" w:space="0" w:color="auto"/>
        <w:left w:val="none" w:sz="0" w:space="0" w:color="auto"/>
        <w:bottom w:val="none" w:sz="0" w:space="0" w:color="auto"/>
        <w:right w:val="none" w:sz="0" w:space="0" w:color="auto"/>
      </w:divBdr>
    </w:div>
    <w:div w:id="881551336">
      <w:bodyDiv w:val="1"/>
      <w:marLeft w:val="0"/>
      <w:marRight w:val="0"/>
      <w:marTop w:val="0"/>
      <w:marBottom w:val="0"/>
      <w:divBdr>
        <w:top w:val="none" w:sz="0" w:space="0" w:color="auto"/>
        <w:left w:val="none" w:sz="0" w:space="0" w:color="auto"/>
        <w:bottom w:val="none" w:sz="0" w:space="0" w:color="auto"/>
        <w:right w:val="none" w:sz="0" w:space="0" w:color="auto"/>
      </w:divBdr>
    </w:div>
    <w:div w:id="1014839982">
      <w:bodyDiv w:val="1"/>
      <w:marLeft w:val="0"/>
      <w:marRight w:val="0"/>
      <w:marTop w:val="0"/>
      <w:marBottom w:val="0"/>
      <w:divBdr>
        <w:top w:val="none" w:sz="0" w:space="0" w:color="auto"/>
        <w:left w:val="none" w:sz="0" w:space="0" w:color="auto"/>
        <w:bottom w:val="none" w:sz="0" w:space="0" w:color="auto"/>
        <w:right w:val="none" w:sz="0" w:space="0" w:color="auto"/>
      </w:divBdr>
    </w:div>
    <w:div w:id="1014845395">
      <w:bodyDiv w:val="1"/>
      <w:marLeft w:val="0"/>
      <w:marRight w:val="0"/>
      <w:marTop w:val="0"/>
      <w:marBottom w:val="0"/>
      <w:divBdr>
        <w:top w:val="none" w:sz="0" w:space="0" w:color="auto"/>
        <w:left w:val="none" w:sz="0" w:space="0" w:color="auto"/>
        <w:bottom w:val="none" w:sz="0" w:space="0" w:color="auto"/>
        <w:right w:val="none" w:sz="0" w:space="0" w:color="auto"/>
      </w:divBdr>
    </w:div>
    <w:div w:id="1113406973">
      <w:bodyDiv w:val="1"/>
      <w:marLeft w:val="0"/>
      <w:marRight w:val="0"/>
      <w:marTop w:val="0"/>
      <w:marBottom w:val="0"/>
      <w:divBdr>
        <w:top w:val="none" w:sz="0" w:space="0" w:color="auto"/>
        <w:left w:val="none" w:sz="0" w:space="0" w:color="auto"/>
        <w:bottom w:val="none" w:sz="0" w:space="0" w:color="auto"/>
        <w:right w:val="none" w:sz="0" w:space="0" w:color="auto"/>
      </w:divBdr>
    </w:div>
    <w:div w:id="1130591392">
      <w:bodyDiv w:val="1"/>
      <w:marLeft w:val="0"/>
      <w:marRight w:val="0"/>
      <w:marTop w:val="0"/>
      <w:marBottom w:val="0"/>
      <w:divBdr>
        <w:top w:val="none" w:sz="0" w:space="0" w:color="auto"/>
        <w:left w:val="none" w:sz="0" w:space="0" w:color="auto"/>
        <w:bottom w:val="none" w:sz="0" w:space="0" w:color="auto"/>
        <w:right w:val="none" w:sz="0" w:space="0" w:color="auto"/>
      </w:divBdr>
    </w:div>
    <w:div w:id="1157720796">
      <w:bodyDiv w:val="1"/>
      <w:marLeft w:val="0"/>
      <w:marRight w:val="0"/>
      <w:marTop w:val="0"/>
      <w:marBottom w:val="0"/>
      <w:divBdr>
        <w:top w:val="none" w:sz="0" w:space="0" w:color="auto"/>
        <w:left w:val="none" w:sz="0" w:space="0" w:color="auto"/>
        <w:bottom w:val="none" w:sz="0" w:space="0" w:color="auto"/>
        <w:right w:val="none" w:sz="0" w:space="0" w:color="auto"/>
      </w:divBdr>
    </w:div>
    <w:div w:id="1260066482">
      <w:bodyDiv w:val="1"/>
      <w:marLeft w:val="0"/>
      <w:marRight w:val="0"/>
      <w:marTop w:val="0"/>
      <w:marBottom w:val="0"/>
      <w:divBdr>
        <w:top w:val="none" w:sz="0" w:space="0" w:color="auto"/>
        <w:left w:val="none" w:sz="0" w:space="0" w:color="auto"/>
        <w:bottom w:val="none" w:sz="0" w:space="0" w:color="auto"/>
        <w:right w:val="none" w:sz="0" w:space="0" w:color="auto"/>
      </w:divBdr>
    </w:div>
    <w:div w:id="1278223381">
      <w:bodyDiv w:val="1"/>
      <w:marLeft w:val="0"/>
      <w:marRight w:val="0"/>
      <w:marTop w:val="0"/>
      <w:marBottom w:val="0"/>
      <w:divBdr>
        <w:top w:val="none" w:sz="0" w:space="0" w:color="auto"/>
        <w:left w:val="none" w:sz="0" w:space="0" w:color="auto"/>
        <w:bottom w:val="none" w:sz="0" w:space="0" w:color="auto"/>
        <w:right w:val="none" w:sz="0" w:space="0" w:color="auto"/>
      </w:divBdr>
    </w:div>
    <w:div w:id="1331443788">
      <w:bodyDiv w:val="1"/>
      <w:marLeft w:val="0"/>
      <w:marRight w:val="0"/>
      <w:marTop w:val="0"/>
      <w:marBottom w:val="0"/>
      <w:divBdr>
        <w:top w:val="none" w:sz="0" w:space="0" w:color="auto"/>
        <w:left w:val="none" w:sz="0" w:space="0" w:color="auto"/>
        <w:bottom w:val="none" w:sz="0" w:space="0" w:color="auto"/>
        <w:right w:val="none" w:sz="0" w:space="0" w:color="auto"/>
      </w:divBdr>
    </w:div>
    <w:div w:id="1512261896">
      <w:bodyDiv w:val="1"/>
      <w:marLeft w:val="0"/>
      <w:marRight w:val="0"/>
      <w:marTop w:val="0"/>
      <w:marBottom w:val="0"/>
      <w:divBdr>
        <w:top w:val="none" w:sz="0" w:space="0" w:color="auto"/>
        <w:left w:val="none" w:sz="0" w:space="0" w:color="auto"/>
        <w:bottom w:val="none" w:sz="0" w:space="0" w:color="auto"/>
        <w:right w:val="none" w:sz="0" w:space="0" w:color="auto"/>
      </w:divBdr>
    </w:div>
    <w:div w:id="1698039390">
      <w:bodyDiv w:val="1"/>
      <w:marLeft w:val="0"/>
      <w:marRight w:val="0"/>
      <w:marTop w:val="0"/>
      <w:marBottom w:val="0"/>
      <w:divBdr>
        <w:top w:val="none" w:sz="0" w:space="0" w:color="auto"/>
        <w:left w:val="none" w:sz="0" w:space="0" w:color="auto"/>
        <w:bottom w:val="none" w:sz="0" w:space="0" w:color="auto"/>
        <w:right w:val="none" w:sz="0" w:space="0" w:color="auto"/>
      </w:divBdr>
    </w:div>
    <w:div w:id="1715497171">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781562699">
      <w:bodyDiv w:val="1"/>
      <w:marLeft w:val="0"/>
      <w:marRight w:val="0"/>
      <w:marTop w:val="0"/>
      <w:marBottom w:val="0"/>
      <w:divBdr>
        <w:top w:val="none" w:sz="0" w:space="0" w:color="auto"/>
        <w:left w:val="none" w:sz="0" w:space="0" w:color="auto"/>
        <w:bottom w:val="none" w:sz="0" w:space="0" w:color="auto"/>
        <w:right w:val="none" w:sz="0" w:space="0" w:color="auto"/>
      </w:divBdr>
    </w:div>
    <w:div w:id="1788739780">
      <w:bodyDiv w:val="1"/>
      <w:marLeft w:val="0"/>
      <w:marRight w:val="0"/>
      <w:marTop w:val="0"/>
      <w:marBottom w:val="0"/>
      <w:divBdr>
        <w:top w:val="none" w:sz="0" w:space="0" w:color="auto"/>
        <w:left w:val="none" w:sz="0" w:space="0" w:color="auto"/>
        <w:bottom w:val="none" w:sz="0" w:space="0" w:color="auto"/>
        <w:right w:val="none" w:sz="0" w:space="0" w:color="auto"/>
      </w:divBdr>
    </w:div>
    <w:div w:id="1797016855">
      <w:bodyDiv w:val="1"/>
      <w:marLeft w:val="0"/>
      <w:marRight w:val="0"/>
      <w:marTop w:val="0"/>
      <w:marBottom w:val="0"/>
      <w:divBdr>
        <w:top w:val="none" w:sz="0" w:space="0" w:color="auto"/>
        <w:left w:val="none" w:sz="0" w:space="0" w:color="auto"/>
        <w:bottom w:val="none" w:sz="0" w:space="0" w:color="auto"/>
        <w:right w:val="none" w:sz="0" w:space="0" w:color="auto"/>
      </w:divBdr>
    </w:div>
    <w:div w:id="2013792934">
      <w:bodyDiv w:val="1"/>
      <w:marLeft w:val="0"/>
      <w:marRight w:val="0"/>
      <w:marTop w:val="0"/>
      <w:marBottom w:val="0"/>
      <w:divBdr>
        <w:top w:val="none" w:sz="0" w:space="0" w:color="auto"/>
        <w:left w:val="none" w:sz="0" w:space="0" w:color="auto"/>
        <w:bottom w:val="none" w:sz="0" w:space="0" w:color="auto"/>
        <w:right w:val="none" w:sz="0" w:space="0" w:color="auto"/>
      </w:divBdr>
    </w:div>
    <w:div w:id="2015330057">
      <w:bodyDiv w:val="1"/>
      <w:marLeft w:val="0"/>
      <w:marRight w:val="0"/>
      <w:marTop w:val="0"/>
      <w:marBottom w:val="0"/>
      <w:divBdr>
        <w:top w:val="none" w:sz="0" w:space="0" w:color="auto"/>
        <w:left w:val="none" w:sz="0" w:space="0" w:color="auto"/>
        <w:bottom w:val="none" w:sz="0" w:space="0" w:color="auto"/>
        <w:right w:val="none" w:sz="0" w:space="0" w:color="auto"/>
      </w:divBdr>
    </w:div>
    <w:div w:id="2036225730">
      <w:bodyDiv w:val="1"/>
      <w:marLeft w:val="0"/>
      <w:marRight w:val="0"/>
      <w:marTop w:val="0"/>
      <w:marBottom w:val="0"/>
      <w:divBdr>
        <w:top w:val="none" w:sz="0" w:space="0" w:color="auto"/>
        <w:left w:val="none" w:sz="0" w:space="0" w:color="auto"/>
        <w:bottom w:val="none" w:sz="0" w:space="0" w:color="auto"/>
        <w:right w:val="none" w:sz="0" w:space="0" w:color="auto"/>
      </w:divBdr>
    </w:div>
    <w:div w:id="205006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short%20document%20-%20portrait.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2023-12-20T00:00:00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576F7B-C25C-47FA-BD1F-801130AEB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short document - portrait.dotx</Template>
  <TotalTime>12</TotalTime>
  <Pages>2</Pages>
  <Words>1017</Words>
  <Characters>5367</Characters>
  <Application>Microsoft Office Word</Application>
  <DocSecurity>0</DocSecurity>
  <Lines>335</Lines>
  <Paragraphs>218</Paragraphs>
  <ScaleCrop>false</ScaleCrop>
  <HeadingPairs>
    <vt:vector size="2" baseType="variant">
      <vt:variant>
        <vt:lpstr>Title</vt:lpstr>
      </vt:variant>
      <vt:variant>
        <vt:i4>1</vt:i4>
      </vt:variant>
    </vt:vector>
  </HeadingPairs>
  <TitlesOfParts>
    <vt:vector size="1" baseType="lpstr">
      <vt:lpstr>State of the Economy – September Q 2023</vt:lpstr>
    </vt:vector>
  </TitlesOfParts>
  <Company>Industry, Tourism and Trade</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the Economy – September Q 2023</dc:title>
  <dc:creator>Northern Territory Government</dc:creator>
  <cp:lastModifiedBy>Matthew Spratt</cp:lastModifiedBy>
  <cp:revision>4</cp:revision>
  <cp:lastPrinted>2023-12-20T03:25:00Z</cp:lastPrinted>
  <dcterms:created xsi:type="dcterms:W3CDTF">2023-12-20T03:06:00Z</dcterms:created>
  <dcterms:modified xsi:type="dcterms:W3CDTF">2023-12-20T03:25:00Z</dcterms:modified>
</cp:coreProperties>
</file>