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E14D55">
      <w:pPr>
        <w:pStyle w:val="Heading1"/>
        <w:spacing w:before="0" w:after="60"/>
        <w:rPr>
          <w:noProof/>
          <w:lang w:eastAsia="en-AU"/>
        </w:rPr>
      </w:pPr>
      <w:r>
        <w:rPr>
          <w:noProof/>
          <w:lang w:eastAsia="en-AU"/>
        </w:rPr>
        <w:t>Overview</w:t>
      </w:r>
    </w:p>
    <w:p w14:paraId="2187058D" w14:textId="0CA9BFCB" w:rsidR="00367196" w:rsidRPr="003A707E" w:rsidRDefault="00A41298" w:rsidP="001070D5">
      <w:pPr>
        <w:spacing w:after="120"/>
        <w:rPr>
          <w:spacing w:val="-2"/>
          <w:sz w:val="21"/>
          <w:szCs w:val="21"/>
        </w:rPr>
      </w:pPr>
      <w:r w:rsidRPr="003A707E">
        <w:rPr>
          <w:spacing w:val="-2"/>
          <w:sz w:val="21"/>
          <w:szCs w:val="21"/>
        </w:rPr>
        <w:t xml:space="preserve">State final demand (SFD) declined by 0.4% in the March quarter, </w:t>
      </w:r>
      <w:r w:rsidR="00FA65D0" w:rsidRPr="003A707E">
        <w:rPr>
          <w:spacing w:val="-2"/>
          <w:sz w:val="21"/>
          <w:szCs w:val="21"/>
        </w:rPr>
        <w:t xml:space="preserve">with stronger government consumption and investment and housing investment more than offset by weaker household consumption and business investment. </w:t>
      </w:r>
      <w:r w:rsidR="00B55B64" w:rsidRPr="003A707E">
        <w:rPr>
          <w:spacing w:val="-2"/>
          <w:sz w:val="21"/>
          <w:szCs w:val="21"/>
        </w:rPr>
        <w:t>The</w:t>
      </w:r>
      <w:r w:rsidRPr="003A707E">
        <w:rPr>
          <w:spacing w:val="-2"/>
          <w:sz w:val="21"/>
          <w:szCs w:val="21"/>
        </w:rPr>
        <w:t xml:space="preserve"> </w:t>
      </w:r>
      <w:r w:rsidR="001070D5" w:rsidRPr="003A707E">
        <w:rPr>
          <w:spacing w:val="-2"/>
          <w:sz w:val="21"/>
          <w:szCs w:val="21"/>
        </w:rPr>
        <w:t xml:space="preserve">main cause of the </w:t>
      </w:r>
      <w:r w:rsidR="00B55B64" w:rsidRPr="003A707E">
        <w:rPr>
          <w:spacing w:val="-2"/>
          <w:sz w:val="21"/>
          <w:szCs w:val="21"/>
        </w:rPr>
        <w:t>March result was</w:t>
      </w:r>
      <w:r w:rsidRPr="003A707E">
        <w:rPr>
          <w:spacing w:val="-2"/>
          <w:sz w:val="21"/>
          <w:szCs w:val="21"/>
        </w:rPr>
        <w:t xml:space="preserve"> a</w:t>
      </w:r>
      <w:r w:rsidR="005F3818" w:rsidRPr="003A707E">
        <w:rPr>
          <w:spacing w:val="-2"/>
          <w:sz w:val="21"/>
          <w:szCs w:val="21"/>
        </w:rPr>
        <w:t xml:space="preserve"> 5.8</w:t>
      </w:r>
      <w:r w:rsidRPr="003A707E">
        <w:rPr>
          <w:spacing w:val="-2"/>
          <w:sz w:val="21"/>
          <w:szCs w:val="21"/>
        </w:rPr>
        <w:t xml:space="preserve">% decline in </w:t>
      </w:r>
      <w:r w:rsidR="005F3818" w:rsidRPr="003A707E">
        <w:rPr>
          <w:spacing w:val="-2"/>
          <w:sz w:val="21"/>
          <w:szCs w:val="21"/>
        </w:rPr>
        <w:t>business</w:t>
      </w:r>
      <w:r w:rsidRPr="003A707E">
        <w:rPr>
          <w:spacing w:val="-2"/>
          <w:sz w:val="21"/>
          <w:szCs w:val="21"/>
        </w:rPr>
        <w:t xml:space="preserve"> investment, </w:t>
      </w:r>
      <w:r w:rsidR="00824357" w:rsidRPr="003A707E">
        <w:rPr>
          <w:spacing w:val="-2"/>
          <w:sz w:val="21"/>
          <w:szCs w:val="21"/>
        </w:rPr>
        <w:t>which appears to be related to private sector engineering activity, most likely associated with work scheduling and progress for the Santos Barossa project.</w:t>
      </w:r>
      <w:r w:rsidRPr="003A707E">
        <w:rPr>
          <w:spacing w:val="-2"/>
          <w:sz w:val="21"/>
          <w:szCs w:val="21"/>
        </w:rPr>
        <w:t xml:space="preserve"> </w:t>
      </w:r>
      <w:r w:rsidR="00367196" w:rsidRPr="003A707E">
        <w:rPr>
          <w:spacing w:val="-2"/>
          <w:sz w:val="21"/>
          <w:szCs w:val="21"/>
        </w:rPr>
        <w:t xml:space="preserve">SFD growth in the year to March has moderated to </w:t>
      </w:r>
      <w:r w:rsidR="00053312" w:rsidRPr="003A707E">
        <w:rPr>
          <w:spacing w:val="-2"/>
          <w:sz w:val="21"/>
          <w:szCs w:val="21"/>
        </w:rPr>
        <w:t>2.7%</w:t>
      </w:r>
      <w:r w:rsidR="00367196" w:rsidRPr="003A707E">
        <w:rPr>
          <w:spacing w:val="-2"/>
          <w:sz w:val="21"/>
          <w:szCs w:val="21"/>
        </w:rPr>
        <w:t xml:space="preserve"> with household consumption being the sole detractor</w:t>
      </w:r>
      <w:r w:rsidR="00053312" w:rsidRPr="003A707E">
        <w:rPr>
          <w:spacing w:val="-2"/>
          <w:sz w:val="21"/>
          <w:szCs w:val="21"/>
        </w:rPr>
        <w:t xml:space="preserve"> (Chart 1). </w:t>
      </w:r>
      <w:r w:rsidR="00EB7ACC" w:rsidRPr="003A707E">
        <w:rPr>
          <w:bCs/>
          <w:noProof/>
          <w:spacing w:val="-2"/>
          <w:sz w:val="21"/>
          <w:szCs w:val="21"/>
          <w:lang w:eastAsia="en-AU"/>
        </w:rPr>
        <w:t xml:space="preserve">The drop in household consumption in the </w:t>
      </w:r>
      <w:r w:rsidR="00D46F91" w:rsidRPr="003A707E">
        <w:rPr>
          <w:bCs/>
          <w:noProof/>
          <w:spacing w:val="-2"/>
          <w:sz w:val="21"/>
          <w:szCs w:val="21"/>
          <w:lang w:eastAsia="en-AU"/>
        </w:rPr>
        <w:t>year</w:t>
      </w:r>
      <w:r w:rsidR="00EB7ACC" w:rsidRPr="003A707E">
        <w:rPr>
          <w:bCs/>
          <w:noProof/>
          <w:spacing w:val="-2"/>
          <w:sz w:val="21"/>
          <w:szCs w:val="21"/>
          <w:lang w:eastAsia="en-AU"/>
        </w:rPr>
        <w:t xml:space="preserve"> largely reflects </w:t>
      </w:r>
      <w:r w:rsidR="00292F85" w:rsidRPr="003A707E">
        <w:rPr>
          <w:bCs/>
          <w:noProof/>
          <w:spacing w:val="-2"/>
          <w:sz w:val="21"/>
          <w:szCs w:val="21"/>
          <w:lang w:eastAsia="en-AU"/>
        </w:rPr>
        <w:t>a return to pre</w:t>
      </w:r>
      <w:r w:rsidR="00292F85" w:rsidRPr="003A707E">
        <w:rPr>
          <w:bCs/>
          <w:noProof/>
          <w:spacing w:val="-2"/>
          <w:sz w:val="21"/>
          <w:szCs w:val="21"/>
          <w:lang w:eastAsia="en-AU"/>
        </w:rPr>
        <w:noBreakHyphen/>
        <w:t xml:space="preserve">pandemic interstate visitor </w:t>
      </w:r>
      <w:r w:rsidR="00EB7ACC" w:rsidRPr="003A707E">
        <w:rPr>
          <w:bCs/>
          <w:noProof/>
          <w:spacing w:val="-2"/>
          <w:sz w:val="21"/>
          <w:szCs w:val="21"/>
          <w:lang w:eastAsia="en-AU"/>
        </w:rPr>
        <w:t xml:space="preserve">expenditure </w:t>
      </w:r>
      <w:r w:rsidR="00292F85" w:rsidRPr="003A707E">
        <w:rPr>
          <w:bCs/>
          <w:noProof/>
          <w:spacing w:val="-2"/>
          <w:sz w:val="21"/>
          <w:szCs w:val="21"/>
          <w:lang w:eastAsia="en-AU"/>
        </w:rPr>
        <w:t>patterns</w:t>
      </w:r>
      <w:r w:rsidR="00EB7ACC" w:rsidRPr="003A707E">
        <w:rPr>
          <w:bCs/>
          <w:noProof/>
          <w:spacing w:val="-2"/>
          <w:sz w:val="21"/>
          <w:szCs w:val="21"/>
          <w:lang w:eastAsia="en-AU"/>
        </w:rPr>
        <w:t>.</w:t>
      </w:r>
      <w:r w:rsidR="00EB7ACC" w:rsidRPr="003A707E">
        <w:rPr>
          <w:spacing w:val="-2"/>
          <w:sz w:val="21"/>
          <w:szCs w:val="21"/>
        </w:rPr>
        <w:t xml:space="preserve"> </w:t>
      </w:r>
      <w:r w:rsidR="00053312" w:rsidRPr="003A707E">
        <w:rPr>
          <w:spacing w:val="-2"/>
          <w:sz w:val="21"/>
          <w:szCs w:val="21"/>
        </w:rPr>
        <w:t>W</w:t>
      </w:r>
      <w:r w:rsidR="00367196" w:rsidRPr="003A707E">
        <w:rPr>
          <w:spacing w:val="-2"/>
          <w:sz w:val="21"/>
          <w:szCs w:val="21"/>
        </w:rPr>
        <w:t>hile SFD growth</w:t>
      </w:r>
      <w:r w:rsidR="00053312" w:rsidRPr="003A707E">
        <w:rPr>
          <w:spacing w:val="-2"/>
          <w:sz w:val="21"/>
          <w:szCs w:val="21"/>
        </w:rPr>
        <w:t xml:space="preserve"> </w:t>
      </w:r>
      <w:r w:rsidR="00EB7ACC" w:rsidRPr="003A707E">
        <w:rPr>
          <w:spacing w:val="-2"/>
          <w:sz w:val="21"/>
          <w:szCs w:val="21"/>
        </w:rPr>
        <w:t xml:space="preserve">is </w:t>
      </w:r>
      <w:r w:rsidR="00723FFB" w:rsidRPr="003A707E">
        <w:rPr>
          <w:spacing w:val="-2"/>
          <w:sz w:val="21"/>
          <w:szCs w:val="21"/>
        </w:rPr>
        <w:t>moderating,</w:t>
      </w:r>
      <w:r w:rsidR="00053312" w:rsidRPr="003A707E">
        <w:rPr>
          <w:spacing w:val="-2"/>
          <w:sz w:val="21"/>
          <w:szCs w:val="21"/>
        </w:rPr>
        <w:t xml:space="preserve"> </w:t>
      </w:r>
      <w:r w:rsidR="00EB7ACC" w:rsidRPr="003A707E">
        <w:rPr>
          <w:spacing w:val="-2"/>
          <w:sz w:val="21"/>
          <w:szCs w:val="21"/>
        </w:rPr>
        <w:t xml:space="preserve">it has </w:t>
      </w:r>
      <w:r w:rsidR="00053312" w:rsidRPr="003A707E">
        <w:rPr>
          <w:spacing w:val="-2"/>
          <w:sz w:val="21"/>
          <w:szCs w:val="21"/>
        </w:rPr>
        <w:t>increase</w:t>
      </w:r>
      <w:r w:rsidR="00EB7ACC" w:rsidRPr="003A707E">
        <w:rPr>
          <w:spacing w:val="-2"/>
          <w:sz w:val="21"/>
          <w:szCs w:val="21"/>
        </w:rPr>
        <w:t>d</w:t>
      </w:r>
      <w:r w:rsidR="00053312" w:rsidRPr="003A707E">
        <w:rPr>
          <w:spacing w:val="-2"/>
          <w:sz w:val="21"/>
          <w:szCs w:val="21"/>
        </w:rPr>
        <w:t xml:space="preserve"> </w:t>
      </w:r>
      <w:r w:rsidR="00EB7ACC" w:rsidRPr="003A707E">
        <w:rPr>
          <w:spacing w:val="-2"/>
          <w:sz w:val="21"/>
          <w:szCs w:val="21"/>
        </w:rPr>
        <w:t>by</w:t>
      </w:r>
      <w:r w:rsidR="00053312" w:rsidRPr="003A707E">
        <w:rPr>
          <w:spacing w:val="-2"/>
          <w:sz w:val="21"/>
          <w:szCs w:val="21"/>
        </w:rPr>
        <w:t xml:space="preserve"> 18.0%</w:t>
      </w:r>
      <w:r w:rsidR="00367196" w:rsidRPr="003A707E">
        <w:rPr>
          <w:spacing w:val="-2"/>
          <w:sz w:val="21"/>
          <w:szCs w:val="21"/>
        </w:rPr>
        <w:t xml:space="preserve"> </w:t>
      </w:r>
      <w:r w:rsidR="00A456D3" w:rsidRPr="003A707E">
        <w:rPr>
          <w:spacing w:val="-2"/>
          <w:sz w:val="21"/>
          <w:szCs w:val="21"/>
        </w:rPr>
        <w:t>since the onset of COVID</w:t>
      </w:r>
      <w:r w:rsidR="00A456D3" w:rsidRPr="003A707E">
        <w:rPr>
          <w:spacing w:val="-2"/>
          <w:sz w:val="21"/>
          <w:szCs w:val="21"/>
        </w:rPr>
        <w:noBreakHyphen/>
        <w:t>19</w:t>
      </w:r>
      <w:r w:rsidR="00EB7ACC" w:rsidRPr="003A707E">
        <w:rPr>
          <w:spacing w:val="-2"/>
          <w:sz w:val="21"/>
          <w:szCs w:val="21"/>
        </w:rPr>
        <w:t xml:space="preserve"> – c</w:t>
      </w:r>
      <w:r w:rsidR="00A456D3" w:rsidRPr="003A707E">
        <w:rPr>
          <w:spacing w:val="-2"/>
          <w:sz w:val="21"/>
          <w:szCs w:val="21"/>
        </w:rPr>
        <w:t xml:space="preserve">omfortably </w:t>
      </w:r>
      <w:r w:rsidR="00367196" w:rsidRPr="003A707E">
        <w:rPr>
          <w:spacing w:val="-2"/>
          <w:sz w:val="21"/>
          <w:szCs w:val="21"/>
        </w:rPr>
        <w:t>the</w:t>
      </w:r>
      <w:r w:rsidR="00EB7ACC" w:rsidRPr="003A707E">
        <w:rPr>
          <w:spacing w:val="-2"/>
          <w:sz w:val="21"/>
          <w:szCs w:val="21"/>
        </w:rPr>
        <w:t xml:space="preserve"> strongest rebound</w:t>
      </w:r>
      <w:r w:rsidR="00367196" w:rsidRPr="003A707E">
        <w:rPr>
          <w:spacing w:val="-2"/>
          <w:sz w:val="21"/>
          <w:szCs w:val="21"/>
        </w:rPr>
        <w:t xml:space="preserve"> of the jurisdictions. </w:t>
      </w:r>
    </w:p>
    <w:p w14:paraId="63AC9060" w14:textId="032F52D1" w:rsidR="00223374" w:rsidRPr="003A707E" w:rsidRDefault="00223374" w:rsidP="00223374">
      <w:pPr>
        <w:spacing w:after="120"/>
        <w:rPr>
          <w:spacing w:val="-2"/>
          <w:sz w:val="21"/>
          <w:szCs w:val="21"/>
        </w:rPr>
      </w:pPr>
      <w:r w:rsidRPr="003A707E">
        <w:rPr>
          <w:spacing w:val="-2"/>
          <w:sz w:val="21"/>
          <w:szCs w:val="21"/>
        </w:rPr>
        <w:t>Despite the quarterly decline, business investment remain</w:t>
      </w:r>
      <w:r w:rsidR="000775CB" w:rsidRPr="003A707E">
        <w:rPr>
          <w:spacing w:val="-2"/>
          <w:sz w:val="21"/>
          <w:szCs w:val="21"/>
        </w:rPr>
        <w:t>s</w:t>
      </w:r>
      <w:r w:rsidRPr="003A707E">
        <w:rPr>
          <w:spacing w:val="-2"/>
          <w:sz w:val="21"/>
          <w:szCs w:val="21"/>
        </w:rPr>
        <w:t xml:space="preserve"> elevated compared with pre</w:t>
      </w:r>
      <w:r w:rsidRPr="003A707E">
        <w:rPr>
          <w:spacing w:val="-2"/>
          <w:sz w:val="21"/>
          <w:szCs w:val="21"/>
        </w:rPr>
        <w:noBreakHyphen/>
        <w:t xml:space="preserve">pandemic levels and Santos </w:t>
      </w:r>
      <w:r w:rsidR="00EB7ACC" w:rsidRPr="003A707E">
        <w:rPr>
          <w:spacing w:val="-2"/>
          <w:sz w:val="21"/>
          <w:szCs w:val="21"/>
        </w:rPr>
        <w:t>is</w:t>
      </w:r>
      <w:r w:rsidRPr="003A707E">
        <w:rPr>
          <w:spacing w:val="-2"/>
          <w:sz w:val="21"/>
          <w:szCs w:val="21"/>
        </w:rPr>
        <w:t xml:space="preserve"> reporting the Barossa project at 56% completion </w:t>
      </w:r>
      <w:r w:rsidR="00EB7ACC" w:rsidRPr="003A707E">
        <w:rPr>
          <w:spacing w:val="-2"/>
          <w:sz w:val="21"/>
          <w:szCs w:val="21"/>
        </w:rPr>
        <w:t>to</w:t>
      </w:r>
      <w:r w:rsidRPr="003A707E">
        <w:rPr>
          <w:spacing w:val="-2"/>
          <w:sz w:val="21"/>
          <w:szCs w:val="21"/>
        </w:rPr>
        <w:t xml:space="preserve"> the March quarter</w:t>
      </w:r>
      <w:r w:rsidR="001E48F1">
        <w:rPr>
          <w:spacing w:val="-2"/>
          <w:sz w:val="21"/>
          <w:szCs w:val="21"/>
        </w:rPr>
        <w:t xml:space="preserve"> (Chart 2)</w:t>
      </w:r>
      <w:r w:rsidRPr="003A707E">
        <w:rPr>
          <w:spacing w:val="-2"/>
          <w:sz w:val="21"/>
          <w:szCs w:val="21"/>
        </w:rPr>
        <w:t>.</w:t>
      </w:r>
      <w:r w:rsidR="00EB7ACC" w:rsidRPr="003A707E">
        <w:rPr>
          <w:spacing w:val="-2"/>
          <w:sz w:val="21"/>
          <w:szCs w:val="21"/>
        </w:rPr>
        <w:t xml:space="preserve"> For the local construction industry</w:t>
      </w:r>
      <w:r w:rsidRPr="003A707E">
        <w:rPr>
          <w:spacing w:val="-2"/>
          <w:sz w:val="21"/>
          <w:szCs w:val="21"/>
        </w:rPr>
        <w:t xml:space="preserve"> the </w:t>
      </w:r>
      <w:r w:rsidR="00EB7ACC" w:rsidRPr="003A707E">
        <w:rPr>
          <w:spacing w:val="-2"/>
          <w:sz w:val="21"/>
          <w:szCs w:val="21"/>
        </w:rPr>
        <w:t>pipeline</w:t>
      </w:r>
      <w:r w:rsidRPr="003A707E">
        <w:rPr>
          <w:spacing w:val="-2"/>
          <w:sz w:val="21"/>
          <w:szCs w:val="21"/>
        </w:rPr>
        <w:t xml:space="preserve"> of work yet to be done </w:t>
      </w:r>
      <w:r w:rsidR="00EB7ACC" w:rsidRPr="003A707E">
        <w:rPr>
          <w:spacing w:val="-2"/>
          <w:sz w:val="21"/>
          <w:szCs w:val="21"/>
        </w:rPr>
        <w:t xml:space="preserve">is strong </w:t>
      </w:r>
      <w:r w:rsidR="007A101C" w:rsidRPr="003A707E">
        <w:rPr>
          <w:spacing w:val="-2"/>
          <w:sz w:val="21"/>
          <w:szCs w:val="21"/>
        </w:rPr>
        <w:t>(Chart </w:t>
      </w:r>
      <w:r w:rsidR="0026162A" w:rsidRPr="003A707E">
        <w:rPr>
          <w:spacing w:val="-2"/>
          <w:sz w:val="21"/>
          <w:szCs w:val="21"/>
        </w:rPr>
        <w:t>3)</w:t>
      </w:r>
      <w:r w:rsidR="00EB7ACC" w:rsidRPr="003A707E">
        <w:rPr>
          <w:spacing w:val="-2"/>
          <w:sz w:val="21"/>
          <w:szCs w:val="21"/>
        </w:rPr>
        <w:t xml:space="preserve"> supported by non</w:t>
      </w:r>
      <w:r w:rsidR="00EB7ACC" w:rsidRPr="003A707E">
        <w:rPr>
          <w:spacing w:val="-2"/>
          <w:sz w:val="21"/>
          <w:szCs w:val="21"/>
        </w:rPr>
        <w:noBreakHyphen/>
        <w:t>residential works.</w:t>
      </w:r>
    </w:p>
    <w:p w14:paraId="3C5CAAD5" w14:textId="4BD7580D" w:rsidR="00017A14" w:rsidRPr="003A707E" w:rsidRDefault="000576D2" w:rsidP="00826B71">
      <w:pPr>
        <w:spacing w:after="120"/>
        <w:rPr>
          <w:spacing w:val="-2"/>
          <w:sz w:val="21"/>
          <w:szCs w:val="21"/>
        </w:rPr>
      </w:pPr>
      <w:r w:rsidRPr="003A707E">
        <w:rPr>
          <w:spacing w:val="-2"/>
          <w:sz w:val="21"/>
          <w:szCs w:val="21"/>
        </w:rPr>
        <w:t>The Territory has reported strong increases in e</w:t>
      </w:r>
      <w:r w:rsidR="00E74C27" w:rsidRPr="003A707E">
        <w:rPr>
          <w:spacing w:val="-2"/>
          <w:sz w:val="21"/>
          <w:szCs w:val="21"/>
        </w:rPr>
        <w:t xml:space="preserve">mployment </w:t>
      </w:r>
      <w:r w:rsidRPr="003A707E">
        <w:rPr>
          <w:spacing w:val="-2"/>
          <w:sz w:val="21"/>
          <w:szCs w:val="21"/>
        </w:rPr>
        <w:t>s</w:t>
      </w:r>
      <w:r w:rsidR="00E74C27" w:rsidRPr="003A707E">
        <w:rPr>
          <w:spacing w:val="-2"/>
          <w:sz w:val="21"/>
          <w:szCs w:val="21"/>
        </w:rPr>
        <w:t>ince mid</w:t>
      </w:r>
      <w:r w:rsidR="00E74C27" w:rsidRPr="003A707E">
        <w:rPr>
          <w:spacing w:val="-2"/>
          <w:sz w:val="21"/>
          <w:szCs w:val="21"/>
        </w:rPr>
        <w:noBreakHyphen/>
        <w:t>2021,</w:t>
      </w:r>
      <w:r w:rsidRPr="003A707E">
        <w:rPr>
          <w:spacing w:val="-2"/>
          <w:sz w:val="21"/>
          <w:szCs w:val="21"/>
        </w:rPr>
        <w:t xml:space="preserve"> with annualised growth of 5%</w:t>
      </w:r>
      <w:r w:rsidR="00E74C27" w:rsidRPr="003A707E">
        <w:rPr>
          <w:spacing w:val="-2"/>
          <w:sz w:val="21"/>
          <w:szCs w:val="21"/>
        </w:rPr>
        <w:t xml:space="preserve"> </w:t>
      </w:r>
      <w:r w:rsidRPr="003A707E">
        <w:rPr>
          <w:spacing w:val="-2"/>
          <w:sz w:val="21"/>
          <w:szCs w:val="21"/>
        </w:rPr>
        <w:t xml:space="preserve">per annum, and employment (and the unemployment rate) at levels last seen at the peak of activity for </w:t>
      </w:r>
      <w:proofErr w:type="spellStart"/>
      <w:r w:rsidRPr="003A707E">
        <w:rPr>
          <w:spacing w:val="-2"/>
          <w:sz w:val="21"/>
          <w:szCs w:val="21"/>
        </w:rPr>
        <w:t>Inpex’s</w:t>
      </w:r>
      <w:proofErr w:type="spellEnd"/>
      <w:r w:rsidRPr="003A707E">
        <w:rPr>
          <w:spacing w:val="-2"/>
          <w:sz w:val="21"/>
          <w:szCs w:val="21"/>
        </w:rPr>
        <w:t xml:space="preserve"> </w:t>
      </w:r>
      <w:proofErr w:type="spellStart"/>
      <w:r w:rsidRPr="003A707E">
        <w:rPr>
          <w:spacing w:val="-2"/>
          <w:sz w:val="21"/>
          <w:szCs w:val="21"/>
        </w:rPr>
        <w:t>Ichthys</w:t>
      </w:r>
      <w:proofErr w:type="spellEnd"/>
      <w:r w:rsidRPr="003A707E">
        <w:rPr>
          <w:spacing w:val="-2"/>
          <w:sz w:val="21"/>
          <w:szCs w:val="21"/>
        </w:rPr>
        <w:t xml:space="preserve"> LNG project. Employment is being </w:t>
      </w:r>
      <w:r w:rsidR="00E74C27" w:rsidRPr="003A707E">
        <w:rPr>
          <w:spacing w:val="-2"/>
          <w:sz w:val="21"/>
          <w:szCs w:val="21"/>
        </w:rPr>
        <w:t>supported by construction activity and the return of tourism (Chart 4)</w:t>
      </w:r>
      <w:r w:rsidRPr="003A707E">
        <w:rPr>
          <w:spacing w:val="-2"/>
          <w:sz w:val="21"/>
          <w:szCs w:val="21"/>
        </w:rPr>
        <w:t>.</w:t>
      </w:r>
    </w:p>
    <w:tbl>
      <w:tblPr>
        <w:tblStyle w:val="NTGtable1"/>
        <w:tblW w:w="10397" w:type="dxa"/>
        <w:jc w:val="center"/>
        <w:tblLayout w:type="fixed"/>
        <w:tblLook w:val="04A0" w:firstRow="1" w:lastRow="0" w:firstColumn="1" w:lastColumn="0" w:noHBand="0" w:noVBand="1"/>
      </w:tblPr>
      <w:tblGrid>
        <w:gridCol w:w="3539"/>
        <w:gridCol w:w="938"/>
        <w:gridCol w:w="1271"/>
        <w:gridCol w:w="1083"/>
        <w:gridCol w:w="1076"/>
        <w:gridCol w:w="1055"/>
        <w:gridCol w:w="1435"/>
      </w:tblGrid>
      <w:tr w:rsidR="00B243D8" w:rsidRPr="00797CA2" w14:paraId="31063292" w14:textId="77777777" w:rsidTr="00BE289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39" w:type="dxa"/>
            <w:vAlign w:val="center"/>
          </w:tcPr>
          <w:p w14:paraId="1159313E" w14:textId="77777777" w:rsidR="004F7E54" w:rsidRPr="00BE2895" w:rsidRDefault="004F7E54" w:rsidP="00BE2895">
            <w:pPr>
              <w:spacing w:before="0" w:after="0"/>
              <w:jc w:val="center"/>
              <w:rPr>
                <w:rFonts w:ascii="Calibri" w:hAnsi="Calibri"/>
                <w:sz w:val="20"/>
              </w:rPr>
            </w:pPr>
            <w:r w:rsidRPr="00BE2895">
              <w:rPr>
                <w:rFonts w:ascii="Calibri" w:hAnsi="Calibri"/>
                <w:sz w:val="20"/>
              </w:rPr>
              <w:t>Indicator</w:t>
            </w:r>
          </w:p>
        </w:tc>
        <w:tc>
          <w:tcPr>
            <w:tcW w:w="938" w:type="dxa"/>
            <w:vAlign w:val="center"/>
          </w:tcPr>
          <w:p w14:paraId="25C2D65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Most recent</w:t>
            </w:r>
          </w:p>
        </w:tc>
        <w:tc>
          <w:tcPr>
            <w:tcW w:w="1271" w:type="dxa"/>
            <w:vAlign w:val="center"/>
          </w:tcPr>
          <w:p w14:paraId="3EA49D25" w14:textId="0369B866" w:rsidR="004F7E54" w:rsidRPr="00BE2895" w:rsidRDefault="002F648D"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Measure</w:t>
            </w:r>
          </w:p>
        </w:tc>
        <w:tc>
          <w:tcPr>
            <w:tcW w:w="1083" w:type="dxa"/>
            <w:vAlign w:val="center"/>
          </w:tcPr>
          <w:p w14:paraId="4C2D655D"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Period change</w:t>
            </w:r>
            <w:r w:rsidRPr="00BE2895">
              <w:rPr>
                <w:rFonts w:ascii="Calibri" w:hAnsi="Calibri" w:cs="Calibri"/>
                <w:sz w:val="20"/>
              </w:rPr>
              <w:t>¹</w:t>
            </w:r>
          </w:p>
        </w:tc>
        <w:tc>
          <w:tcPr>
            <w:tcW w:w="1076" w:type="dxa"/>
            <w:vAlign w:val="center"/>
          </w:tcPr>
          <w:p w14:paraId="04968139"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Annual change</w:t>
            </w:r>
            <w:r w:rsidRPr="00BE2895">
              <w:rPr>
                <w:rFonts w:ascii="Calibri" w:hAnsi="Calibri" w:cs="Calibri"/>
                <w:sz w:val="20"/>
                <w:vertAlign w:val="superscript"/>
              </w:rPr>
              <w:t>2</w:t>
            </w:r>
          </w:p>
        </w:tc>
        <w:tc>
          <w:tcPr>
            <w:tcW w:w="1055" w:type="dxa"/>
            <w:vAlign w:val="center"/>
          </w:tcPr>
          <w:p w14:paraId="1CE8126B"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Year on Year</w:t>
            </w:r>
            <w:r w:rsidRPr="00BE2895">
              <w:rPr>
                <w:rFonts w:ascii="Calibri" w:hAnsi="Calibri" w:cs="Calibri"/>
                <w:sz w:val="20"/>
                <w:vertAlign w:val="superscript"/>
              </w:rPr>
              <w:t>3</w:t>
            </w:r>
          </w:p>
        </w:tc>
        <w:tc>
          <w:tcPr>
            <w:tcW w:w="1435" w:type="dxa"/>
            <w:vAlign w:val="center"/>
          </w:tcPr>
          <w:p w14:paraId="0E175AE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COVID period change</w:t>
            </w:r>
            <w:r w:rsidRPr="00BE2895">
              <w:rPr>
                <w:rFonts w:ascii="Calibri" w:hAnsi="Calibri"/>
                <w:sz w:val="20"/>
                <w:vertAlign w:val="superscript"/>
              </w:rPr>
              <w:t>4</w:t>
            </w:r>
          </w:p>
        </w:tc>
      </w:tr>
      <w:tr w:rsidR="00B243D8" w:rsidRPr="00797CA2" w14:paraId="62B537C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55CED3C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Economic Growth</w:t>
            </w:r>
          </w:p>
        </w:tc>
        <w:tc>
          <w:tcPr>
            <w:tcW w:w="938" w:type="dxa"/>
            <w:shd w:val="clear" w:color="auto" w:fill="D9D9D9" w:themeFill="background1" w:themeFillShade="D9"/>
          </w:tcPr>
          <w:p w14:paraId="7A9FFAE5"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271" w:type="dxa"/>
            <w:shd w:val="clear" w:color="auto" w:fill="D9D9D9" w:themeFill="background1" w:themeFillShade="D9"/>
          </w:tcPr>
          <w:p w14:paraId="66690F76" w14:textId="00F51519" w:rsidR="004F7E54" w:rsidRPr="00BE2895" w:rsidRDefault="001E6821" w:rsidP="00BE2895">
            <w:pPr>
              <w:spacing w:before="20" w:after="20"/>
              <w:ind w:right="80"/>
              <w:jc w:val="right"/>
              <w:cnfStyle w:val="000000100000" w:firstRow="0" w:lastRow="0" w:firstColumn="0" w:lastColumn="0" w:oddVBand="0" w:evenVBand="0" w:oddHBand="1" w:evenHBand="0" w:firstRowFirstColumn="0" w:firstRowLastColumn="0" w:lastRowFirstColumn="0" w:lastRowLastColumn="0"/>
              <w:rPr>
                <w:rFonts w:ascii="Calibri" w:hAnsi="Calibri"/>
                <w:b/>
                <w:sz w:val="20"/>
              </w:rPr>
            </w:pPr>
            <w:r w:rsidRPr="00BE2895">
              <w:rPr>
                <w:rFonts w:ascii="Calibri" w:hAnsi="Calibri"/>
                <w:b/>
                <w:sz w:val="20"/>
              </w:rPr>
              <w:t>$B</w:t>
            </w:r>
          </w:p>
        </w:tc>
        <w:tc>
          <w:tcPr>
            <w:tcW w:w="1083" w:type="dxa"/>
            <w:shd w:val="clear" w:color="auto" w:fill="D9D9D9" w:themeFill="background1" w:themeFillShade="D9"/>
          </w:tcPr>
          <w:p w14:paraId="67830DD6"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76" w:type="dxa"/>
            <w:shd w:val="clear" w:color="auto" w:fill="D9D9D9" w:themeFill="background1" w:themeFillShade="D9"/>
          </w:tcPr>
          <w:p w14:paraId="29B6C121"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55" w:type="dxa"/>
            <w:shd w:val="clear" w:color="auto" w:fill="D9D9D9" w:themeFill="background1" w:themeFillShade="D9"/>
          </w:tcPr>
          <w:p w14:paraId="631BE887"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435" w:type="dxa"/>
            <w:shd w:val="clear" w:color="auto" w:fill="D9D9D9" w:themeFill="background1" w:themeFillShade="D9"/>
            <w:vAlign w:val="center"/>
          </w:tcPr>
          <w:p w14:paraId="40B45F34"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r w:rsidR="00B243D8" w:rsidRPr="00797CA2" w14:paraId="2FE16DFB"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D2926EE"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State final demand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0EC7524E" w14:textId="5C89676A" w:rsidR="00C54EB6" w:rsidRPr="00392EA0" w:rsidRDefault="00CB1326" w:rsidP="00CB132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C54EB6" w:rsidRPr="00392EA0">
              <w:rPr>
                <w:rFonts w:ascii="Calibri" w:hAnsi="Calibri" w:cs="Calibri"/>
                <w:color w:val="000000"/>
                <w:sz w:val="20"/>
              </w:rPr>
              <w:t>-2</w:t>
            </w:r>
            <w:r>
              <w:rPr>
                <w:rFonts w:ascii="Calibri" w:hAnsi="Calibri" w:cs="Calibri"/>
                <w:color w:val="000000"/>
                <w:sz w:val="20"/>
              </w:rPr>
              <w:t>3</w:t>
            </w:r>
          </w:p>
        </w:tc>
        <w:tc>
          <w:tcPr>
            <w:tcW w:w="1271" w:type="dxa"/>
            <w:shd w:val="clear" w:color="auto" w:fill="auto"/>
            <w:vAlign w:val="center"/>
          </w:tcPr>
          <w:p w14:paraId="0FAD25A6" w14:textId="404F3E62" w:rsidR="00C54EB6" w:rsidRPr="000A24B2" w:rsidRDefault="001E6821"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7.0</w:t>
            </w:r>
            <w:r w:rsidR="00CB1326">
              <w:rPr>
                <w:rFonts w:ascii="Calibri" w:hAnsi="Calibri" w:cs="Calibri"/>
                <w:color w:val="000000"/>
                <w:sz w:val="20"/>
              </w:rPr>
              <w:t>84</w:t>
            </w:r>
          </w:p>
        </w:tc>
        <w:tc>
          <w:tcPr>
            <w:tcW w:w="1083" w:type="dxa"/>
            <w:shd w:val="clear" w:color="auto" w:fill="auto"/>
            <w:vAlign w:val="center"/>
          </w:tcPr>
          <w:p w14:paraId="008A0456" w14:textId="4BD968B1" w:rsidR="00C54EB6" w:rsidRPr="00797CA2" w:rsidRDefault="00C54EB6"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CB1326">
              <w:rPr>
                <w:rFonts w:ascii="Calibri" w:hAnsi="Calibri" w:cs="Calibri"/>
                <w:color w:val="000000"/>
                <w:sz w:val="20"/>
              </w:rPr>
              <w:t>4</w:t>
            </w:r>
            <w:r w:rsidRPr="00797CA2">
              <w:rPr>
                <w:rFonts w:ascii="Calibri" w:hAnsi="Calibri" w:cs="Calibri"/>
                <w:color w:val="000000"/>
                <w:sz w:val="20"/>
              </w:rPr>
              <w:t>%</w:t>
            </w:r>
          </w:p>
        </w:tc>
        <w:tc>
          <w:tcPr>
            <w:tcW w:w="1076" w:type="dxa"/>
            <w:shd w:val="clear" w:color="auto" w:fill="auto"/>
            <w:vAlign w:val="center"/>
          </w:tcPr>
          <w:p w14:paraId="49D4FF1B" w14:textId="51C3D639" w:rsidR="00C54EB6" w:rsidRPr="00797CA2" w:rsidRDefault="00CB132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1.3</w:t>
            </w:r>
            <w:r w:rsidR="00C54EB6" w:rsidRPr="00797CA2">
              <w:rPr>
                <w:rFonts w:ascii="Calibri" w:hAnsi="Calibri" w:cs="Calibri"/>
                <w:color w:val="000000"/>
                <w:sz w:val="20"/>
              </w:rPr>
              <w:t>%</w:t>
            </w:r>
          </w:p>
        </w:tc>
        <w:tc>
          <w:tcPr>
            <w:tcW w:w="1055" w:type="dxa"/>
            <w:shd w:val="clear" w:color="auto" w:fill="auto"/>
            <w:vAlign w:val="center"/>
          </w:tcPr>
          <w:p w14:paraId="0B4B7A91" w14:textId="6EAB55C1" w:rsidR="00C54EB6" w:rsidRPr="00797CA2" w:rsidRDefault="00CB132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2.7</w:t>
            </w:r>
            <w:r w:rsidR="00C54EB6" w:rsidRPr="00797CA2">
              <w:rPr>
                <w:rFonts w:ascii="Calibri" w:hAnsi="Calibri" w:cs="Calibri"/>
                <w:color w:val="000000"/>
                <w:sz w:val="20"/>
              </w:rPr>
              <w:t>%</w:t>
            </w:r>
          </w:p>
        </w:tc>
        <w:tc>
          <w:tcPr>
            <w:tcW w:w="1435" w:type="dxa"/>
            <w:shd w:val="clear" w:color="auto" w:fill="auto"/>
            <w:vAlign w:val="center"/>
          </w:tcPr>
          <w:p w14:paraId="69A9BDC0" w14:textId="7A9C98AE" w:rsidR="00C54EB6" w:rsidRPr="00797CA2" w:rsidRDefault="00CB132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18.0</w:t>
            </w:r>
            <w:r w:rsidR="00C54EB6" w:rsidRPr="00797CA2">
              <w:rPr>
                <w:rFonts w:ascii="Calibri" w:hAnsi="Calibri" w:cs="Calibri"/>
                <w:color w:val="000000"/>
                <w:sz w:val="20"/>
              </w:rPr>
              <w:t>%</w:t>
            </w:r>
          </w:p>
        </w:tc>
      </w:tr>
      <w:tr w:rsidR="00797CA2" w:rsidRPr="00797CA2" w14:paraId="27904C0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4F877EFE" w14:textId="0325755D" w:rsidR="00DC1968" w:rsidRPr="00995976" w:rsidRDefault="00DC1968" w:rsidP="00BE2895">
            <w:pPr>
              <w:tabs>
                <w:tab w:val="left" w:pos="630"/>
              </w:tabs>
              <w:spacing w:before="0" w:after="0"/>
              <w:ind w:firstLineChars="200" w:firstLine="400"/>
              <w:rPr>
                <w:rFonts w:ascii="Calibri" w:hAnsi="Calibri" w:cs="Calibri"/>
                <w:iCs/>
                <w:color w:val="000000"/>
                <w:sz w:val="20"/>
              </w:rPr>
            </w:pPr>
            <w:r w:rsidRPr="00B243D8">
              <w:rPr>
                <w:rFonts w:ascii="Calibri" w:hAnsi="Calibri" w:cs="Calibri"/>
                <w:iCs/>
                <w:color w:val="000000"/>
                <w:sz w:val="20"/>
              </w:rPr>
              <w:tab/>
            </w:r>
            <w:r w:rsidRPr="00995976">
              <w:rPr>
                <w:rFonts w:ascii="Calibri" w:hAnsi="Calibri" w:cs="Calibri"/>
                <w:iCs/>
                <w:color w:val="000000"/>
                <w:sz w:val="20"/>
              </w:rPr>
              <w:t>Consumption</w:t>
            </w:r>
          </w:p>
        </w:tc>
        <w:tc>
          <w:tcPr>
            <w:tcW w:w="938" w:type="dxa"/>
            <w:shd w:val="clear" w:color="auto" w:fill="F2F2F2" w:themeFill="background1" w:themeFillShade="F2"/>
            <w:vAlign w:val="center"/>
          </w:tcPr>
          <w:p w14:paraId="1C1FB091" w14:textId="77777777" w:rsidR="00DC1968" w:rsidRPr="00392EA0" w:rsidRDefault="00DC1968" w:rsidP="00BE289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6C5596F" w14:textId="7A7EC502" w:rsidR="00DC1968" w:rsidRPr="000A24B2" w:rsidDel="001E6821" w:rsidRDefault="00DC1968" w:rsidP="00CB132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5.3</w:t>
            </w:r>
            <w:r w:rsidR="00CB1326">
              <w:rPr>
                <w:rFonts w:ascii="Calibri" w:hAnsi="Calibri" w:cs="Calibri"/>
                <w:color w:val="000000"/>
                <w:sz w:val="20"/>
              </w:rPr>
              <w:t>48</w:t>
            </w:r>
          </w:p>
        </w:tc>
        <w:tc>
          <w:tcPr>
            <w:tcW w:w="1083" w:type="dxa"/>
            <w:shd w:val="clear" w:color="auto" w:fill="F2F2F2" w:themeFill="background1" w:themeFillShade="F2"/>
            <w:vAlign w:val="center"/>
          </w:tcPr>
          <w:p w14:paraId="5C04B7FC" w14:textId="3E84DB14" w:rsidR="00DC1968" w:rsidRPr="00797CA2" w:rsidRDefault="00CB1326"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r w:rsidR="00DC1968" w:rsidRPr="00797CA2">
              <w:rPr>
                <w:rFonts w:ascii="Calibri" w:hAnsi="Calibri" w:cs="Calibri"/>
                <w:color w:val="000000"/>
                <w:sz w:val="20"/>
              </w:rPr>
              <w:t>%</w:t>
            </w:r>
          </w:p>
        </w:tc>
        <w:tc>
          <w:tcPr>
            <w:tcW w:w="1076" w:type="dxa"/>
            <w:shd w:val="clear" w:color="auto" w:fill="F2F2F2" w:themeFill="background1" w:themeFillShade="F2"/>
            <w:vAlign w:val="center"/>
          </w:tcPr>
          <w:p w14:paraId="3C133562" w14:textId="591F96A7" w:rsidR="00DC1968" w:rsidRPr="00797CA2" w:rsidRDefault="00CB1326"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-0.6</w:t>
            </w:r>
            <w:r w:rsidR="00DC1968" w:rsidRPr="00797CA2">
              <w:rPr>
                <w:rFonts w:ascii="Calibri" w:hAnsi="Calibri" w:cs="Calibri"/>
                <w:color w:val="000000"/>
                <w:sz w:val="20"/>
              </w:rPr>
              <w:t>%</w:t>
            </w:r>
          </w:p>
        </w:tc>
        <w:tc>
          <w:tcPr>
            <w:tcW w:w="1055" w:type="dxa"/>
            <w:shd w:val="clear" w:color="auto" w:fill="F2F2F2" w:themeFill="background1" w:themeFillShade="F2"/>
            <w:vAlign w:val="center"/>
          </w:tcPr>
          <w:p w14:paraId="47F3CD96" w14:textId="2CC4D102" w:rsidR="00DC1968" w:rsidRPr="00797CA2" w:rsidRDefault="00051BFD" w:rsidP="006E31A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w:t>
            </w:r>
            <w:r w:rsidR="006E31A4">
              <w:rPr>
                <w:rFonts w:ascii="Calibri" w:hAnsi="Calibri" w:cs="Calibri"/>
                <w:color w:val="000000"/>
                <w:sz w:val="20"/>
              </w:rPr>
              <w:t>0.8</w:t>
            </w:r>
            <w:r>
              <w:rPr>
                <w:rFonts w:ascii="Calibri" w:hAnsi="Calibri" w:cs="Calibri"/>
                <w:color w:val="000000"/>
                <w:sz w:val="20"/>
              </w:rPr>
              <w:t>%</w:t>
            </w:r>
          </w:p>
        </w:tc>
        <w:tc>
          <w:tcPr>
            <w:tcW w:w="1435" w:type="dxa"/>
            <w:shd w:val="clear" w:color="auto" w:fill="F2F2F2" w:themeFill="background1" w:themeFillShade="F2"/>
            <w:vAlign w:val="center"/>
          </w:tcPr>
          <w:p w14:paraId="6F22DD4A" w14:textId="3FD139E5" w:rsidR="00DC1968" w:rsidRPr="00797CA2" w:rsidRDefault="00DC1968"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10.</w:t>
            </w:r>
            <w:r w:rsidR="00CB1326">
              <w:rPr>
                <w:rFonts w:ascii="Calibri" w:hAnsi="Calibri" w:cs="Calibri"/>
                <w:color w:val="000000"/>
                <w:sz w:val="20"/>
              </w:rPr>
              <w:t>4</w:t>
            </w:r>
            <w:r w:rsidRPr="00797CA2">
              <w:rPr>
                <w:rFonts w:ascii="Calibri" w:hAnsi="Calibri" w:cs="Calibri"/>
                <w:color w:val="000000"/>
                <w:sz w:val="20"/>
              </w:rPr>
              <w:t>%</w:t>
            </w:r>
          </w:p>
        </w:tc>
      </w:tr>
      <w:tr w:rsidR="00797CA2" w:rsidRPr="00797CA2" w14:paraId="6680B6F8"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065B31C0" w14:textId="15F973DF" w:rsidR="001E6821" w:rsidRPr="00797CA2" w:rsidRDefault="00DC1968" w:rsidP="00BE2895">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739057E8" w14:textId="77777777" w:rsidR="001E6821" w:rsidRPr="00797CA2" w:rsidRDefault="001E6821" w:rsidP="00BE289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389523A" w14:textId="1A5F9986" w:rsidR="001E6821" w:rsidRPr="00797CA2" w:rsidDel="001E6821" w:rsidRDefault="00DC1968"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w:t>
            </w:r>
            <w:r w:rsidR="00CB1326">
              <w:rPr>
                <w:rFonts w:ascii="Calibri" w:hAnsi="Calibri" w:cs="Calibri"/>
                <w:color w:val="000000"/>
                <w:sz w:val="20"/>
              </w:rPr>
              <w:t>736</w:t>
            </w:r>
          </w:p>
        </w:tc>
        <w:tc>
          <w:tcPr>
            <w:tcW w:w="1083" w:type="dxa"/>
            <w:shd w:val="clear" w:color="auto" w:fill="F2F2F2" w:themeFill="background1" w:themeFillShade="F2"/>
            <w:vAlign w:val="center"/>
          </w:tcPr>
          <w:p w14:paraId="462420C2" w14:textId="4F3BFAE0" w:rsidR="001E6821" w:rsidRPr="00797CA2" w:rsidRDefault="00DC1968"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w:t>
            </w:r>
            <w:r w:rsidR="00CB1326">
              <w:rPr>
                <w:rFonts w:ascii="Calibri" w:hAnsi="Calibri" w:cs="Calibri"/>
                <w:color w:val="000000"/>
                <w:sz w:val="20"/>
              </w:rPr>
              <w:t>2.3</w:t>
            </w:r>
            <w:r w:rsidRPr="00797CA2">
              <w:rPr>
                <w:rFonts w:ascii="Calibri" w:hAnsi="Calibri" w:cs="Calibri"/>
                <w:color w:val="000000"/>
                <w:sz w:val="20"/>
              </w:rPr>
              <w:t>%</w:t>
            </w:r>
          </w:p>
        </w:tc>
        <w:tc>
          <w:tcPr>
            <w:tcW w:w="1076" w:type="dxa"/>
            <w:shd w:val="clear" w:color="auto" w:fill="F2F2F2" w:themeFill="background1" w:themeFillShade="F2"/>
            <w:vAlign w:val="center"/>
          </w:tcPr>
          <w:p w14:paraId="73099A53" w14:textId="04798282" w:rsidR="001E6821" w:rsidRPr="00797CA2" w:rsidRDefault="00DC1968"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7.</w:t>
            </w:r>
            <w:r w:rsidR="00CB1326">
              <w:rPr>
                <w:rFonts w:ascii="Calibri" w:hAnsi="Calibri" w:cs="Calibri"/>
                <w:color w:val="000000"/>
                <w:sz w:val="20"/>
              </w:rPr>
              <w:t>8</w:t>
            </w:r>
            <w:r w:rsidRPr="00797CA2">
              <w:rPr>
                <w:rFonts w:ascii="Calibri" w:hAnsi="Calibri" w:cs="Calibri"/>
                <w:color w:val="000000"/>
                <w:sz w:val="20"/>
              </w:rPr>
              <w:t>%</w:t>
            </w:r>
          </w:p>
        </w:tc>
        <w:tc>
          <w:tcPr>
            <w:tcW w:w="1055" w:type="dxa"/>
            <w:shd w:val="clear" w:color="auto" w:fill="F2F2F2" w:themeFill="background1" w:themeFillShade="F2"/>
            <w:vAlign w:val="center"/>
          </w:tcPr>
          <w:p w14:paraId="527258EA" w14:textId="15930662" w:rsidR="001E6821" w:rsidRPr="00797CA2" w:rsidRDefault="006E31A4"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9.5</w:t>
            </w:r>
            <w:r w:rsidR="00DC1968" w:rsidRPr="00797CA2">
              <w:rPr>
                <w:rFonts w:ascii="Calibri" w:hAnsi="Calibri" w:cs="Calibri"/>
                <w:color w:val="000000"/>
                <w:sz w:val="20"/>
              </w:rPr>
              <w:t>%</w:t>
            </w:r>
          </w:p>
        </w:tc>
        <w:tc>
          <w:tcPr>
            <w:tcW w:w="1435" w:type="dxa"/>
            <w:shd w:val="clear" w:color="auto" w:fill="F2F2F2" w:themeFill="background1" w:themeFillShade="F2"/>
            <w:vAlign w:val="center"/>
          </w:tcPr>
          <w:p w14:paraId="07C9DF1B" w14:textId="74CC1F60" w:rsidR="001E6821" w:rsidRPr="00797CA2" w:rsidRDefault="00053336" w:rsidP="00CB132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w:t>
            </w:r>
            <w:r w:rsidR="00CB1326">
              <w:rPr>
                <w:rFonts w:ascii="Calibri" w:hAnsi="Calibri" w:cs="Calibri"/>
                <w:color w:val="000000"/>
                <w:sz w:val="20"/>
              </w:rPr>
              <w:t>3.7</w:t>
            </w:r>
            <w:r w:rsidRPr="00797CA2">
              <w:rPr>
                <w:rFonts w:ascii="Calibri" w:hAnsi="Calibri" w:cs="Calibri"/>
                <w:color w:val="000000"/>
                <w:sz w:val="20"/>
              </w:rPr>
              <w:t>%</w:t>
            </w:r>
          </w:p>
        </w:tc>
      </w:tr>
      <w:tr w:rsidR="00B243D8" w:rsidRPr="00797CA2" w14:paraId="228BC0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4F9FE" w14:textId="77777777" w:rsidR="00C54EB6" w:rsidRPr="00797CA2" w:rsidRDefault="00C54EB6" w:rsidP="00C54EB6">
            <w:pPr>
              <w:spacing w:before="0" w:after="0"/>
              <w:ind w:firstLineChars="200" w:firstLine="400"/>
              <w:rPr>
                <w:rFonts w:ascii="Calibri" w:hAnsi="Calibri" w:cs="Calibri"/>
                <w:iCs/>
                <w:color w:val="000000"/>
                <w:sz w:val="20"/>
              </w:rPr>
            </w:pPr>
            <w:r w:rsidRPr="00797CA2">
              <w:rPr>
                <w:rFonts w:ascii="Calibri" w:hAnsi="Calibri" w:cs="Calibri"/>
                <w:iCs/>
                <w:color w:val="000000"/>
                <w:sz w:val="20"/>
              </w:rPr>
              <w:t>Domestic final demand (</w:t>
            </w:r>
            <w:proofErr w:type="spellStart"/>
            <w:r w:rsidRPr="00797CA2">
              <w:rPr>
                <w:rFonts w:ascii="Calibri" w:hAnsi="Calibri" w:cs="Calibri"/>
                <w:iCs/>
                <w:color w:val="000000"/>
                <w:sz w:val="20"/>
              </w:rPr>
              <w:t>Aus</w:t>
            </w:r>
            <w:proofErr w:type="spellEnd"/>
            <w:r w:rsidRPr="00797CA2">
              <w:rPr>
                <w:rFonts w:ascii="Calibri" w:hAnsi="Calibri" w:cs="Calibri"/>
                <w:iCs/>
                <w:color w:val="000000"/>
                <w:sz w:val="20"/>
              </w:rPr>
              <w:t>) (</w:t>
            </w:r>
            <w:proofErr w:type="spellStart"/>
            <w:r w:rsidRPr="00797CA2">
              <w:rPr>
                <w:rFonts w:ascii="Calibri" w:hAnsi="Calibri" w:cs="Calibri"/>
                <w:iCs/>
                <w:color w:val="000000"/>
                <w:sz w:val="20"/>
              </w:rPr>
              <w:t>sa</w:t>
            </w:r>
            <w:proofErr w:type="spellEnd"/>
            <w:r w:rsidRPr="00797CA2">
              <w:rPr>
                <w:rFonts w:ascii="Calibri" w:hAnsi="Calibri" w:cs="Calibri"/>
                <w:iCs/>
                <w:color w:val="000000"/>
                <w:sz w:val="20"/>
              </w:rPr>
              <w:t>)</w:t>
            </w:r>
          </w:p>
        </w:tc>
        <w:tc>
          <w:tcPr>
            <w:tcW w:w="938" w:type="dxa"/>
            <w:vAlign w:val="center"/>
          </w:tcPr>
          <w:p w14:paraId="4F376DDF" w14:textId="3CBF5FB1" w:rsidR="00C54EB6" w:rsidRPr="00797CA2" w:rsidRDefault="00CB1326" w:rsidP="00CB132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C54EB6" w:rsidRPr="00797CA2">
              <w:rPr>
                <w:rFonts w:ascii="Calibri" w:hAnsi="Calibri" w:cs="Calibri"/>
                <w:color w:val="000000"/>
                <w:sz w:val="20"/>
              </w:rPr>
              <w:t>-2</w:t>
            </w:r>
            <w:r>
              <w:rPr>
                <w:rFonts w:ascii="Calibri" w:hAnsi="Calibri" w:cs="Calibri"/>
                <w:color w:val="000000"/>
                <w:sz w:val="20"/>
              </w:rPr>
              <w:t>3</w:t>
            </w:r>
          </w:p>
        </w:tc>
        <w:tc>
          <w:tcPr>
            <w:tcW w:w="1271" w:type="dxa"/>
            <w:vAlign w:val="center"/>
          </w:tcPr>
          <w:p w14:paraId="1C7EF3BB" w14:textId="6C6D58AC" w:rsidR="00C54EB6" w:rsidRPr="00797CA2" w:rsidRDefault="001E6821" w:rsidP="00CB132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53</w:t>
            </w:r>
            <w:r w:rsidR="00CB1326">
              <w:rPr>
                <w:rFonts w:ascii="Calibri" w:hAnsi="Calibri" w:cs="Calibri"/>
                <w:color w:val="000000"/>
                <w:sz w:val="20"/>
              </w:rPr>
              <w:t>9</w:t>
            </w:r>
            <w:r w:rsidRPr="00797CA2">
              <w:rPr>
                <w:rFonts w:ascii="Calibri" w:hAnsi="Calibri" w:cs="Calibri"/>
                <w:color w:val="000000"/>
                <w:sz w:val="20"/>
              </w:rPr>
              <w:t>.86</w:t>
            </w:r>
            <w:r w:rsidR="00CB1326">
              <w:rPr>
                <w:rFonts w:ascii="Calibri" w:hAnsi="Calibri" w:cs="Calibri"/>
                <w:color w:val="000000"/>
                <w:sz w:val="20"/>
              </w:rPr>
              <w:t>3</w:t>
            </w:r>
          </w:p>
        </w:tc>
        <w:tc>
          <w:tcPr>
            <w:tcW w:w="1083" w:type="dxa"/>
            <w:vAlign w:val="center"/>
          </w:tcPr>
          <w:p w14:paraId="4D59201A" w14:textId="6DB0B230" w:rsidR="00C54EB6" w:rsidRPr="00797CA2" w:rsidRDefault="00C54EB6"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720F41" w:rsidRPr="00797CA2">
              <w:rPr>
                <w:rFonts w:ascii="Calibri" w:hAnsi="Calibri" w:cs="Calibri"/>
                <w:color w:val="000000"/>
                <w:sz w:val="20"/>
              </w:rPr>
              <w:t>.</w:t>
            </w:r>
            <w:r w:rsidR="00CB1326">
              <w:rPr>
                <w:rFonts w:ascii="Calibri" w:hAnsi="Calibri" w:cs="Calibri"/>
                <w:color w:val="000000"/>
                <w:sz w:val="20"/>
              </w:rPr>
              <w:t>6</w:t>
            </w:r>
            <w:r w:rsidRPr="00797CA2">
              <w:rPr>
                <w:rFonts w:ascii="Calibri" w:hAnsi="Calibri" w:cs="Calibri"/>
                <w:color w:val="000000"/>
                <w:sz w:val="20"/>
              </w:rPr>
              <w:t>%</w:t>
            </w:r>
          </w:p>
        </w:tc>
        <w:tc>
          <w:tcPr>
            <w:tcW w:w="1076" w:type="dxa"/>
            <w:vAlign w:val="center"/>
          </w:tcPr>
          <w:p w14:paraId="6F31771C" w14:textId="089F17DE" w:rsidR="00C54EB6" w:rsidRPr="00797CA2" w:rsidRDefault="00CB132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r w:rsidR="00C54EB6" w:rsidRPr="00797CA2">
              <w:rPr>
                <w:rFonts w:ascii="Calibri" w:hAnsi="Calibri" w:cs="Calibri"/>
                <w:color w:val="000000"/>
                <w:sz w:val="20"/>
              </w:rPr>
              <w:t>%</w:t>
            </w:r>
          </w:p>
        </w:tc>
        <w:tc>
          <w:tcPr>
            <w:tcW w:w="1055" w:type="dxa"/>
            <w:vAlign w:val="center"/>
          </w:tcPr>
          <w:p w14:paraId="57B35C11" w14:textId="714103CA" w:rsidR="00C54EB6" w:rsidRPr="00797CA2" w:rsidRDefault="00C54EB6"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w:t>
            </w:r>
            <w:r w:rsidR="00CB1326">
              <w:rPr>
                <w:rFonts w:ascii="Calibri" w:hAnsi="Calibri" w:cs="Calibri"/>
                <w:color w:val="000000"/>
                <w:sz w:val="20"/>
              </w:rPr>
              <w:t>1</w:t>
            </w:r>
            <w:r w:rsidRPr="00797CA2">
              <w:rPr>
                <w:rFonts w:ascii="Calibri" w:hAnsi="Calibri" w:cs="Calibri"/>
                <w:color w:val="000000"/>
                <w:sz w:val="20"/>
              </w:rPr>
              <w:t>%</w:t>
            </w:r>
          </w:p>
        </w:tc>
        <w:tc>
          <w:tcPr>
            <w:tcW w:w="1435" w:type="dxa"/>
            <w:vAlign w:val="center"/>
          </w:tcPr>
          <w:p w14:paraId="16DFCB6D" w14:textId="3A8A6E9A" w:rsidR="00C54EB6" w:rsidRPr="00797CA2" w:rsidRDefault="00C54EB6"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9</w:t>
            </w:r>
            <w:r w:rsidR="00720F41" w:rsidRPr="00797CA2">
              <w:rPr>
                <w:rFonts w:ascii="Calibri" w:hAnsi="Calibri" w:cs="Calibri"/>
                <w:color w:val="000000"/>
                <w:sz w:val="20"/>
              </w:rPr>
              <w:t>.</w:t>
            </w:r>
            <w:r w:rsidR="00CB1326">
              <w:rPr>
                <w:rFonts w:ascii="Calibri" w:hAnsi="Calibri" w:cs="Calibri"/>
                <w:color w:val="000000"/>
                <w:sz w:val="20"/>
              </w:rPr>
              <w:t>5</w:t>
            </w:r>
            <w:r w:rsidRPr="00797CA2">
              <w:rPr>
                <w:rFonts w:ascii="Calibri" w:hAnsi="Calibri" w:cs="Calibri"/>
                <w:color w:val="000000"/>
                <w:sz w:val="20"/>
              </w:rPr>
              <w:t>%</w:t>
            </w:r>
          </w:p>
        </w:tc>
      </w:tr>
      <w:tr w:rsidR="00797CA2" w:rsidRPr="00797CA2" w14:paraId="3BF346B9"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62E3F11E" w14:textId="77777777" w:rsidR="00DC1968" w:rsidRPr="00797CA2" w:rsidRDefault="00DC1968" w:rsidP="00EB7ACC">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Consumption</w:t>
            </w:r>
          </w:p>
        </w:tc>
        <w:tc>
          <w:tcPr>
            <w:tcW w:w="938" w:type="dxa"/>
            <w:shd w:val="clear" w:color="auto" w:fill="F2F2F2" w:themeFill="background1" w:themeFillShade="F2"/>
            <w:vAlign w:val="center"/>
          </w:tcPr>
          <w:p w14:paraId="5DA6044F" w14:textId="77777777" w:rsidR="00DC1968" w:rsidRPr="00797CA2" w:rsidRDefault="00DC1968" w:rsidP="00EB7AC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45002091" w14:textId="4B42103C" w:rsidR="00DC1968" w:rsidRPr="00797CA2" w:rsidDel="001E6821" w:rsidRDefault="00DC1968"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414.</w:t>
            </w:r>
            <w:r w:rsidR="00CB1326">
              <w:rPr>
                <w:rFonts w:ascii="Calibri" w:hAnsi="Calibri" w:cs="Calibri"/>
                <w:color w:val="000000"/>
                <w:sz w:val="20"/>
              </w:rPr>
              <w:t>163</w:t>
            </w:r>
          </w:p>
        </w:tc>
        <w:tc>
          <w:tcPr>
            <w:tcW w:w="1083" w:type="dxa"/>
            <w:shd w:val="clear" w:color="auto" w:fill="F2F2F2" w:themeFill="background1" w:themeFillShade="F2"/>
            <w:vAlign w:val="center"/>
          </w:tcPr>
          <w:p w14:paraId="30EE3AA9" w14:textId="77D32D97" w:rsidR="00DC1968" w:rsidRPr="00797CA2" w:rsidRDefault="001717BC"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CB1326">
              <w:rPr>
                <w:rFonts w:ascii="Calibri" w:hAnsi="Calibri" w:cs="Calibri"/>
                <w:color w:val="000000"/>
                <w:sz w:val="20"/>
              </w:rPr>
              <w:t>2</w:t>
            </w:r>
            <w:r w:rsidRPr="00797CA2">
              <w:rPr>
                <w:rFonts w:ascii="Calibri" w:hAnsi="Calibri" w:cs="Calibri"/>
                <w:color w:val="000000"/>
                <w:sz w:val="20"/>
              </w:rPr>
              <w:t>%</w:t>
            </w:r>
          </w:p>
        </w:tc>
        <w:tc>
          <w:tcPr>
            <w:tcW w:w="1076" w:type="dxa"/>
            <w:shd w:val="clear" w:color="auto" w:fill="F2F2F2" w:themeFill="background1" w:themeFillShade="F2"/>
            <w:vAlign w:val="center"/>
          </w:tcPr>
          <w:p w14:paraId="3E4D3305" w14:textId="62F621E5" w:rsidR="00DC1968" w:rsidRPr="00797CA2" w:rsidRDefault="00CB1326" w:rsidP="00EB7A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bookmarkStart w:id="0" w:name="_GoBack"/>
            <w:bookmarkEnd w:id="0"/>
            <w:r>
              <w:rPr>
                <w:rFonts w:ascii="Calibri" w:hAnsi="Calibri" w:cs="Calibri"/>
                <w:color w:val="000000"/>
                <w:sz w:val="20"/>
              </w:rPr>
              <w:t>.4</w:t>
            </w:r>
            <w:r w:rsidR="001717BC" w:rsidRPr="00797CA2">
              <w:rPr>
                <w:rFonts w:ascii="Calibri" w:hAnsi="Calibri" w:cs="Calibri"/>
                <w:color w:val="000000"/>
                <w:sz w:val="20"/>
              </w:rPr>
              <w:t>%</w:t>
            </w:r>
          </w:p>
        </w:tc>
        <w:tc>
          <w:tcPr>
            <w:tcW w:w="1055" w:type="dxa"/>
            <w:shd w:val="clear" w:color="auto" w:fill="F2F2F2" w:themeFill="background1" w:themeFillShade="F2"/>
            <w:vAlign w:val="center"/>
          </w:tcPr>
          <w:p w14:paraId="32AB278D" w14:textId="21877BE4" w:rsidR="00DC1968" w:rsidRPr="00797CA2" w:rsidRDefault="00CB1326" w:rsidP="00EB7A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5.2</w:t>
            </w:r>
            <w:r w:rsidR="001717BC" w:rsidRPr="00797CA2">
              <w:rPr>
                <w:rFonts w:ascii="Calibri" w:hAnsi="Calibri" w:cs="Calibri"/>
                <w:color w:val="000000"/>
                <w:sz w:val="20"/>
              </w:rPr>
              <w:t>%</w:t>
            </w:r>
          </w:p>
        </w:tc>
        <w:tc>
          <w:tcPr>
            <w:tcW w:w="1435" w:type="dxa"/>
            <w:shd w:val="clear" w:color="auto" w:fill="F2F2F2" w:themeFill="background1" w:themeFillShade="F2"/>
            <w:vAlign w:val="center"/>
          </w:tcPr>
          <w:p w14:paraId="6B1912CE" w14:textId="7F32D1BA" w:rsidR="00DC1968" w:rsidRPr="00797CA2" w:rsidRDefault="001717BC" w:rsidP="00EB7AC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9.4%</w:t>
            </w:r>
          </w:p>
        </w:tc>
      </w:tr>
      <w:tr w:rsidR="00DC1968" w:rsidRPr="00797CA2" w14:paraId="7216D14E"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7EECF19B" w14:textId="77777777" w:rsidR="00DC1968" w:rsidRPr="00797CA2" w:rsidRDefault="00DC1968" w:rsidP="00EB7ACC">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62FDD5AC" w14:textId="77777777" w:rsidR="00DC1968" w:rsidRPr="00797CA2" w:rsidRDefault="00DC1968" w:rsidP="00EB7AC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3EFB05D2" w14:textId="731887AA" w:rsidR="00DC1968" w:rsidRPr="00797CA2" w:rsidDel="001E6821" w:rsidRDefault="000A57C7" w:rsidP="00EB7A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125.700</w:t>
            </w:r>
          </w:p>
        </w:tc>
        <w:tc>
          <w:tcPr>
            <w:tcW w:w="1083" w:type="dxa"/>
            <w:shd w:val="clear" w:color="auto" w:fill="F2F2F2" w:themeFill="background1" w:themeFillShade="F2"/>
            <w:vAlign w:val="center"/>
          </w:tcPr>
          <w:p w14:paraId="3F1B1711" w14:textId="7CFCB348" w:rsidR="00DC1968" w:rsidRPr="00797CA2" w:rsidRDefault="00CB1326"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w:t>
            </w:r>
            <w:r w:rsidR="001717BC" w:rsidRPr="00797CA2">
              <w:rPr>
                <w:rFonts w:ascii="Calibri" w:hAnsi="Calibri" w:cs="Calibri"/>
                <w:color w:val="000000"/>
                <w:sz w:val="20"/>
              </w:rPr>
              <w:t>%</w:t>
            </w:r>
          </w:p>
        </w:tc>
        <w:tc>
          <w:tcPr>
            <w:tcW w:w="1076" w:type="dxa"/>
            <w:shd w:val="clear" w:color="auto" w:fill="F2F2F2" w:themeFill="background1" w:themeFillShade="F2"/>
            <w:vAlign w:val="center"/>
          </w:tcPr>
          <w:p w14:paraId="0D50AF7C" w14:textId="6974B8BB" w:rsidR="00DC1968" w:rsidRPr="00797CA2" w:rsidRDefault="00CB1326"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w:t>
            </w:r>
            <w:r w:rsidR="001717BC" w:rsidRPr="00797CA2">
              <w:rPr>
                <w:rFonts w:ascii="Calibri" w:hAnsi="Calibri" w:cs="Calibri"/>
                <w:color w:val="000000"/>
                <w:sz w:val="20"/>
              </w:rPr>
              <w:t>%</w:t>
            </w:r>
          </w:p>
        </w:tc>
        <w:tc>
          <w:tcPr>
            <w:tcW w:w="1055" w:type="dxa"/>
            <w:shd w:val="clear" w:color="auto" w:fill="F2F2F2" w:themeFill="background1" w:themeFillShade="F2"/>
            <w:vAlign w:val="center"/>
          </w:tcPr>
          <w:p w14:paraId="6B68E663" w14:textId="40B22250" w:rsidR="00DC1968" w:rsidRPr="00797CA2" w:rsidRDefault="00051BFD"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CB1326">
              <w:rPr>
                <w:rFonts w:ascii="Calibri" w:hAnsi="Calibri" w:cs="Calibri"/>
                <w:color w:val="000000"/>
                <w:sz w:val="20"/>
              </w:rPr>
              <w:t>6</w:t>
            </w:r>
            <w:r>
              <w:rPr>
                <w:rFonts w:ascii="Calibri" w:hAnsi="Calibri" w:cs="Calibri"/>
                <w:color w:val="000000"/>
                <w:sz w:val="20"/>
              </w:rPr>
              <w:t xml:space="preserve">% </w:t>
            </w:r>
          </w:p>
        </w:tc>
        <w:tc>
          <w:tcPr>
            <w:tcW w:w="1435" w:type="dxa"/>
            <w:shd w:val="clear" w:color="auto" w:fill="F2F2F2" w:themeFill="background1" w:themeFillShade="F2"/>
            <w:vAlign w:val="center"/>
          </w:tcPr>
          <w:p w14:paraId="325B429A" w14:textId="0DE2087A" w:rsidR="00DC1968" w:rsidRPr="00797CA2" w:rsidRDefault="00CB1326" w:rsidP="00EB7AC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10.0</w:t>
            </w:r>
            <w:r w:rsidR="001717BC" w:rsidRPr="00797CA2">
              <w:rPr>
                <w:rFonts w:ascii="Calibri" w:hAnsi="Calibri" w:cs="Calibri"/>
                <w:color w:val="000000"/>
                <w:sz w:val="20"/>
              </w:rPr>
              <w:t>%</w:t>
            </w:r>
          </w:p>
        </w:tc>
      </w:tr>
      <w:tr w:rsidR="00B243D8" w:rsidRPr="00797CA2" w14:paraId="34DF066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783A1F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state product (NT)</w:t>
            </w:r>
          </w:p>
        </w:tc>
        <w:tc>
          <w:tcPr>
            <w:tcW w:w="938" w:type="dxa"/>
            <w:shd w:val="clear" w:color="auto" w:fill="auto"/>
            <w:vAlign w:val="center"/>
          </w:tcPr>
          <w:p w14:paraId="1FE84603" w14:textId="42D7CA08" w:rsidR="00C54EB6" w:rsidRPr="00392EA0" w:rsidRDefault="00C54EB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2021-22</w:t>
            </w:r>
          </w:p>
        </w:tc>
        <w:tc>
          <w:tcPr>
            <w:tcW w:w="1271" w:type="dxa"/>
            <w:shd w:val="clear" w:color="auto" w:fill="auto"/>
            <w:vAlign w:val="center"/>
          </w:tcPr>
          <w:p w14:paraId="2CD2A20E" w14:textId="2CDA5B25" w:rsidR="00C54EB6" w:rsidRPr="00995976" w:rsidRDefault="00085B4D"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26.058 </w:t>
            </w:r>
          </w:p>
        </w:tc>
        <w:tc>
          <w:tcPr>
            <w:tcW w:w="1083" w:type="dxa"/>
            <w:shd w:val="clear" w:color="auto" w:fill="auto"/>
            <w:vAlign w:val="center"/>
          </w:tcPr>
          <w:p w14:paraId="279FB912" w14:textId="35E9F9AF" w:rsidR="00C54EB6" w:rsidRPr="00392EA0"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392EA0">
              <w:rPr>
                <w:rFonts w:ascii="Calibri" w:hAnsi="Calibri" w:cs="Calibri"/>
                <w:color w:val="000000"/>
                <w:sz w:val="20"/>
              </w:rPr>
              <w:t>na</w:t>
            </w:r>
            <w:proofErr w:type="spellEnd"/>
          </w:p>
        </w:tc>
        <w:tc>
          <w:tcPr>
            <w:tcW w:w="1076" w:type="dxa"/>
            <w:shd w:val="clear" w:color="auto" w:fill="auto"/>
            <w:vAlign w:val="center"/>
          </w:tcPr>
          <w:p w14:paraId="358BB40B" w14:textId="198E0B84" w:rsidR="00C54EB6" w:rsidRPr="000A24B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0A24B2">
              <w:rPr>
                <w:rFonts w:ascii="Calibri" w:hAnsi="Calibri" w:cs="Calibri"/>
                <w:color w:val="000000"/>
                <w:sz w:val="20"/>
              </w:rPr>
              <w:t>na</w:t>
            </w:r>
            <w:proofErr w:type="spellEnd"/>
          </w:p>
        </w:tc>
        <w:tc>
          <w:tcPr>
            <w:tcW w:w="1055" w:type="dxa"/>
            <w:shd w:val="clear" w:color="auto" w:fill="auto"/>
            <w:vAlign w:val="center"/>
          </w:tcPr>
          <w:p w14:paraId="4B86CEEE" w14:textId="6D920B75"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4.7%</w:t>
            </w:r>
          </w:p>
        </w:tc>
        <w:tc>
          <w:tcPr>
            <w:tcW w:w="1435" w:type="dxa"/>
            <w:shd w:val="clear" w:color="auto" w:fill="auto"/>
            <w:vAlign w:val="center"/>
          </w:tcPr>
          <w:p w14:paraId="0DBD5E80" w14:textId="07D22F33" w:rsidR="00C54EB6" w:rsidRPr="00797CA2" w:rsidRDefault="00C54EB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797CA2">
              <w:rPr>
                <w:rFonts w:ascii="Calibri" w:hAnsi="Calibri" w:cs="Calibri"/>
                <w:color w:val="000000"/>
                <w:sz w:val="20"/>
              </w:rPr>
              <w:t>na</w:t>
            </w:r>
            <w:proofErr w:type="spellEnd"/>
          </w:p>
        </w:tc>
      </w:tr>
      <w:tr w:rsidR="00B243D8" w:rsidRPr="00797CA2" w14:paraId="6954DEE5"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B057635" w14:textId="4A126B5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domestic product (</w:t>
            </w:r>
            <w:proofErr w:type="spellStart"/>
            <w:r w:rsidRPr="00B243D8">
              <w:rPr>
                <w:rFonts w:ascii="Calibri" w:hAnsi="Calibri" w:cs="Calibri"/>
                <w:iCs/>
                <w:color w:val="000000"/>
                <w:sz w:val="20"/>
              </w:rPr>
              <w:t>Aus</w:t>
            </w:r>
            <w:proofErr w:type="spellEnd"/>
            <w:r w:rsidR="00937C11" w:rsidRPr="00995976">
              <w:rPr>
                <w:rFonts w:ascii="Calibri" w:hAnsi="Calibri" w:cs="Calibri"/>
                <w:iCs/>
                <w:color w:val="000000"/>
                <w:sz w:val="20"/>
              </w:rPr>
              <w:t>)</w:t>
            </w:r>
          </w:p>
        </w:tc>
        <w:tc>
          <w:tcPr>
            <w:tcW w:w="938" w:type="dxa"/>
            <w:vAlign w:val="center"/>
          </w:tcPr>
          <w:p w14:paraId="4B94B275" w14:textId="41C95ADC" w:rsidR="00937C11" w:rsidRPr="00392EA0" w:rsidRDefault="00937C1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2021-22</w:t>
            </w:r>
          </w:p>
        </w:tc>
        <w:tc>
          <w:tcPr>
            <w:tcW w:w="1271" w:type="dxa"/>
            <w:vAlign w:val="center"/>
          </w:tcPr>
          <w:p w14:paraId="228F1F3A" w14:textId="44688A1C" w:rsidR="00937C11" w:rsidRPr="00995976" w:rsidRDefault="00797CA2" w:rsidP="006E31A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AE689F">
              <w:rPr>
                <w:rFonts w:ascii="Calibri" w:hAnsi="Calibri" w:cs="Calibri"/>
                <w:color w:val="000000"/>
                <w:sz w:val="20"/>
              </w:rPr>
              <w:t>,</w:t>
            </w:r>
            <w:r>
              <w:rPr>
                <w:rFonts w:ascii="Calibri" w:hAnsi="Calibri" w:cs="Calibri"/>
                <w:color w:val="000000"/>
                <w:sz w:val="20"/>
              </w:rPr>
              <w:t>156.</w:t>
            </w:r>
            <w:r w:rsidR="006E31A4">
              <w:rPr>
                <w:rFonts w:ascii="Calibri" w:hAnsi="Calibri" w:cs="Calibri"/>
                <w:color w:val="000000"/>
                <w:sz w:val="20"/>
              </w:rPr>
              <w:t>802</w:t>
            </w:r>
          </w:p>
        </w:tc>
        <w:tc>
          <w:tcPr>
            <w:tcW w:w="1083" w:type="dxa"/>
            <w:vAlign w:val="center"/>
          </w:tcPr>
          <w:p w14:paraId="67ADBD0C" w14:textId="5DF3F280" w:rsidR="00937C11" w:rsidRPr="00392EA0"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392EA0">
              <w:rPr>
                <w:rFonts w:ascii="Calibri" w:hAnsi="Calibri" w:cs="Calibri"/>
                <w:color w:val="000000"/>
                <w:sz w:val="20"/>
              </w:rPr>
              <w:t>na</w:t>
            </w:r>
            <w:proofErr w:type="spellEnd"/>
          </w:p>
        </w:tc>
        <w:tc>
          <w:tcPr>
            <w:tcW w:w="1076" w:type="dxa"/>
            <w:vAlign w:val="center"/>
          </w:tcPr>
          <w:p w14:paraId="0F3A726B" w14:textId="23E33C7C" w:rsidR="00937C11" w:rsidRPr="000A24B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0A24B2">
              <w:rPr>
                <w:rFonts w:ascii="Calibri" w:hAnsi="Calibri" w:cs="Calibri"/>
                <w:color w:val="000000"/>
                <w:sz w:val="20"/>
              </w:rPr>
              <w:t>na</w:t>
            </w:r>
            <w:proofErr w:type="spellEnd"/>
          </w:p>
        </w:tc>
        <w:tc>
          <w:tcPr>
            <w:tcW w:w="1055" w:type="dxa"/>
            <w:vAlign w:val="center"/>
          </w:tcPr>
          <w:p w14:paraId="50442C6A" w14:textId="5E0214E3" w:rsidR="00937C11" w:rsidRPr="00995976" w:rsidRDefault="000C1A5B"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w:t>
            </w:r>
            <w:r w:rsidR="00937C11" w:rsidRPr="00995976">
              <w:rPr>
                <w:rFonts w:ascii="Calibri" w:hAnsi="Calibri" w:cs="Calibri"/>
                <w:color w:val="000000"/>
                <w:sz w:val="20"/>
              </w:rPr>
              <w:t>%</w:t>
            </w:r>
          </w:p>
        </w:tc>
        <w:tc>
          <w:tcPr>
            <w:tcW w:w="1435" w:type="dxa"/>
            <w:vAlign w:val="center"/>
          </w:tcPr>
          <w:p w14:paraId="6268CB87" w14:textId="1F7A9998" w:rsidR="00937C11" w:rsidRPr="00392EA0" w:rsidRDefault="00937C11"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392EA0">
              <w:rPr>
                <w:rFonts w:ascii="Calibri" w:hAnsi="Calibri" w:cs="Calibri"/>
                <w:color w:val="000000"/>
                <w:sz w:val="20"/>
              </w:rPr>
              <w:t>na</w:t>
            </w:r>
            <w:proofErr w:type="spellEnd"/>
          </w:p>
        </w:tc>
      </w:tr>
      <w:tr w:rsidR="00B243D8" w:rsidRPr="00797CA2" w14:paraId="4AB58135"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7F7E3C2"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Partial Indicators</w:t>
            </w:r>
          </w:p>
        </w:tc>
        <w:tc>
          <w:tcPr>
            <w:tcW w:w="938" w:type="dxa"/>
            <w:vAlign w:val="center"/>
          </w:tcPr>
          <w:p w14:paraId="7BE9913E" w14:textId="77777777" w:rsidR="004F7E54" w:rsidRPr="00392EA0"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271" w:type="dxa"/>
            <w:vAlign w:val="center"/>
          </w:tcPr>
          <w:p w14:paraId="4A75FCD2" w14:textId="72F760BB" w:rsidR="004F7E54" w:rsidRPr="00BE2895" w:rsidRDefault="001034F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BE2895">
              <w:rPr>
                <w:rFonts w:ascii="Calibri" w:hAnsi="Calibri" w:cs="Calibri"/>
                <w:b/>
                <w:color w:val="000000"/>
                <w:sz w:val="20"/>
              </w:rPr>
              <w:t>$B</w:t>
            </w:r>
          </w:p>
        </w:tc>
        <w:tc>
          <w:tcPr>
            <w:tcW w:w="1083" w:type="dxa"/>
            <w:vAlign w:val="center"/>
          </w:tcPr>
          <w:p w14:paraId="2B70E386" w14:textId="77777777" w:rsidR="004F7E54" w:rsidRPr="00995976"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076" w:type="dxa"/>
            <w:vAlign w:val="center"/>
          </w:tcPr>
          <w:p w14:paraId="24D5605A"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55" w:type="dxa"/>
            <w:vAlign w:val="center"/>
          </w:tcPr>
          <w:p w14:paraId="28DE19EA"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435" w:type="dxa"/>
            <w:vAlign w:val="center"/>
          </w:tcPr>
          <w:p w14:paraId="6B94E8D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30F57EF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AA6E5" w14:textId="77777777" w:rsidR="00D76F16" w:rsidRPr="00420059" w:rsidRDefault="00D76F16" w:rsidP="00D76F16">
            <w:pPr>
              <w:spacing w:before="0" w:after="0"/>
              <w:ind w:firstLineChars="200" w:firstLine="400"/>
              <w:rPr>
                <w:rFonts w:ascii="Calibri" w:hAnsi="Calibri" w:cs="Calibri"/>
                <w:iCs/>
                <w:color w:val="000000"/>
                <w:sz w:val="20"/>
              </w:rPr>
            </w:pPr>
            <w:r w:rsidRPr="00420059">
              <w:rPr>
                <w:rFonts w:ascii="Calibri" w:hAnsi="Calibri" w:cs="Calibri"/>
                <w:iCs/>
                <w:color w:val="000000"/>
                <w:sz w:val="20"/>
              </w:rPr>
              <w:t>Nominal retail sales (NT) (</w:t>
            </w:r>
            <w:proofErr w:type="spellStart"/>
            <w:r w:rsidRPr="00420059">
              <w:rPr>
                <w:rFonts w:ascii="Calibri" w:hAnsi="Calibri" w:cs="Calibri"/>
                <w:iCs/>
                <w:color w:val="000000"/>
                <w:sz w:val="20"/>
              </w:rPr>
              <w:t>sa</w:t>
            </w:r>
            <w:proofErr w:type="spellEnd"/>
            <w:r w:rsidRPr="00420059">
              <w:rPr>
                <w:rFonts w:ascii="Calibri" w:hAnsi="Calibri" w:cs="Calibri"/>
                <w:iCs/>
                <w:color w:val="000000"/>
                <w:sz w:val="20"/>
              </w:rPr>
              <w:t>)</w:t>
            </w:r>
          </w:p>
        </w:tc>
        <w:tc>
          <w:tcPr>
            <w:tcW w:w="938" w:type="dxa"/>
            <w:vAlign w:val="center"/>
          </w:tcPr>
          <w:p w14:paraId="6F517475" w14:textId="1746D98D" w:rsidR="00D76F16" w:rsidRPr="00420059" w:rsidRDefault="00E67E03" w:rsidP="00D76F1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May</w:t>
            </w:r>
            <w:r w:rsidR="00D76F16" w:rsidRPr="00420059">
              <w:rPr>
                <w:rFonts w:ascii="Calibri" w:hAnsi="Calibri" w:cs="Calibri"/>
                <w:color w:val="000000"/>
                <w:sz w:val="20"/>
              </w:rPr>
              <w:t>-23</w:t>
            </w:r>
          </w:p>
        </w:tc>
        <w:tc>
          <w:tcPr>
            <w:tcW w:w="1271" w:type="dxa"/>
            <w:vAlign w:val="center"/>
          </w:tcPr>
          <w:p w14:paraId="22EDA178" w14:textId="79517797" w:rsidR="00D76F16" w:rsidRPr="00420059" w:rsidRDefault="001034F8" w:rsidP="00420059">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0.</w:t>
            </w:r>
            <w:r w:rsidR="00E67E03" w:rsidRPr="00671F95">
              <w:rPr>
                <w:rFonts w:ascii="Calibri" w:hAnsi="Calibri" w:cs="Calibri"/>
                <w:color w:val="000000"/>
                <w:sz w:val="20"/>
              </w:rPr>
              <w:t>321</w:t>
            </w:r>
          </w:p>
        </w:tc>
        <w:tc>
          <w:tcPr>
            <w:tcW w:w="1083" w:type="dxa"/>
            <w:vAlign w:val="center"/>
          </w:tcPr>
          <w:p w14:paraId="115840E7" w14:textId="4D52865D" w:rsidR="00D76F16" w:rsidRPr="00420059" w:rsidRDefault="00E67E03"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1.6</w:t>
            </w:r>
            <w:r w:rsidR="00D76F16" w:rsidRPr="00420059">
              <w:rPr>
                <w:rFonts w:ascii="Calibri" w:hAnsi="Calibri" w:cs="Calibri"/>
                <w:color w:val="000000"/>
                <w:sz w:val="20"/>
              </w:rPr>
              <w:t>%</w:t>
            </w:r>
          </w:p>
        </w:tc>
        <w:tc>
          <w:tcPr>
            <w:tcW w:w="1076" w:type="dxa"/>
            <w:vAlign w:val="center"/>
          </w:tcPr>
          <w:p w14:paraId="01BE9C43" w14:textId="71F98482" w:rsidR="00D76F16" w:rsidRPr="00420059" w:rsidRDefault="00E67E03"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5.3</w:t>
            </w:r>
            <w:r w:rsidR="00D76F16" w:rsidRPr="00420059">
              <w:rPr>
                <w:rFonts w:ascii="Calibri" w:hAnsi="Calibri" w:cs="Calibri"/>
                <w:color w:val="000000"/>
                <w:sz w:val="20"/>
              </w:rPr>
              <w:t>%</w:t>
            </w:r>
          </w:p>
        </w:tc>
        <w:tc>
          <w:tcPr>
            <w:tcW w:w="1055" w:type="dxa"/>
            <w:vAlign w:val="center"/>
          </w:tcPr>
          <w:p w14:paraId="087D6E9D" w14:textId="0C5D708E" w:rsidR="00D76F16" w:rsidRPr="00671F95" w:rsidRDefault="00CB132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4.</w:t>
            </w:r>
            <w:r w:rsidR="00E67E03" w:rsidRPr="00671F95">
              <w:rPr>
                <w:rFonts w:ascii="Calibri" w:hAnsi="Calibri" w:cs="Calibri"/>
                <w:color w:val="000000"/>
                <w:sz w:val="20"/>
              </w:rPr>
              <w:t>3</w:t>
            </w:r>
            <w:r w:rsidR="00D76F16" w:rsidRPr="00420059">
              <w:rPr>
                <w:rFonts w:ascii="Calibri" w:hAnsi="Calibri" w:cs="Calibri"/>
                <w:color w:val="000000"/>
                <w:sz w:val="20"/>
              </w:rPr>
              <w:t>%</w:t>
            </w:r>
          </w:p>
        </w:tc>
        <w:tc>
          <w:tcPr>
            <w:tcW w:w="1435" w:type="dxa"/>
            <w:vAlign w:val="center"/>
          </w:tcPr>
          <w:p w14:paraId="4F094053" w14:textId="20BDDFB9" w:rsidR="00D76F16" w:rsidRPr="00420059" w:rsidRDefault="002B0BD5"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23.0</w:t>
            </w:r>
            <w:r w:rsidR="00D76F16" w:rsidRPr="00420059">
              <w:rPr>
                <w:rFonts w:ascii="Calibri" w:hAnsi="Calibri" w:cs="Calibri"/>
                <w:color w:val="000000"/>
                <w:sz w:val="20"/>
              </w:rPr>
              <w:t>%</w:t>
            </w:r>
          </w:p>
        </w:tc>
      </w:tr>
      <w:tr w:rsidR="00B243D8" w:rsidRPr="00797CA2" w14:paraId="13AF2B0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514BDF1" w14:textId="7D181709" w:rsidR="00D76F16" w:rsidRPr="00420059" w:rsidRDefault="00D76F16" w:rsidP="00720F41">
            <w:pPr>
              <w:spacing w:before="0" w:after="0"/>
              <w:ind w:firstLineChars="200" w:firstLine="400"/>
              <w:rPr>
                <w:rFonts w:ascii="Calibri" w:hAnsi="Calibri" w:cs="Calibri"/>
                <w:iCs/>
                <w:color w:val="000000"/>
                <w:sz w:val="20"/>
              </w:rPr>
            </w:pPr>
            <w:r w:rsidRPr="00420059">
              <w:rPr>
                <w:rFonts w:ascii="Calibri" w:hAnsi="Calibri" w:cs="Calibri"/>
                <w:iCs/>
                <w:color w:val="000000"/>
                <w:sz w:val="20"/>
              </w:rPr>
              <w:t>Nominal retail sales (</w:t>
            </w:r>
            <w:proofErr w:type="spellStart"/>
            <w:r w:rsidRPr="00420059">
              <w:rPr>
                <w:rFonts w:ascii="Calibri" w:hAnsi="Calibri" w:cs="Calibri"/>
                <w:iCs/>
                <w:color w:val="000000"/>
                <w:sz w:val="20"/>
              </w:rPr>
              <w:t>Aus</w:t>
            </w:r>
            <w:proofErr w:type="spellEnd"/>
            <w:r w:rsidRPr="00420059">
              <w:rPr>
                <w:rFonts w:ascii="Calibri" w:hAnsi="Calibri" w:cs="Calibri"/>
                <w:iCs/>
                <w:color w:val="000000"/>
                <w:sz w:val="20"/>
              </w:rPr>
              <w:t>) (</w:t>
            </w:r>
            <w:proofErr w:type="spellStart"/>
            <w:r w:rsidRPr="00420059">
              <w:rPr>
                <w:rFonts w:ascii="Calibri" w:hAnsi="Calibri" w:cs="Calibri"/>
                <w:iCs/>
                <w:color w:val="000000"/>
                <w:sz w:val="20"/>
              </w:rPr>
              <w:t>sa</w:t>
            </w:r>
            <w:proofErr w:type="spellEnd"/>
            <w:r w:rsidRPr="00420059">
              <w:rPr>
                <w:rFonts w:ascii="Calibri" w:hAnsi="Calibri" w:cs="Calibri"/>
                <w:iCs/>
                <w:color w:val="000000"/>
                <w:sz w:val="20"/>
              </w:rPr>
              <w:t>)</w:t>
            </w:r>
          </w:p>
        </w:tc>
        <w:tc>
          <w:tcPr>
            <w:tcW w:w="938" w:type="dxa"/>
            <w:shd w:val="clear" w:color="auto" w:fill="auto"/>
            <w:vAlign w:val="center"/>
          </w:tcPr>
          <w:p w14:paraId="17C7BC31" w14:textId="2F3C8830" w:rsidR="00D76F16" w:rsidRPr="00420059" w:rsidRDefault="00E67E03" w:rsidP="00D76F1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May</w:t>
            </w:r>
            <w:r w:rsidR="00D76F16" w:rsidRPr="00420059">
              <w:rPr>
                <w:rFonts w:ascii="Calibri" w:hAnsi="Calibri" w:cs="Calibri"/>
                <w:color w:val="000000"/>
                <w:sz w:val="20"/>
              </w:rPr>
              <w:t>-23</w:t>
            </w:r>
          </w:p>
        </w:tc>
        <w:tc>
          <w:tcPr>
            <w:tcW w:w="1271" w:type="dxa"/>
            <w:shd w:val="clear" w:color="auto" w:fill="auto"/>
            <w:vAlign w:val="center"/>
          </w:tcPr>
          <w:p w14:paraId="648B5E05" w14:textId="404153F5" w:rsidR="00D76F16" w:rsidRPr="00420059" w:rsidRDefault="001034F8" w:rsidP="00420059">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35.</w:t>
            </w:r>
            <w:r w:rsidR="00E67E03" w:rsidRPr="00671F95">
              <w:rPr>
                <w:rFonts w:ascii="Calibri" w:hAnsi="Calibri" w:cs="Calibri"/>
                <w:color w:val="000000"/>
                <w:sz w:val="20"/>
              </w:rPr>
              <w:t>525</w:t>
            </w:r>
          </w:p>
        </w:tc>
        <w:tc>
          <w:tcPr>
            <w:tcW w:w="1083" w:type="dxa"/>
            <w:shd w:val="clear" w:color="auto" w:fill="auto"/>
            <w:vAlign w:val="center"/>
          </w:tcPr>
          <w:p w14:paraId="51A2C4D3" w14:textId="253EB286" w:rsidR="00D76F16" w:rsidRPr="00671F95" w:rsidRDefault="00CB132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20059">
              <w:rPr>
                <w:rFonts w:ascii="Calibri" w:hAnsi="Calibri" w:cs="Calibri"/>
                <w:color w:val="000000"/>
                <w:sz w:val="20"/>
              </w:rPr>
              <w:t>0</w:t>
            </w:r>
            <w:r w:rsidRPr="00671F95">
              <w:rPr>
                <w:rFonts w:ascii="Calibri" w:hAnsi="Calibri" w:cs="Calibri"/>
                <w:color w:val="000000"/>
                <w:sz w:val="20"/>
              </w:rPr>
              <w:t>.</w:t>
            </w:r>
            <w:r w:rsidR="00E67E03" w:rsidRPr="00671F95">
              <w:rPr>
                <w:rFonts w:ascii="Calibri" w:hAnsi="Calibri" w:cs="Calibri"/>
                <w:color w:val="000000"/>
                <w:sz w:val="20"/>
              </w:rPr>
              <w:t>7</w:t>
            </w:r>
            <w:r w:rsidR="00D76F16" w:rsidRPr="00420059">
              <w:rPr>
                <w:rFonts w:ascii="Calibri" w:hAnsi="Calibri" w:cs="Calibri"/>
                <w:color w:val="000000"/>
                <w:sz w:val="20"/>
              </w:rPr>
              <w:t>%</w:t>
            </w:r>
          </w:p>
        </w:tc>
        <w:tc>
          <w:tcPr>
            <w:tcW w:w="1076" w:type="dxa"/>
            <w:shd w:val="clear" w:color="auto" w:fill="auto"/>
            <w:vAlign w:val="center"/>
          </w:tcPr>
          <w:p w14:paraId="6C65B8C7" w14:textId="2D885383" w:rsidR="00D76F16" w:rsidRPr="00671F95" w:rsidRDefault="00CB132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4.2</w:t>
            </w:r>
            <w:r w:rsidR="00D76F16" w:rsidRPr="00671F95">
              <w:rPr>
                <w:rFonts w:ascii="Calibri" w:hAnsi="Calibri" w:cs="Calibri"/>
                <w:color w:val="000000"/>
                <w:sz w:val="20"/>
              </w:rPr>
              <w:t>%</w:t>
            </w:r>
          </w:p>
        </w:tc>
        <w:tc>
          <w:tcPr>
            <w:tcW w:w="1055" w:type="dxa"/>
            <w:shd w:val="clear" w:color="auto" w:fill="auto"/>
            <w:vAlign w:val="center"/>
          </w:tcPr>
          <w:p w14:paraId="156E9A3D" w14:textId="2E6DFF3B" w:rsidR="00D76F16" w:rsidRPr="00420059" w:rsidRDefault="002B0BD5"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9.8</w:t>
            </w:r>
            <w:r w:rsidR="00D76F16" w:rsidRPr="00420059">
              <w:rPr>
                <w:rFonts w:ascii="Calibri" w:hAnsi="Calibri" w:cs="Calibri"/>
                <w:color w:val="000000"/>
                <w:sz w:val="20"/>
              </w:rPr>
              <w:t>%</w:t>
            </w:r>
          </w:p>
        </w:tc>
        <w:tc>
          <w:tcPr>
            <w:tcW w:w="1435" w:type="dxa"/>
            <w:shd w:val="clear" w:color="auto" w:fill="auto"/>
            <w:vAlign w:val="center"/>
          </w:tcPr>
          <w:p w14:paraId="4F1FD806" w14:textId="4B61D1C7" w:rsidR="00D76F16" w:rsidRPr="00420059" w:rsidRDefault="002B0BD5" w:rsidP="00CB132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28.0</w:t>
            </w:r>
            <w:r w:rsidR="00D76F16" w:rsidRPr="00420059">
              <w:rPr>
                <w:rFonts w:ascii="Calibri" w:hAnsi="Calibri" w:cs="Calibri"/>
                <w:color w:val="000000"/>
                <w:sz w:val="20"/>
              </w:rPr>
              <w:t>%</w:t>
            </w:r>
          </w:p>
        </w:tc>
      </w:tr>
      <w:tr w:rsidR="00B243D8" w:rsidRPr="00797CA2" w14:paraId="4476EC8B"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2139FDD"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05E8AAB8" w14:textId="00997BC5"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vAlign w:val="center"/>
          </w:tcPr>
          <w:p w14:paraId="49EA089E" w14:textId="4C599217"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vAlign w:val="center"/>
          </w:tcPr>
          <w:p w14:paraId="325982F2" w14:textId="5C727D37"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vAlign w:val="center"/>
          </w:tcPr>
          <w:p w14:paraId="2F0146D2" w14:textId="74CE2E8A"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5F06B603" w14:textId="373E3AC4"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1F81751F" w14:textId="50D14179"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3D4B7B8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15D78E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19F2DDD4" w14:textId="0C3AD4B4" w:rsidR="00C54EB6" w:rsidRPr="00392EA0" w:rsidRDefault="00CB1326" w:rsidP="00CB132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C54EB6" w:rsidRPr="00392EA0">
              <w:rPr>
                <w:rFonts w:ascii="Calibri" w:hAnsi="Calibri" w:cs="Calibri"/>
                <w:color w:val="000000"/>
                <w:sz w:val="20"/>
              </w:rPr>
              <w:t>-2</w:t>
            </w:r>
            <w:r>
              <w:rPr>
                <w:rFonts w:ascii="Calibri" w:hAnsi="Calibri" w:cs="Calibri"/>
                <w:color w:val="000000"/>
                <w:sz w:val="20"/>
              </w:rPr>
              <w:t>3</w:t>
            </w:r>
          </w:p>
        </w:tc>
        <w:tc>
          <w:tcPr>
            <w:tcW w:w="1271" w:type="dxa"/>
            <w:shd w:val="clear" w:color="auto" w:fill="auto"/>
            <w:vAlign w:val="center"/>
          </w:tcPr>
          <w:p w14:paraId="1534C730" w14:textId="5F432904" w:rsidR="00C54EB6" w:rsidRPr="00995976" w:rsidRDefault="005E7A46"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CB1326">
              <w:rPr>
                <w:rFonts w:ascii="Calibri" w:hAnsi="Calibri" w:cs="Calibri"/>
                <w:color w:val="000000"/>
                <w:sz w:val="20"/>
              </w:rPr>
              <w:t>727</w:t>
            </w:r>
          </w:p>
        </w:tc>
        <w:tc>
          <w:tcPr>
            <w:tcW w:w="1083" w:type="dxa"/>
            <w:shd w:val="clear" w:color="auto" w:fill="auto"/>
            <w:vAlign w:val="center"/>
          </w:tcPr>
          <w:p w14:paraId="24CA469E" w14:textId="433833B2" w:rsidR="00C54EB6" w:rsidRPr="00392EA0" w:rsidRDefault="00C54EB6"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w:t>
            </w:r>
            <w:r w:rsidR="00CB1326">
              <w:rPr>
                <w:rFonts w:ascii="Calibri" w:hAnsi="Calibri" w:cs="Calibri"/>
                <w:color w:val="000000"/>
                <w:sz w:val="20"/>
              </w:rPr>
              <w:t>4.0</w:t>
            </w:r>
            <w:r w:rsidRPr="00392EA0">
              <w:rPr>
                <w:rFonts w:ascii="Calibri" w:hAnsi="Calibri" w:cs="Calibri"/>
                <w:color w:val="000000"/>
                <w:sz w:val="20"/>
              </w:rPr>
              <w:t>%</w:t>
            </w:r>
          </w:p>
        </w:tc>
        <w:tc>
          <w:tcPr>
            <w:tcW w:w="1076" w:type="dxa"/>
            <w:shd w:val="clear" w:color="auto" w:fill="auto"/>
            <w:vAlign w:val="center"/>
          </w:tcPr>
          <w:p w14:paraId="7F03EE7E" w14:textId="3DD1A7E9" w:rsidR="00C54EB6" w:rsidRPr="000A24B2" w:rsidRDefault="00CB132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5.0</w:t>
            </w:r>
            <w:r w:rsidR="00C54EB6" w:rsidRPr="000A24B2">
              <w:rPr>
                <w:rFonts w:ascii="Calibri" w:hAnsi="Calibri" w:cs="Calibri"/>
                <w:color w:val="000000"/>
                <w:sz w:val="20"/>
              </w:rPr>
              <w:t>%</w:t>
            </w:r>
          </w:p>
        </w:tc>
        <w:tc>
          <w:tcPr>
            <w:tcW w:w="1055" w:type="dxa"/>
            <w:shd w:val="clear" w:color="auto" w:fill="auto"/>
            <w:vAlign w:val="center"/>
          </w:tcPr>
          <w:p w14:paraId="54E14278" w14:textId="78481BF1" w:rsidR="00C54EB6" w:rsidRPr="00995976" w:rsidRDefault="00C54EB6"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5.</w:t>
            </w:r>
            <w:r w:rsidR="00CB1326">
              <w:rPr>
                <w:rFonts w:ascii="Calibri" w:hAnsi="Calibri" w:cs="Calibri"/>
                <w:color w:val="000000"/>
                <w:sz w:val="20"/>
              </w:rPr>
              <w:t>0</w:t>
            </w:r>
            <w:r w:rsidRPr="00995976">
              <w:rPr>
                <w:rFonts w:ascii="Calibri" w:hAnsi="Calibri" w:cs="Calibri"/>
                <w:color w:val="000000"/>
                <w:sz w:val="20"/>
              </w:rPr>
              <w:t>%</w:t>
            </w:r>
          </w:p>
        </w:tc>
        <w:tc>
          <w:tcPr>
            <w:tcW w:w="1435" w:type="dxa"/>
            <w:shd w:val="clear" w:color="auto" w:fill="auto"/>
            <w:vAlign w:val="center"/>
          </w:tcPr>
          <w:p w14:paraId="60BFE89B" w14:textId="3FE7C740" w:rsidR="00C54EB6" w:rsidRPr="00392EA0" w:rsidRDefault="00CB132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51.6</w:t>
            </w:r>
            <w:r w:rsidR="00C54EB6" w:rsidRPr="00392EA0">
              <w:rPr>
                <w:rFonts w:ascii="Calibri" w:hAnsi="Calibri" w:cs="Calibri"/>
                <w:color w:val="000000"/>
                <w:sz w:val="20"/>
              </w:rPr>
              <w:t>%</w:t>
            </w:r>
          </w:p>
        </w:tc>
      </w:tr>
      <w:tr w:rsidR="00B243D8" w:rsidRPr="00797CA2" w14:paraId="01B84F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3CF594B" w14:textId="5FB0FD5F" w:rsidR="00C54EB6" w:rsidRPr="00995976" w:rsidRDefault="00720F41"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w:t>
            </w:r>
            <w:proofErr w:type="spellStart"/>
            <w:r w:rsidRPr="00B243D8">
              <w:rPr>
                <w:rFonts w:ascii="Calibri" w:hAnsi="Calibri" w:cs="Calibri"/>
                <w:iCs/>
                <w:color w:val="000000"/>
                <w:sz w:val="20"/>
              </w:rPr>
              <w:t>Aus</w:t>
            </w:r>
            <w:proofErr w:type="spellEnd"/>
            <w:r w:rsidR="00C54EB6" w:rsidRPr="00995976">
              <w:rPr>
                <w:rFonts w:ascii="Calibri" w:hAnsi="Calibri" w:cs="Calibri"/>
                <w:iCs/>
                <w:color w:val="000000"/>
                <w:sz w:val="20"/>
              </w:rPr>
              <w:t>) (</w:t>
            </w:r>
            <w:proofErr w:type="spellStart"/>
            <w:r w:rsidR="00C54EB6" w:rsidRPr="00995976">
              <w:rPr>
                <w:rFonts w:ascii="Calibri" w:hAnsi="Calibri" w:cs="Calibri"/>
                <w:iCs/>
                <w:color w:val="000000"/>
                <w:sz w:val="20"/>
              </w:rPr>
              <w:t>sa</w:t>
            </w:r>
            <w:proofErr w:type="spellEnd"/>
            <w:r w:rsidR="00C54EB6" w:rsidRPr="00995976">
              <w:rPr>
                <w:rFonts w:ascii="Calibri" w:hAnsi="Calibri" w:cs="Calibri"/>
                <w:iCs/>
                <w:color w:val="000000"/>
                <w:sz w:val="20"/>
              </w:rPr>
              <w:t>)</w:t>
            </w:r>
          </w:p>
        </w:tc>
        <w:tc>
          <w:tcPr>
            <w:tcW w:w="938" w:type="dxa"/>
            <w:vAlign w:val="center"/>
          </w:tcPr>
          <w:p w14:paraId="14A144E7" w14:textId="79FA9C52" w:rsidR="00C54EB6" w:rsidRPr="00392EA0" w:rsidRDefault="006536A6"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C54EB6" w:rsidRPr="00392EA0">
              <w:rPr>
                <w:rFonts w:ascii="Calibri" w:hAnsi="Calibri" w:cs="Calibri"/>
                <w:color w:val="000000"/>
                <w:sz w:val="20"/>
              </w:rPr>
              <w:t>-2</w:t>
            </w:r>
            <w:r>
              <w:rPr>
                <w:rFonts w:ascii="Calibri" w:hAnsi="Calibri" w:cs="Calibri"/>
                <w:color w:val="000000"/>
                <w:sz w:val="20"/>
              </w:rPr>
              <w:t>3</w:t>
            </w:r>
          </w:p>
        </w:tc>
        <w:tc>
          <w:tcPr>
            <w:tcW w:w="1271" w:type="dxa"/>
            <w:vAlign w:val="center"/>
          </w:tcPr>
          <w:p w14:paraId="09DCFD4E" w14:textId="798729F6" w:rsidR="00C54EB6" w:rsidRPr="00392EA0" w:rsidRDefault="005E7A46" w:rsidP="006E31A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w:t>
            </w:r>
            <w:r w:rsidR="006536A6">
              <w:rPr>
                <w:rFonts w:ascii="Calibri" w:hAnsi="Calibri" w:cs="Calibri"/>
                <w:color w:val="000000"/>
                <w:sz w:val="20"/>
              </w:rPr>
              <w:t>7</w:t>
            </w:r>
            <w:r>
              <w:rPr>
                <w:rFonts w:ascii="Calibri" w:hAnsi="Calibri" w:cs="Calibri"/>
                <w:color w:val="000000"/>
                <w:sz w:val="20"/>
              </w:rPr>
              <w:t>.</w:t>
            </w:r>
            <w:r w:rsidR="006E31A4">
              <w:rPr>
                <w:rFonts w:ascii="Calibri" w:hAnsi="Calibri" w:cs="Calibri"/>
                <w:color w:val="000000"/>
                <w:sz w:val="20"/>
              </w:rPr>
              <w:t>687</w:t>
            </w:r>
          </w:p>
        </w:tc>
        <w:tc>
          <w:tcPr>
            <w:tcW w:w="1083" w:type="dxa"/>
            <w:vAlign w:val="center"/>
          </w:tcPr>
          <w:p w14:paraId="7DEE5354" w14:textId="6EEE3AE6" w:rsidR="00C54EB6" w:rsidRPr="000A24B2" w:rsidRDefault="006536A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w:t>
            </w:r>
            <w:r w:rsidR="00C54EB6" w:rsidRPr="000A24B2">
              <w:rPr>
                <w:rFonts w:ascii="Calibri" w:hAnsi="Calibri" w:cs="Calibri"/>
                <w:color w:val="000000"/>
                <w:sz w:val="20"/>
              </w:rPr>
              <w:t>%</w:t>
            </w:r>
          </w:p>
        </w:tc>
        <w:tc>
          <w:tcPr>
            <w:tcW w:w="1076" w:type="dxa"/>
            <w:vAlign w:val="center"/>
          </w:tcPr>
          <w:p w14:paraId="3AFFADFC" w14:textId="7AAB577C" w:rsidR="00C54EB6" w:rsidRPr="00797CA2" w:rsidRDefault="00CB132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w:t>
            </w:r>
            <w:r w:rsidR="00C54EB6" w:rsidRPr="00797CA2">
              <w:rPr>
                <w:rFonts w:ascii="Calibri" w:hAnsi="Calibri" w:cs="Calibri"/>
                <w:color w:val="000000"/>
                <w:sz w:val="20"/>
              </w:rPr>
              <w:t>%</w:t>
            </w:r>
          </w:p>
        </w:tc>
        <w:tc>
          <w:tcPr>
            <w:tcW w:w="1055" w:type="dxa"/>
            <w:vAlign w:val="center"/>
          </w:tcPr>
          <w:p w14:paraId="7DC268BF" w14:textId="4A0F6962" w:rsidR="00C54EB6" w:rsidRPr="00797CA2" w:rsidRDefault="00CB132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w:t>
            </w:r>
            <w:r w:rsidR="00C54EB6" w:rsidRPr="00797CA2">
              <w:rPr>
                <w:rFonts w:ascii="Calibri" w:hAnsi="Calibri" w:cs="Calibri"/>
                <w:color w:val="000000"/>
                <w:sz w:val="20"/>
              </w:rPr>
              <w:t>%</w:t>
            </w:r>
          </w:p>
        </w:tc>
        <w:tc>
          <w:tcPr>
            <w:tcW w:w="1435" w:type="dxa"/>
            <w:vAlign w:val="center"/>
          </w:tcPr>
          <w:p w14:paraId="26395D2D" w14:textId="59926A7D" w:rsidR="00C54EB6" w:rsidRPr="00797CA2" w:rsidRDefault="00CB132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8.1</w:t>
            </w:r>
            <w:r w:rsidR="00C54EB6" w:rsidRPr="00797CA2">
              <w:rPr>
                <w:rFonts w:ascii="Calibri" w:hAnsi="Calibri" w:cs="Calibri"/>
                <w:color w:val="000000"/>
                <w:sz w:val="20"/>
              </w:rPr>
              <w:t>%</w:t>
            </w:r>
          </w:p>
        </w:tc>
      </w:tr>
      <w:tr w:rsidR="00B243D8" w:rsidRPr="00797CA2" w14:paraId="0BAEC79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6CEDEA2"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shd w:val="clear" w:color="auto" w:fill="auto"/>
            <w:vAlign w:val="center"/>
          </w:tcPr>
          <w:p w14:paraId="193FAD5F" w14:textId="601357DB" w:rsidR="003763FC" w:rsidRPr="00392EA0"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shd w:val="clear" w:color="auto" w:fill="auto"/>
            <w:vAlign w:val="center"/>
          </w:tcPr>
          <w:p w14:paraId="3AEAC8B0" w14:textId="62E6D88F" w:rsidR="003763FC" w:rsidRPr="000A24B2" w:rsidRDefault="003763FC"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shd w:val="clear" w:color="auto" w:fill="auto"/>
            <w:vAlign w:val="center"/>
          </w:tcPr>
          <w:p w14:paraId="5C21E419" w14:textId="4D1974F0"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shd w:val="clear" w:color="auto" w:fill="auto"/>
            <w:vAlign w:val="center"/>
          </w:tcPr>
          <w:p w14:paraId="1B387CF5" w14:textId="1B58B4BE"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shd w:val="clear" w:color="auto" w:fill="auto"/>
            <w:vAlign w:val="center"/>
          </w:tcPr>
          <w:p w14:paraId="611E8FBB" w14:textId="58CCDD29"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shd w:val="clear" w:color="auto" w:fill="auto"/>
            <w:vAlign w:val="center"/>
          </w:tcPr>
          <w:p w14:paraId="6C7CD2C5" w14:textId="1EE81BE9" w:rsidR="003763FC" w:rsidRPr="00797CA2" w:rsidRDefault="003763FC"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19F9009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B2C387C"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Residential building activity (NT)</w:t>
            </w:r>
          </w:p>
        </w:tc>
        <w:tc>
          <w:tcPr>
            <w:tcW w:w="938" w:type="dxa"/>
            <w:vAlign w:val="center"/>
          </w:tcPr>
          <w:p w14:paraId="7A7FC935" w14:textId="5D47AD78" w:rsidR="00C54EB6" w:rsidRPr="00392EA0" w:rsidRDefault="006536A6"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Dec</w:t>
            </w:r>
            <w:r w:rsidR="00C54EB6" w:rsidRPr="00392EA0">
              <w:rPr>
                <w:rFonts w:ascii="Calibri" w:hAnsi="Calibri" w:cs="Calibri"/>
                <w:color w:val="000000"/>
                <w:sz w:val="20"/>
              </w:rPr>
              <w:t>-22</w:t>
            </w:r>
          </w:p>
        </w:tc>
        <w:tc>
          <w:tcPr>
            <w:tcW w:w="1271" w:type="dxa"/>
            <w:vAlign w:val="center"/>
          </w:tcPr>
          <w:p w14:paraId="1356E021" w14:textId="65A257EA" w:rsidR="00C54EB6" w:rsidRPr="00995976" w:rsidRDefault="00DF7C55" w:rsidP="006536A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0.0</w:t>
            </w:r>
            <w:r w:rsidR="006536A6">
              <w:rPr>
                <w:rFonts w:ascii="Calibri" w:hAnsi="Calibri" w:cs="Calibri"/>
                <w:color w:val="000000"/>
                <w:sz w:val="20"/>
              </w:rPr>
              <w:t>8</w:t>
            </w:r>
            <w:r>
              <w:rPr>
                <w:rFonts w:ascii="Calibri" w:hAnsi="Calibri" w:cs="Calibri"/>
                <w:color w:val="000000"/>
                <w:sz w:val="20"/>
              </w:rPr>
              <w:t>2</w:t>
            </w:r>
          </w:p>
        </w:tc>
        <w:tc>
          <w:tcPr>
            <w:tcW w:w="1083" w:type="dxa"/>
            <w:vAlign w:val="center"/>
          </w:tcPr>
          <w:p w14:paraId="06E11ECB" w14:textId="09EE0344" w:rsidR="00C54EB6" w:rsidRPr="00392EA0" w:rsidRDefault="006536A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-12.5</w:t>
            </w:r>
            <w:r w:rsidR="00C54EB6" w:rsidRPr="00392EA0">
              <w:rPr>
                <w:rFonts w:ascii="Calibri" w:hAnsi="Calibri" w:cs="Calibri"/>
                <w:color w:val="000000"/>
                <w:sz w:val="20"/>
              </w:rPr>
              <w:t>%</w:t>
            </w:r>
          </w:p>
        </w:tc>
        <w:tc>
          <w:tcPr>
            <w:tcW w:w="1076" w:type="dxa"/>
            <w:vAlign w:val="center"/>
          </w:tcPr>
          <w:p w14:paraId="05670C32" w14:textId="101CB589" w:rsidR="00C54EB6" w:rsidRPr="00797CA2" w:rsidRDefault="006536A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-4.3</w:t>
            </w:r>
            <w:r w:rsidR="00C54EB6" w:rsidRPr="000A24B2">
              <w:rPr>
                <w:rFonts w:ascii="Calibri" w:hAnsi="Calibri" w:cs="Calibri"/>
                <w:color w:val="000000"/>
                <w:sz w:val="20"/>
              </w:rPr>
              <w:t>%</w:t>
            </w:r>
          </w:p>
        </w:tc>
        <w:tc>
          <w:tcPr>
            <w:tcW w:w="1055" w:type="dxa"/>
            <w:vAlign w:val="center"/>
          </w:tcPr>
          <w:p w14:paraId="5D4B815A" w14:textId="19351BC4" w:rsidR="00C54EB6" w:rsidRPr="00797CA2" w:rsidRDefault="00C54EB6"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w:t>
            </w:r>
            <w:r w:rsidR="006536A6">
              <w:rPr>
                <w:rFonts w:ascii="Calibri" w:hAnsi="Calibri" w:cs="Calibri"/>
                <w:color w:val="000000"/>
                <w:sz w:val="20"/>
              </w:rPr>
              <w:t>7.0</w:t>
            </w:r>
            <w:r w:rsidRPr="00797CA2">
              <w:rPr>
                <w:rFonts w:ascii="Calibri" w:hAnsi="Calibri" w:cs="Calibri"/>
                <w:color w:val="000000"/>
                <w:sz w:val="20"/>
              </w:rPr>
              <w:t>%</w:t>
            </w:r>
          </w:p>
        </w:tc>
        <w:tc>
          <w:tcPr>
            <w:tcW w:w="1435" w:type="dxa"/>
            <w:vAlign w:val="center"/>
          </w:tcPr>
          <w:p w14:paraId="34AE3376" w14:textId="7262A64F" w:rsidR="00C54EB6" w:rsidRPr="00797CA2" w:rsidRDefault="006536A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r w:rsidR="00C54EB6" w:rsidRPr="00797CA2">
              <w:rPr>
                <w:rFonts w:ascii="Calibri" w:hAnsi="Calibri" w:cs="Calibri"/>
                <w:color w:val="000000"/>
                <w:sz w:val="20"/>
              </w:rPr>
              <w:t>%</w:t>
            </w:r>
          </w:p>
        </w:tc>
      </w:tr>
      <w:tr w:rsidR="00B243D8" w:rsidRPr="00797CA2" w14:paraId="06AEC18E"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097BE8E" w14:textId="7A03675B"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w:t>
            </w:r>
            <w:r w:rsidR="00720F41" w:rsidRPr="00995976">
              <w:rPr>
                <w:rFonts w:ascii="Calibri" w:hAnsi="Calibri" w:cs="Calibri"/>
                <w:iCs/>
                <w:color w:val="000000"/>
                <w:sz w:val="20"/>
              </w:rPr>
              <w:t>idential building activity (</w:t>
            </w:r>
            <w:proofErr w:type="spellStart"/>
            <w:r w:rsidR="00720F41" w:rsidRPr="00995976">
              <w:rPr>
                <w:rFonts w:ascii="Calibri" w:hAnsi="Calibri" w:cs="Calibri"/>
                <w:iCs/>
                <w:color w:val="000000"/>
                <w:sz w:val="20"/>
              </w:rPr>
              <w:t>Aus</w:t>
            </w:r>
            <w:proofErr w:type="spellEnd"/>
            <w:r w:rsidRPr="00995976">
              <w:rPr>
                <w:rFonts w:ascii="Calibri" w:hAnsi="Calibri" w:cs="Calibri"/>
                <w:iCs/>
                <w:color w:val="000000"/>
                <w:sz w:val="20"/>
              </w:rPr>
              <w:t>)</w:t>
            </w:r>
          </w:p>
        </w:tc>
        <w:tc>
          <w:tcPr>
            <w:tcW w:w="938" w:type="dxa"/>
            <w:shd w:val="clear" w:color="auto" w:fill="auto"/>
            <w:vAlign w:val="center"/>
          </w:tcPr>
          <w:p w14:paraId="5875F512" w14:textId="37820AF9" w:rsidR="00C54EB6" w:rsidRPr="00392EA0" w:rsidRDefault="006536A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Dec</w:t>
            </w:r>
            <w:r w:rsidR="00C54EB6" w:rsidRPr="00392EA0">
              <w:rPr>
                <w:rFonts w:ascii="Calibri" w:hAnsi="Calibri" w:cs="Calibri"/>
                <w:color w:val="000000"/>
                <w:sz w:val="20"/>
              </w:rPr>
              <w:t>-22</w:t>
            </w:r>
          </w:p>
        </w:tc>
        <w:tc>
          <w:tcPr>
            <w:tcW w:w="1271" w:type="dxa"/>
            <w:shd w:val="clear" w:color="auto" w:fill="auto"/>
            <w:vAlign w:val="center"/>
          </w:tcPr>
          <w:p w14:paraId="4047A92E" w14:textId="38E0B9C7" w:rsidR="00C54EB6" w:rsidRPr="00995976" w:rsidRDefault="00DF7C55"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w:t>
            </w:r>
            <w:r w:rsidR="006536A6">
              <w:rPr>
                <w:rFonts w:ascii="Calibri" w:hAnsi="Calibri" w:cs="Calibri"/>
                <w:color w:val="000000"/>
                <w:sz w:val="20"/>
              </w:rPr>
              <w:t>467</w:t>
            </w:r>
          </w:p>
        </w:tc>
        <w:tc>
          <w:tcPr>
            <w:tcW w:w="1083" w:type="dxa"/>
            <w:shd w:val="clear" w:color="auto" w:fill="auto"/>
            <w:vAlign w:val="center"/>
          </w:tcPr>
          <w:p w14:paraId="18320F66" w14:textId="793CA9C6" w:rsidR="00C54EB6" w:rsidRPr="00392EA0" w:rsidRDefault="006536A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w:t>
            </w:r>
            <w:r w:rsidR="00C54EB6" w:rsidRPr="00392EA0">
              <w:rPr>
                <w:rFonts w:ascii="Calibri" w:hAnsi="Calibri" w:cs="Calibri"/>
                <w:color w:val="000000"/>
                <w:sz w:val="20"/>
              </w:rPr>
              <w:t>%</w:t>
            </w:r>
          </w:p>
        </w:tc>
        <w:tc>
          <w:tcPr>
            <w:tcW w:w="1076" w:type="dxa"/>
            <w:shd w:val="clear" w:color="auto" w:fill="auto"/>
            <w:vAlign w:val="center"/>
          </w:tcPr>
          <w:p w14:paraId="53856CAF" w14:textId="4ADE1FCA" w:rsidR="00C54EB6" w:rsidRPr="00797CA2" w:rsidRDefault="00C54EB6"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w:t>
            </w:r>
            <w:r w:rsidR="006536A6">
              <w:rPr>
                <w:rFonts w:ascii="Calibri" w:hAnsi="Calibri" w:cs="Calibri"/>
                <w:color w:val="000000"/>
                <w:sz w:val="20"/>
              </w:rPr>
              <w:t>2.2</w:t>
            </w:r>
            <w:r w:rsidRPr="000A24B2">
              <w:rPr>
                <w:rFonts w:ascii="Calibri" w:hAnsi="Calibri" w:cs="Calibri"/>
                <w:color w:val="000000"/>
                <w:sz w:val="20"/>
              </w:rPr>
              <w:t>%</w:t>
            </w:r>
          </w:p>
        </w:tc>
        <w:tc>
          <w:tcPr>
            <w:tcW w:w="1055" w:type="dxa"/>
            <w:shd w:val="clear" w:color="auto" w:fill="auto"/>
            <w:vAlign w:val="center"/>
          </w:tcPr>
          <w:p w14:paraId="40A74AFE" w14:textId="113827C5" w:rsidR="00C54EB6" w:rsidRPr="00797CA2" w:rsidRDefault="00C54EB6"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-3</w:t>
            </w:r>
            <w:r w:rsidR="00720F41" w:rsidRPr="00797CA2">
              <w:rPr>
                <w:rFonts w:ascii="Calibri" w:hAnsi="Calibri" w:cs="Calibri"/>
                <w:color w:val="000000"/>
                <w:sz w:val="20"/>
              </w:rPr>
              <w:t>.</w:t>
            </w:r>
            <w:r w:rsidR="006536A6">
              <w:rPr>
                <w:rFonts w:ascii="Calibri" w:hAnsi="Calibri" w:cs="Calibri"/>
                <w:color w:val="000000"/>
                <w:sz w:val="20"/>
              </w:rPr>
              <w:t>6</w:t>
            </w:r>
            <w:r w:rsidRPr="00797CA2">
              <w:rPr>
                <w:rFonts w:ascii="Calibri" w:hAnsi="Calibri" w:cs="Calibri"/>
                <w:color w:val="000000"/>
                <w:sz w:val="20"/>
              </w:rPr>
              <w:t>%</w:t>
            </w:r>
          </w:p>
        </w:tc>
        <w:tc>
          <w:tcPr>
            <w:tcW w:w="1435" w:type="dxa"/>
            <w:shd w:val="clear" w:color="auto" w:fill="auto"/>
            <w:vAlign w:val="center"/>
          </w:tcPr>
          <w:p w14:paraId="6CF4CECF" w14:textId="58095958" w:rsidR="00C54EB6" w:rsidRPr="00797CA2" w:rsidRDefault="00C54EB6" w:rsidP="006536A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w:t>
            </w:r>
            <w:r w:rsidR="006536A6">
              <w:rPr>
                <w:rFonts w:ascii="Calibri" w:hAnsi="Calibri" w:cs="Calibri"/>
                <w:color w:val="000000"/>
                <w:sz w:val="20"/>
              </w:rPr>
              <w:t>1.1</w:t>
            </w:r>
            <w:r w:rsidRPr="00797CA2">
              <w:rPr>
                <w:rFonts w:ascii="Calibri" w:hAnsi="Calibri" w:cs="Calibri"/>
                <w:color w:val="000000"/>
                <w:sz w:val="20"/>
              </w:rPr>
              <w:t>%</w:t>
            </w:r>
          </w:p>
        </w:tc>
      </w:tr>
      <w:tr w:rsidR="00B243D8" w:rsidRPr="00797CA2" w14:paraId="3CAAD79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9441CDB"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4513E735" w14:textId="7203D817"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vAlign w:val="center"/>
          </w:tcPr>
          <w:p w14:paraId="2799BA97" w14:textId="621FFD51"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vAlign w:val="center"/>
          </w:tcPr>
          <w:p w14:paraId="4F9800A1" w14:textId="15F5A0FD"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vAlign w:val="center"/>
          </w:tcPr>
          <w:p w14:paraId="155D0F29" w14:textId="75F5316C"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2E1B563C" w14:textId="7A2AFC60"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69C81A6E" w14:textId="2E8F5A76"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4C360432"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1E59DC" w14:textId="5CF5EFE2" w:rsidR="00937C11" w:rsidRPr="00671F95" w:rsidRDefault="00937C11" w:rsidP="00937C11">
            <w:pPr>
              <w:spacing w:before="0" w:after="0"/>
              <w:ind w:firstLineChars="200" w:firstLine="400"/>
              <w:rPr>
                <w:rFonts w:ascii="Calibri" w:hAnsi="Calibri" w:cs="Calibri"/>
                <w:iCs/>
                <w:color w:val="000000"/>
                <w:sz w:val="20"/>
              </w:rPr>
            </w:pPr>
            <w:r w:rsidRPr="00671F95">
              <w:rPr>
                <w:rFonts w:ascii="Calibri" w:hAnsi="Calibri" w:cs="Calibri"/>
                <w:iCs/>
                <w:color w:val="000000"/>
                <w:sz w:val="20"/>
              </w:rPr>
              <w:t>Nominal goods exports (NT)</w:t>
            </w:r>
          </w:p>
        </w:tc>
        <w:tc>
          <w:tcPr>
            <w:tcW w:w="938" w:type="dxa"/>
            <w:shd w:val="clear" w:color="auto" w:fill="auto"/>
            <w:vAlign w:val="center"/>
          </w:tcPr>
          <w:p w14:paraId="046A0CC4" w14:textId="02B9A354" w:rsidR="00937C11" w:rsidRPr="00671F95" w:rsidRDefault="0087446D"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May</w:t>
            </w:r>
            <w:r w:rsidR="00765B4A" w:rsidRPr="00671F95">
              <w:rPr>
                <w:rFonts w:ascii="Calibri" w:hAnsi="Calibri" w:cs="Calibri"/>
                <w:color w:val="000000"/>
                <w:sz w:val="20"/>
              </w:rPr>
              <w:t>-23</w:t>
            </w:r>
          </w:p>
        </w:tc>
        <w:tc>
          <w:tcPr>
            <w:tcW w:w="1271" w:type="dxa"/>
            <w:shd w:val="clear" w:color="auto" w:fill="auto"/>
            <w:vAlign w:val="center"/>
          </w:tcPr>
          <w:p w14:paraId="73786563" w14:textId="7F6223B3" w:rsidR="00937C11" w:rsidRPr="00671F95" w:rsidRDefault="0087446D" w:rsidP="0089556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1.347</w:t>
            </w:r>
          </w:p>
        </w:tc>
        <w:tc>
          <w:tcPr>
            <w:tcW w:w="1083" w:type="dxa"/>
            <w:shd w:val="clear" w:color="auto" w:fill="auto"/>
            <w:vAlign w:val="center"/>
          </w:tcPr>
          <w:p w14:paraId="6CD6766A" w14:textId="73007BD7" w:rsidR="00937C11" w:rsidRPr="00671F95" w:rsidRDefault="0087446D"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29.3</w:t>
            </w:r>
            <w:r w:rsidR="00F12F1A" w:rsidRPr="00671F95">
              <w:rPr>
                <w:rFonts w:ascii="Calibri" w:hAnsi="Calibri" w:cs="Calibri"/>
                <w:color w:val="000000"/>
                <w:sz w:val="20"/>
              </w:rPr>
              <w:t>%</w:t>
            </w:r>
          </w:p>
        </w:tc>
        <w:tc>
          <w:tcPr>
            <w:tcW w:w="1076" w:type="dxa"/>
            <w:shd w:val="clear" w:color="auto" w:fill="auto"/>
            <w:vAlign w:val="center"/>
          </w:tcPr>
          <w:p w14:paraId="7A89AD3A" w14:textId="749BE402" w:rsidR="00937C11" w:rsidRPr="00671F95" w:rsidRDefault="00723B37" w:rsidP="00420059">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w:t>
            </w:r>
            <w:r w:rsidR="0087446D" w:rsidRPr="00671F95">
              <w:rPr>
                <w:rFonts w:ascii="Calibri" w:hAnsi="Calibri" w:cs="Calibri"/>
                <w:color w:val="000000"/>
                <w:sz w:val="20"/>
              </w:rPr>
              <w:t>4</w:t>
            </w:r>
            <w:r w:rsidR="00895561" w:rsidRPr="00671F95">
              <w:rPr>
                <w:rFonts w:ascii="Calibri" w:hAnsi="Calibri" w:cs="Calibri"/>
                <w:color w:val="000000"/>
                <w:sz w:val="20"/>
              </w:rPr>
              <w:t>.4</w:t>
            </w:r>
            <w:r w:rsidRPr="00671F95">
              <w:rPr>
                <w:rFonts w:ascii="Calibri" w:hAnsi="Calibri" w:cs="Calibri"/>
                <w:color w:val="000000"/>
                <w:sz w:val="20"/>
              </w:rPr>
              <w:t>%</w:t>
            </w:r>
          </w:p>
        </w:tc>
        <w:tc>
          <w:tcPr>
            <w:tcW w:w="1055" w:type="dxa"/>
            <w:shd w:val="clear" w:color="auto" w:fill="auto"/>
            <w:vAlign w:val="center"/>
          </w:tcPr>
          <w:p w14:paraId="0EC7797E" w14:textId="28DC29A9" w:rsidR="00937C11" w:rsidRPr="00671F95" w:rsidRDefault="0087446D"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-2.3</w:t>
            </w:r>
            <w:r w:rsidR="00937C11" w:rsidRPr="00671F95">
              <w:rPr>
                <w:rFonts w:ascii="Calibri" w:hAnsi="Calibri" w:cs="Calibri"/>
                <w:color w:val="000000"/>
                <w:sz w:val="20"/>
              </w:rPr>
              <w:t>%</w:t>
            </w:r>
          </w:p>
        </w:tc>
        <w:tc>
          <w:tcPr>
            <w:tcW w:w="1435" w:type="dxa"/>
            <w:shd w:val="clear" w:color="auto" w:fill="auto"/>
            <w:vAlign w:val="center"/>
          </w:tcPr>
          <w:p w14:paraId="158C8E26" w14:textId="2136F8FC" w:rsidR="00937C11" w:rsidRPr="00671F95" w:rsidRDefault="004E1497"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22.</w:t>
            </w:r>
            <w:r w:rsidR="00895561" w:rsidRPr="00671F95">
              <w:rPr>
                <w:rFonts w:ascii="Calibri" w:hAnsi="Calibri" w:cs="Calibri"/>
                <w:color w:val="000000"/>
                <w:sz w:val="20"/>
              </w:rPr>
              <w:t>7</w:t>
            </w:r>
            <w:r w:rsidR="00937C11" w:rsidRPr="00671F95">
              <w:rPr>
                <w:rFonts w:ascii="Calibri" w:hAnsi="Calibri" w:cs="Calibri"/>
                <w:color w:val="000000"/>
                <w:sz w:val="20"/>
              </w:rPr>
              <w:t>%</w:t>
            </w:r>
          </w:p>
        </w:tc>
      </w:tr>
      <w:tr w:rsidR="00B243D8" w:rsidRPr="00797CA2" w14:paraId="3D7FC88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F4BDB70" w14:textId="0871BD09" w:rsidR="00937C11" w:rsidRPr="00671F95" w:rsidRDefault="00937C11" w:rsidP="00937C11">
            <w:pPr>
              <w:spacing w:before="0" w:after="0"/>
              <w:ind w:firstLineChars="200" w:firstLine="400"/>
              <w:rPr>
                <w:rFonts w:ascii="Calibri" w:hAnsi="Calibri" w:cs="Calibri"/>
                <w:iCs/>
                <w:color w:val="000000"/>
                <w:sz w:val="20"/>
                <w:highlight w:val="yellow"/>
              </w:rPr>
            </w:pPr>
            <w:r w:rsidRPr="00420059">
              <w:rPr>
                <w:rFonts w:ascii="Calibri" w:hAnsi="Calibri" w:cs="Calibri"/>
                <w:iCs/>
                <w:color w:val="000000"/>
                <w:sz w:val="20"/>
              </w:rPr>
              <w:t xml:space="preserve">Nominal goods </w:t>
            </w:r>
            <w:r w:rsidR="00720F41" w:rsidRPr="00420059">
              <w:rPr>
                <w:rFonts w:ascii="Calibri" w:hAnsi="Calibri" w:cs="Calibri"/>
                <w:iCs/>
                <w:color w:val="000000"/>
                <w:sz w:val="20"/>
              </w:rPr>
              <w:t>exports (</w:t>
            </w:r>
            <w:proofErr w:type="spellStart"/>
            <w:r w:rsidR="00720F41" w:rsidRPr="00420059">
              <w:rPr>
                <w:rFonts w:ascii="Calibri" w:hAnsi="Calibri" w:cs="Calibri"/>
                <w:iCs/>
                <w:color w:val="000000"/>
                <w:sz w:val="20"/>
              </w:rPr>
              <w:t>Aus</w:t>
            </w:r>
            <w:proofErr w:type="spellEnd"/>
            <w:r w:rsidRPr="00671F95">
              <w:rPr>
                <w:rFonts w:ascii="Calibri" w:hAnsi="Calibri" w:cs="Calibri"/>
                <w:iCs/>
                <w:color w:val="000000"/>
                <w:sz w:val="20"/>
              </w:rPr>
              <w:t>) (</w:t>
            </w:r>
            <w:proofErr w:type="spellStart"/>
            <w:r w:rsidRPr="00671F95">
              <w:rPr>
                <w:rFonts w:ascii="Calibri" w:hAnsi="Calibri" w:cs="Calibri"/>
                <w:iCs/>
                <w:color w:val="000000"/>
                <w:sz w:val="20"/>
              </w:rPr>
              <w:t>sa</w:t>
            </w:r>
            <w:proofErr w:type="spellEnd"/>
            <w:r w:rsidRPr="00671F95">
              <w:rPr>
                <w:rFonts w:ascii="Calibri" w:hAnsi="Calibri" w:cs="Calibri"/>
                <w:iCs/>
                <w:color w:val="000000"/>
                <w:sz w:val="20"/>
              </w:rPr>
              <w:t>)</w:t>
            </w:r>
          </w:p>
        </w:tc>
        <w:tc>
          <w:tcPr>
            <w:tcW w:w="938" w:type="dxa"/>
            <w:vAlign w:val="center"/>
          </w:tcPr>
          <w:p w14:paraId="2C2E3965" w14:textId="54FAA50D" w:rsidR="00937C11" w:rsidRPr="00420059" w:rsidRDefault="0087446D"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1F95">
              <w:rPr>
                <w:rFonts w:ascii="Calibri" w:hAnsi="Calibri" w:cs="Calibri"/>
                <w:color w:val="000000"/>
                <w:sz w:val="20"/>
              </w:rPr>
              <w:t>May</w:t>
            </w:r>
            <w:r w:rsidR="00765B4A" w:rsidRPr="00420059">
              <w:rPr>
                <w:rFonts w:ascii="Calibri" w:hAnsi="Calibri" w:cs="Calibri"/>
                <w:color w:val="000000"/>
                <w:sz w:val="20"/>
              </w:rPr>
              <w:t>-23</w:t>
            </w:r>
          </w:p>
        </w:tc>
        <w:tc>
          <w:tcPr>
            <w:tcW w:w="1271" w:type="dxa"/>
            <w:vAlign w:val="center"/>
          </w:tcPr>
          <w:p w14:paraId="045CAC24" w14:textId="246FC374" w:rsidR="00937C11" w:rsidRPr="00292F85" w:rsidRDefault="00CD7E47" w:rsidP="00292F8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042E05">
              <w:rPr>
                <w:rFonts w:ascii="Calibri" w:hAnsi="Calibri" w:cs="Calibri"/>
                <w:color w:val="000000"/>
                <w:sz w:val="20"/>
              </w:rPr>
              <w:t>48.9</w:t>
            </w:r>
            <w:r w:rsidR="00292F85" w:rsidRPr="00042E05">
              <w:rPr>
                <w:rFonts w:ascii="Calibri" w:hAnsi="Calibri" w:cs="Calibri"/>
                <w:color w:val="000000"/>
                <w:sz w:val="20"/>
              </w:rPr>
              <w:t>06</w:t>
            </w:r>
          </w:p>
        </w:tc>
        <w:tc>
          <w:tcPr>
            <w:tcW w:w="1083" w:type="dxa"/>
            <w:vAlign w:val="center"/>
          </w:tcPr>
          <w:p w14:paraId="72448963" w14:textId="3258C82D" w:rsidR="00937C11" w:rsidRPr="00292F85" w:rsidRDefault="00292F85"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042E05">
              <w:rPr>
                <w:rFonts w:ascii="Calibri" w:hAnsi="Calibri" w:cs="Calibri"/>
                <w:color w:val="000000"/>
                <w:sz w:val="20"/>
              </w:rPr>
              <w:t>5.0</w:t>
            </w:r>
            <w:r w:rsidR="00937C11" w:rsidRPr="00042E05">
              <w:rPr>
                <w:rFonts w:ascii="Calibri" w:hAnsi="Calibri" w:cs="Calibri"/>
                <w:color w:val="000000"/>
                <w:sz w:val="20"/>
              </w:rPr>
              <w:t>%</w:t>
            </w:r>
          </w:p>
        </w:tc>
        <w:tc>
          <w:tcPr>
            <w:tcW w:w="1076" w:type="dxa"/>
            <w:vAlign w:val="center"/>
          </w:tcPr>
          <w:p w14:paraId="4A579087" w14:textId="7FE488BB" w:rsidR="00937C11" w:rsidRPr="00292F85" w:rsidRDefault="00895561" w:rsidP="00292F8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042E05">
              <w:rPr>
                <w:rFonts w:ascii="Calibri" w:hAnsi="Calibri" w:cs="Calibri"/>
                <w:color w:val="000000"/>
                <w:sz w:val="20"/>
              </w:rPr>
              <w:t>-</w:t>
            </w:r>
            <w:r w:rsidR="00292F85" w:rsidRPr="00042E05">
              <w:rPr>
                <w:rFonts w:ascii="Calibri" w:hAnsi="Calibri" w:cs="Calibri"/>
                <w:color w:val="000000"/>
                <w:sz w:val="20"/>
              </w:rPr>
              <w:t>7.6</w:t>
            </w:r>
            <w:r w:rsidR="00E34A55" w:rsidRPr="00042E05">
              <w:rPr>
                <w:rFonts w:ascii="Calibri" w:hAnsi="Calibri" w:cs="Calibri"/>
                <w:color w:val="000000"/>
                <w:sz w:val="20"/>
              </w:rPr>
              <w:t>%</w:t>
            </w:r>
          </w:p>
        </w:tc>
        <w:tc>
          <w:tcPr>
            <w:tcW w:w="1055" w:type="dxa"/>
            <w:vAlign w:val="center"/>
          </w:tcPr>
          <w:p w14:paraId="1C5064BC" w14:textId="6BDFB30E" w:rsidR="00937C11" w:rsidRPr="00292F85" w:rsidRDefault="00CD7E47" w:rsidP="0089556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292F85">
              <w:rPr>
                <w:rFonts w:ascii="Calibri" w:hAnsi="Calibri" w:cs="Calibri"/>
                <w:color w:val="000000"/>
                <w:sz w:val="20"/>
              </w:rPr>
              <w:t>16.6</w:t>
            </w:r>
            <w:r w:rsidR="00085B4D" w:rsidRPr="00292F85">
              <w:rPr>
                <w:rFonts w:ascii="Calibri" w:hAnsi="Calibri" w:cs="Calibri"/>
                <w:color w:val="000000"/>
                <w:sz w:val="20"/>
              </w:rPr>
              <w:t xml:space="preserve">% </w:t>
            </w:r>
          </w:p>
        </w:tc>
        <w:tc>
          <w:tcPr>
            <w:tcW w:w="1435" w:type="dxa"/>
            <w:vAlign w:val="center"/>
          </w:tcPr>
          <w:p w14:paraId="53354408" w14:textId="426F98E4" w:rsidR="00937C11" w:rsidRPr="00292F85" w:rsidRDefault="00292F85" w:rsidP="006536A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042E05">
              <w:rPr>
                <w:rFonts w:ascii="Calibri" w:hAnsi="Calibri" w:cs="Calibri"/>
                <w:color w:val="000000"/>
                <w:sz w:val="20"/>
              </w:rPr>
              <w:t>52.2</w:t>
            </w:r>
            <w:r w:rsidR="00937C11" w:rsidRPr="00042E05">
              <w:rPr>
                <w:rFonts w:ascii="Calibri" w:hAnsi="Calibri" w:cs="Calibri"/>
                <w:color w:val="000000"/>
                <w:sz w:val="20"/>
              </w:rPr>
              <w:t>%</w:t>
            </w:r>
          </w:p>
        </w:tc>
      </w:tr>
      <w:tr w:rsidR="00B243D8" w:rsidRPr="00797CA2" w14:paraId="573DC8CA"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A3D239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Prices</w:t>
            </w:r>
          </w:p>
        </w:tc>
        <w:tc>
          <w:tcPr>
            <w:tcW w:w="938" w:type="dxa"/>
            <w:vAlign w:val="center"/>
          </w:tcPr>
          <w:p w14:paraId="468BEA78"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00AECC6C" w14:textId="2A9B9DD4" w:rsidR="004F7E54" w:rsidRPr="00BE2895" w:rsidRDefault="00995976" w:rsidP="005A0B99">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b/>
                <w:color w:val="000000"/>
                <w:sz w:val="20"/>
              </w:rPr>
              <w:t xml:space="preserve">Annual </w:t>
            </w:r>
            <w:r w:rsidR="005A0B99">
              <w:rPr>
                <w:rFonts w:ascii="Calibri" w:hAnsi="Calibri" w:cs="Calibri"/>
                <w:b/>
                <w:color w:val="000000"/>
                <w:sz w:val="20"/>
              </w:rPr>
              <w:t>Δ</w:t>
            </w:r>
            <w:r w:rsidR="00BF26A2">
              <w:rPr>
                <w:rFonts w:ascii="Calibri" w:hAnsi="Calibri" w:cs="Calibri"/>
                <w:b/>
                <w:color w:val="000000"/>
                <w:sz w:val="20"/>
                <w:vertAlign w:val="superscript"/>
              </w:rPr>
              <w:t>2</w:t>
            </w:r>
          </w:p>
        </w:tc>
        <w:tc>
          <w:tcPr>
            <w:tcW w:w="1083" w:type="dxa"/>
            <w:vAlign w:val="center"/>
          </w:tcPr>
          <w:p w14:paraId="4CE50202"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8AD81B"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91266D"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487BFA4A"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C7FF94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84CDA66"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(Darwin)</w:t>
            </w:r>
          </w:p>
        </w:tc>
        <w:tc>
          <w:tcPr>
            <w:tcW w:w="938" w:type="dxa"/>
            <w:vAlign w:val="center"/>
          </w:tcPr>
          <w:p w14:paraId="37638646" w14:textId="18AB71AE" w:rsidR="00937C11" w:rsidRPr="00995976" w:rsidRDefault="006536A6"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995976">
              <w:rPr>
                <w:rFonts w:ascii="Calibri" w:hAnsi="Calibri" w:cs="Calibri"/>
                <w:color w:val="000000"/>
                <w:sz w:val="20"/>
              </w:rPr>
              <w:t>-2</w:t>
            </w:r>
            <w:r>
              <w:rPr>
                <w:rFonts w:ascii="Calibri" w:hAnsi="Calibri" w:cs="Calibri"/>
                <w:color w:val="000000"/>
                <w:sz w:val="20"/>
              </w:rPr>
              <w:t>3</w:t>
            </w:r>
          </w:p>
        </w:tc>
        <w:tc>
          <w:tcPr>
            <w:tcW w:w="1271" w:type="dxa"/>
            <w:vAlign w:val="center"/>
          </w:tcPr>
          <w:p w14:paraId="0022F1CB" w14:textId="5BB1E2FA" w:rsidR="00937C11" w:rsidRPr="00392EA0" w:rsidRDefault="006536A6"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6.2</w:t>
            </w:r>
            <w:r w:rsidR="00937C11" w:rsidRPr="00392EA0">
              <w:rPr>
                <w:rFonts w:ascii="Calibri" w:hAnsi="Calibri" w:cs="Calibri"/>
                <w:color w:val="000000"/>
                <w:sz w:val="20"/>
              </w:rPr>
              <w:t>%</w:t>
            </w:r>
          </w:p>
        </w:tc>
        <w:tc>
          <w:tcPr>
            <w:tcW w:w="1083" w:type="dxa"/>
            <w:vAlign w:val="center"/>
          </w:tcPr>
          <w:p w14:paraId="57A29B5D" w14:textId="22DD296B" w:rsidR="00937C11" w:rsidRPr="000A24B2" w:rsidRDefault="006536A6"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937C11" w:rsidRPr="000A24B2">
              <w:rPr>
                <w:rFonts w:ascii="Calibri" w:hAnsi="Calibri" w:cs="Calibri"/>
                <w:color w:val="000000"/>
                <w:sz w:val="20"/>
              </w:rPr>
              <w:t>0.</w:t>
            </w:r>
            <w:r>
              <w:rPr>
                <w:rFonts w:ascii="Calibri" w:hAnsi="Calibri" w:cs="Calibri"/>
                <w:color w:val="000000"/>
                <w:sz w:val="20"/>
              </w:rPr>
              <w:t>9</w:t>
            </w:r>
            <w:r w:rsidR="00937C11" w:rsidRPr="000A24B2">
              <w:rPr>
                <w:rFonts w:ascii="Calibri" w:hAnsi="Calibri" w:cs="Calibri"/>
                <w:color w:val="000000"/>
                <w:sz w:val="20"/>
              </w:rPr>
              <w:t xml:space="preserve"> </w:t>
            </w:r>
            <w:proofErr w:type="spellStart"/>
            <w:r w:rsidR="00937C11" w:rsidRPr="000A24B2">
              <w:rPr>
                <w:rFonts w:ascii="Calibri" w:hAnsi="Calibri" w:cs="Calibri"/>
                <w:color w:val="000000"/>
                <w:sz w:val="20"/>
              </w:rPr>
              <w:t>ppt</w:t>
            </w:r>
            <w:proofErr w:type="spellEnd"/>
          </w:p>
        </w:tc>
        <w:tc>
          <w:tcPr>
            <w:tcW w:w="1076" w:type="dxa"/>
            <w:vAlign w:val="center"/>
          </w:tcPr>
          <w:p w14:paraId="142F157B" w14:textId="6CDD0247" w:rsidR="00937C11" w:rsidRPr="00797CA2" w:rsidRDefault="006536A6" w:rsidP="00051BF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0.7</w:t>
            </w:r>
            <w:r w:rsidR="00937C11" w:rsidRPr="00797CA2">
              <w:rPr>
                <w:rFonts w:ascii="Calibri" w:hAnsi="Calibri" w:cs="Calibri"/>
                <w:color w:val="000000"/>
                <w:sz w:val="20"/>
              </w:rPr>
              <w:t xml:space="preserve"> </w:t>
            </w:r>
            <w:proofErr w:type="spellStart"/>
            <w:r w:rsidR="00937C11" w:rsidRPr="00797CA2">
              <w:rPr>
                <w:rFonts w:ascii="Calibri" w:hAnsi="Calibri" w:cs="Calibri"/>
                <w:color w:val="000000"/>
                <w:sz w:val="20"/>
              </w:rPr>
              <w:t>ppt</w:t>
            </w:r>
            <w:proofErr w:type="spellEnd"/>
          </w:p>
        </w:tc>
        <w:tc>
          <w:tcPr>
            <w:tcW w:w="1055" w:type="dxa"/>
            <w:vAlign w:val="center"/>
          </w:tcPr>
          <w:p w14:paraId="6D57D79D" w14:textId="3F794B3F" w:rsidR="00937C11" w:rsidRPr="00797CA2" w:rsidRDefault="00085B4D" w:rsidP="00085B4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435" w:type="dxa"/>
            <w:vAlign w:val="center"/>
          </w:tcPr>
          <w:p w14:paraId="5DF78A42" w14:textId="4ABA7FE0" w:rsidR="00937C11" w:rsidRPr="00797CA2" w:rsidRDefault="006536A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w:t>
            </w:r>
            <w:r w:rsidR="00937C11" w:rsidRPr="00797CA2">
              <w:rPr>
                <w:rFonts w:ascii="Calibri" w:hAnsi="Calibri" w:cs="Calibri"/>
                <w:color w:val="000000"/>
                <w:sz w:val="20"/>
              </w:rPr>
              <w:t xml:space="preserve"> </w:t>
            </w:r>
            <w:proofErr w:type="spellStart"/>
            <w:r w:rsidR="00937C11" w:rsidRPr="00797CA2">
              <w:rPr>
                <w:rFonts w:ascii="Calibri" w:hAnsi="Calibri" w:cs="Calibri"/>
                <w:color w:val="000000"/>
                <w:sz w:val="20"/>
              </w:rPr>
              <w:t>ppt</w:t>
            </w:r>
            <w:proofErr w:type="spellEnd"/>
          </w:p>
        </w:tc>
      </w:tr>
      <w:tr w:rsidR="00B243D8" w:rsidRPr="00797CA2" w14:paraId="0F829271"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48B7AA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(8 Capitals)</w:t>
            </w:r>
          </w:p>
        </w:tc>
        <w:tc>
          <w:tcPr>
            <w:tcW w:w="938" w:type="dxa"/>
            <w:shd w:val="clear" w:color="auto" w:fill="auto"/>
            <w:vAlign w:val="center"/>
          </w:tcPr>
          <w:p w14:paraId="05EC37F3" w14:textId="5E126332" w:rsidR="00937C11" w:rsidRPr="00995976" w:rsidRDefault="006536A6"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995976">
              <w:rPr>
                <w:rFonts w:ascii="Calibri" w:hAnsi="Calibri" w:cs="Calibri"/>
                <w:color w:val="000000"/>
                <w:sz w:val="20"/>
              </w:rPr>
              <w:t>-2</w:t>
            </w:r>
            <w:r>
              <w:rPr>
                <w:rFonts w:ascii="Calibri" w:hAnsi="Calibri" w:cs="Calibri"/>
                <w:color w:val="000000"/>
                <w:sz w:val="20"/>
              </w:rPr>
              <w:t>3</w:t>
            </w:r>
          </w:p>
        </w:tc>
        <w:tc>
          <w:tcPr>
            <w:tcW w:w="1271" w:type="dxa"/>
            <w:shd w:val="clear" w:color="auto" w:fill="auto"/>
            <w:vAlign w:val="center"/>
          </w:tcPr>
          <w:p w14:paraId="522B275D" w14:textId="3B4DC360" w:rsidR="00937C11" w:rsidRPr="00392EA0" w:rsidRDefault="00937C11"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7.</w:t>
            </w:r>
            <w:r w:rsidR="006536A6">
              <w:rPr>
                <w:rFonts w:ascii="Calibri" w:hAnsi="Calibri" w:cs="Calibri"/>
                <w:color w:val="000000"/>
                <w:sz w:val="20"/>
              </w:rPr>
              <w:t>0</w:t>
            </w:r>
            <w:r w:rsidRPr="00392EA0">
              <w:rPr>
                <w:rFonts w:ascii="Calibri" w:hAnsi="Calibri" w:cs="Calibri"/>
                <w:color w:val="000000"/>
                <w:sz w:val="20"/>
              </w:rPr>
              <w:t>%</w:t>
            </w:r>
          </w:p>
        </w:tc>
        <w:tc>
          <w:tcPr>
            <w:tcW w:w="1083" w:type="dxa"/>
            <w:shd w:val="clear" w:color="auto" w:fill="auto"/>
            <w:vAlign w:val="center"/>
          </w:tcPr>
          <w:p w14:paraId="5C91FC91" w14:textId="106792F0" w:rsidR="00937C11" w:rsidRPr="000A24B2" w:rsidRDefault="006536A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-0.8</w:t>
            </w:r>
            <w:r w:rsidR="00937C11" w:rsidRPr="000A24B2">
              <w:rPr>
                <w:rFonts w:ascii="Calibri" w:hAnsi="Calibri" w:cs="Calibri"/>
                <w:color w:val="000000"/>
                <w:sz w:val="20"/>
              </w:rPr>
              <w:t xml:space="preserve"> </w:t>
            </w:r>
            <w:proofErr w:type="spellStart"/>
            <w:r w:rsidR="00937C11" w:rsidRPr="000A24B2">
              <w:rPr>
                <w:rFonts w:ascii="Calibri" w:hAnsi="Calibri" w:cs="Calibri"/>
                <w:color w:val="000000"/>
                <w:sz w:val="20"/>
              </w:rPr>
              <w:t>ppt</w:t>
            </w:r>
            <w:proofErr w:type="spellEnd"/>
          </w:p>
        </w:tc>
        <w:tc>
          <w:tcPr>
            <w:tcW w:w="1076" w:type="dxa"/>
            <w:shd w:val="clear" w:color="auto" w:fill="auto"/>
            <w:vAlign w:val="center"/>
          </w:tcPr>
          <w:p w14:paraId="67932216" w14:textId="74DEBF03" w:rsidR="00937C11" w:rsidRPr="00797CA2" w:rsidRDefault="006536A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1.9</w:t>
            </w:r>
            <w:r w:rsidR="00937C11" w:rsidRPr="00797CA2">
              <w:rPr>
                <w:rFonts w:ascii="Calibri" w:hAnsi="Calibri" w:cs="Calibri"/>
                <w:color w:val="000000"/>
                <w:sz w:val="20"/>
              </w:rPr>
              <w:t xml:space="preserve"> </w:t>
            </w:r>
            <w:proofErr w:type="spellStart"/>
            <w:r w:rsidR="00937C11" w:rsidRPr="00797CA2">
              <w:rPr>
                <w:rFonts w:ascii="Calibri" w:hAnsi="Calibri" w:cs="Calibri"/>
                <w:color w:val="000000"/>
                <w:sz w:val="20"/>
              </w:rPr>
              <w:t>ppt</w:t>
            </w:r>
            <w:proofErr w:type="spellEnd"/>
          </w:p>
        </w:tc>
        <w:tc>
          <w:tcPr>
            <w:tcW w:w="1055" w:type="dxa"/>
            <w:shd w:val="clear" w:color="auto" w:fill="auto"/>
            <w:vAlign w:val="center"/>
          </w:tcPr>
          <w:p w14:paraId="128F96EA" w14:textId="026FA0B0" w:rsidR="00937C11" w:rsidRPr="00797CA2" w:rsidRDefault="00085B4D" w:rsidP="00085B4D">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435" w:type="dxa"/>
            <w:shd w:val="clear" w:color="auto" w:fill="auto"/>
            <w:vAlign w:val="center"/>
          </w:tcPr>
          <w:p w14:paraId="299D3838" w14:textId="7C844A09" w:rsidR="00937C11" w:rsidRPr="00797CA2" w:rsidRDefault="006536A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5.2</w:t>
            </w:r>
            <w:r w:rsidR="00937C11" w:rsidRPr="00797CA2">
              <w:rPr>
                <w:rFonts w:ascii="Calibri" w:hAnsi="Calibri" w:cs="Calibri"/>
                <w:color w:val="000000"/>
                <w:sz w:val="20"/>
              </w:rPr>
              <w:t xml:space="preserve"> </w:t>
            </w:r>
            <w:proofErr w:type="spellStart"/>
            <w:r w:rsidR="00937C11" w:rsidRPr="00797CA2">
              <w:rPr>
                <w:rFonts w:ascii="Calibri" w:hAnsi="Calibri" w:cs="Calibri"/>
                <w:color w:val="000000"/>
                <w:sz w:val="20"/>
              </w:rPr>
              <w:t>ppt</w:t>
            </w:r>
            <w:proofErr w:type="spellEnd"/>
          </w:p>
        </w:tc>
      </w:tr>
      <w:tr w:rsidR="00B243D8" w:rsidRPr="00797CA2" w14:paraId="6B2A475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F38A137" w14:textId="77777777" w:rsidR="003763FC" w:rsidRPr="00B243D8" w:rsidRDefault="003763FC" w:rsidP="003763FC">
            <w:pPr>
              <w:spacing w:before="0" w:after="0"/>
              <w:ind w:firstLineChars="200" w:firstLine="160"/>
              <w:rPr>
                <w:rFonts w:ascii="Calibri" w:hAnsi="Calibri" w:cs="Calibri"/>
                <w:color w:val="000000"/>
                <w:sz w:val="8"/>
                <w:szCs w:val="8"/>
              </w:rPr>
            </w:pPr>
            <w:r w:rsidRPr="00B243D8">
              <w:rPr>
                <w:rFonts w:ascii="Calibri" w:hAnsi="Calibri" w:cs="Calibri"/>
                <w:color w:val="000000"/>
                <w:sz w:val="8"/>
                <w:szCs w:val="8"/>
              </w:rPr>
              <w:t> </w:t>
            </w:r>
          </w:p>
        </w:tc>
        <w:tc>
          <w:tcPr>
            <w:tcW w:w="938" w:type="dxa"/>
            <w:vAlign w:val="center"/>
          </w:tcPr>
          <w:p w14:paraId="5A8D7C3E" w14:textId="1190F4AD" w:rsidR="003763FC" w:rsidRPr="00995976"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995976">
              <w:rPr>
                <w:rFonts w:ascii="Calibri" w:hAnsi="Calibri" w:cs="Calibri"/>
                <w:color w:val="000000"/>
                <w:sz w:val="8"/>
                <w:szCs w:val="8"/>
              </w:rPr>
              <w:t> </w:t>
            </w:r>
          </w:p>
        </w:tc>
        <w:tc>
          <w:tcPr>
            <w:tcW w:w="1271" w:type="dxa"/>
            <w:vAlign w:val="center"/>
          </w:tcPr>
          <w:p w14:paraId="00E43862" w14:textId="11FCB17D" w:rsidR="003763FC" w:rsidRPr="00392EA0"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083" w:type="dxa"/>
            <w:vAlign w:val="center"/>
          </w:tcPr>
          <w:p w14:paraId="4E53C39E" w14:textId="5BDF7DB3" w:rsidR="003763FC" w:rsidRPr="000A24B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76" w:type="dxa"/>
            <w:vAlign w:val="center"/>
          </w:tcPr>
          <w:p w14:paraId="7E847131" w14:textId="422518BC"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39F76694" w14:textId="48A122CD"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63270651" w14:textId="4DF136D1"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59DEB88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00090E1"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(NT)</w:t>
            </w:r>
          </w:p>
        </w:tc>
        <w:tc>
          <w:tcPr>
            <w:tcW w:w="938" w:type="dxa"/>
            <w:shd w:val="clear" w:color="auto" w:fill="auto"/>
            <w:vAlign w:val="center"/>
          </w:tcPr>
          <w:p w14:paraId="40C2D657" w14:textId="3C3E5539" w:rsidR="00937C11" w:rsidRPr="00995976" w:rsidRDefault="006536A6"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995976">
              <w:rPr>
                <w:rFonts w:ascii="Calibri" w:hAnsi="Calibri" w:cs="Calibri"/>
                <w:color w:val="000000"/>
                <w:sz w:val="20"/>
              </w:rPr>
              <w:t>-2</w:t>
            </w:r>
            <w:r>
              <w:rPr>
                <w:rFonts w:ascii="Calibri" w:hAnsi="Calibri" w:cs="Calibri"/>
                <w:color w:val="000000"/>
                <w:sz w:val="20"/>
              </w:rPr>
              <w:t>3</w:t>
            </w:r>
          </w:p>
        </w:tc>
        <w:tc>
          <w:tcPr>
            <w:tcW w:w="1271" w:type="dxa"/>
            <w:shd w:val="clear" w:color="auto" w:fill="auto"/>
            <w:vAlign w:val="center"/>
          </w:tcPr>
          <w:p w14:paraId="0DA58FD7" w14:textId="2BCAC832" w:rsidR="00937C11" w:rsidRPr="00392EA0" w:rsidRDefault="00937C11"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w:t>
            </w:r>
            <w:r w:rsidR="006536A6">
              <w:rPr>
                <w:rFonts w:ascii="Calibri" w:hAnsi="Calibri" w:cs="Calibri"/>
                <w:color w:val="000000"/>
                <w:sz w:val="20"/>
              </w:rPr>
              <w:t>9</w:t>
            </w:r>
            <w:r w:rsidRPr="00392EA0">
              <w:rPr>
                <w:rFonts w:ascii="Calibri" w:hAnsi="Calibri" w:cs="Calibri"/>
                <w:color w:val="000000"/>
                <w:sz w:val="20"/>
              </w:rPr>
              <w:t>%</w:t>
            </w:r>
          </w:p>
        </w:tc>
        <w:tc>
          <w:tcPr>
            <w:tcW w:w="1083" w:type="dxa"/>
            <w:shd w:val="clear" w:color="auto" w:fill="auto"/>
            <w:vAlign w:val="center"/>
          </w:tcPr>
          <w:p w14:paraId="238BE27B" w14:textId="29FFA721" w:rsidR="00937C11" w:rsidRPr="000A24B2" w:rsidRDefault="00937C11"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w:t>
            </w:r>
            <w:r w:rsidR="006536A6">
              <w:rPr>
                <w:rFonts w:ascii="Calibri" w:hAnsi="Calibri" w:cs="Calibri"/>
                <w:color w:val="000000"/>
                <w:sz w:val="20"/>
              </w:rPr>
              <w:t>4</w:t>
            </w:r>
            <w:r w:rsidRPr="000A24B2">
              <w:rPr>
                <w:rFonts w:ascii="Calibri" w:hAnsi="Calibri" w:cs="Calibri"/>
                <w:color w:val="000000"/>
                <w:sz w:val="20"/>
              </w:rPr>
              <w:t xml:space="preserve"> </w:t>
            </w:r>
            <w:proofErr w:type="spellStart"/>
            <w:r w:rsidRPr="000A24B2">
              <w:rPr>
                <w:rFonts w:ascii="Calibri" w:hAnsi="Calibri" w:cs="Calibri"/>
                <w:color w:val="000000"/>
                <w:sz w:val="20"/>
              </w:rPr>
              <w:t>ppt</w:t>
            </w:r>
            <w:proofErr w:type="spellEnd"/>
          </w:p>
        </w:tc>
        <w:tc>
          <w:tcPr>
            <w:tcW w:w="1076" w:type="dxa"/>
            <w:shd w:val="clear" w:color="auto" w:fill="auto"/>
            <w:vAlign w:val="center"/>
          </w:tcPr>
          <w:p w14:paraId="487C4513" w14:textId="423978FA" w:rsidR="00937C11" w:rsidRPr="00797CA2" w:rsidRDefault="006536A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w:t>
            </w:r>
            <w:r w:rsidR="00937C11" w:rsidRPr="00797CA2">
              <w:rPr>
                <w:rFonts w:ascii="Calibri" w:hAnsi="Calibri" w:cs="Calibri"/>
                <w:color w:val="000000"/>
                <w:sz w:val="20"/>
              </w:rPr>
              <w:t xml:space="preserve"> </w:t>
            </w:r>
            <w:proofErr w:type="spellStart"/>
            <w:r w:rsidR="00937C11" w:rsidRPr="00797CA2">
              <w:rPr>
                <w:rFonts w:ascii="Calibri" w:hAnsi="Calibri" w:cs="Calibri"/>
                <w:color w:val="000000"/>
                <w:sz w:val="20"/>
              </w:rPr>
              <w:t>ppt</w:t>
            </w:r>
            <w:proofErr w:type="spellEnd"/>
          </w:p>
        </w:tc>
        <w:tc>
          <w:tcPr>
            <w:tcW w:w="1055" w:type="dxa"/>
            <w:shd w:val="clear" w:color="auto" w:fill="auto"/>
            <w:vAlign w:val="center"/>
          </w:tcPr>
          <w:p w14:paraId="6272D32D" w14:textId="38DD4144" w:rsidR="00937C11" w:rsidRPr="00797CA2" w:rsidRDefault="00085B4D"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435" w:type="dxa"/>
            <w:shd w:val="clear" w:color="auto" w:fill="auto"/>
            <w:vAlign w:val="center"/>
          </w:tcPr>
          <w:p w14:paraId="6A1C470D" w14:textId="57B5FFA1" w:rsidR="00937C11" w:rsidRPr="00797CA2" w:rsidRDefault="00937C11" w:rsidP="006536A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6536A6">
              <w:rPr>
                <w:rFonts w:ascii="Calibri" w:hAnsi="Calibri" w:cs="Calibri"/>
                <w:color w:val="000000"/>
                <w:sz w:val="20"/>
              </w:rPr>
              <w:t>4</w:t>
            </w:r>
            <w:r w:rsidRPr="00797CA2">
              <w:rPr>
                <w:rFonts w:ascii="Calibri" w:hAnsi="Calibri" w:cs="Calibri"/>
                <w:color w:val="000000"/>
                <w:sz w:val="20"/>
              </w:rPr>
              <w:t xml:space="preserve"> </w:t>
            </w:r>
            <w:proofErr w:type="spellStart"/>
            <w:r w:rsidRPr="00797CA2">
              <w:rPr>
                <w:rFonts w:ascii="Calibri" w:hAnsi="Calibri" w:cs="Calibri"/>
                <w:color w:val="000000"/>
                <w:sz w:val="20"/>
              </w:rPr>
              <w:t>ppt</w:t>
            </w:r>
            <w:proofErr w:type="spellEnd"/>
          </w:p>
        </w:tc>
      </w:tr>
      <w:tr w:rsidR="00B243D8" w:rsidRPr="00797CA2" w14:paraId="43A48D0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05A0815" w14:textId="346990B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w:t>
            </w:r>
          </w:p>
        </w:tc>
        <w:tc>
          <w:tcPr>
            <w:tcW w:w="938" w:type="dxa"/>
            <w:vAlign w:val="center"/>
          </w:tcPr>
          <w:p w14:paraId="28F4DCD4" w14:textId="59186B84" w:rsidR="00937C11" w:rsidRPr="00392EA0" w:rsidRDefault="006536A6"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392EA0">
              <w:rPr>
                <w:rFonts w:ascii="Calibri" w:hAnsi="Calibri" w:cs="Calibri"/>
                <w:color w:val="000000"/>
                <w:sz w:val="20"/>
              </w:rPr>
              <w:t>-2</w:t>
            </w:r>
            <w:r>
              <w:rPr>
                <w:rFonts w:ascii="Calibri" w:hAnsi="Calibri" w:cs="Calibri"/>
                <w:color w:val="000000"/>
                <w:sz w:val="20"/>
              </w:rPr>
              <w:t>3</w:t>
            </w:r>
          </w:p>
        </w:tc>
        <w:tc>
          <w:tcPr>
            <w:tcW w:w="1271" w:type="dxa"/>
            <w:vAlign w:val="center"/>
          </w:tcPr>
          <w:p w14:paraId="54C88AA1" w14:textId="0DE5FEF6" w:rsidR="00937C11" w:rsidRPr="000A24B2" w:rsidRDefault="00937C11" w:rsidP="006536A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3.</w:t>
            </w:r>
            <w:r w:rsidR="006536A6">
              <w:rPr>
                <w:rFonts w:ascii="Calibri" w:hAnsi="Calibri" w:cs="Calibri"/>
                <w:color w:val="000000"/>
                <w:sz w:val="20"/>
              </w:rPr>
              <w:t>6</w:t>
            </w:r>
            <w:r w:rsidRPr="000A24B2">
              <w:rPr>
                <w:rFonts w:ascii="Calibri" w:hAnsi="Calibri" w:cs="Calibri"/>
                <w:color w:val="000000"/>
                <w:sz w:val="20"/>
              </w:rPr>
              <w:t>%</w:t>
            </w:r>
          </w:p>
        </w:tc>
        <w:tc>
          <w:tcPr>
            <w:tcW w:w="1083" w:type="dxa"/>
            <w:vAlign w:val="center"/>
          </w:tcPr>
          <w:p w14:paraId="2C7B259F" w14:textId="39114998" w:rsidR="00937C11" w:rsidRPr="00797CA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xml:space="preserve">0.2 </w:t>
            </w:r>
            <w:proofErr w:type="spellStart"/>
            <w:r w:rsidRPr="00797CA2">
              <w:rPr>
                <w:rFonts w:ascii="Calibri" w:hAnsi="Calibri" w:cs="Calibri"/>
                <w:color w:val="000000"/>
                <w:sz w:val="20"/>
              </w:rPr>
              <w:t>ppt</w:t>
            </w:r>
            <w:proofErr w:type="spellEnd"/>
          </w:p>
        </w:tc>
        <w:tc>
          <w:tcPr>
            <w:tcW w:w="1076" w:type="dxa"/>
            <w:vAlign w:val="center"/>
          </w:tcPr>
          <w:p w14:paraId="0B5F0428" w14:textId="4B6E5BE8" w:rsidR="00937C11" w:rsidRPr="00797CA2" w:rsidRDefault="00937C11"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w:t>
            </w:r>
            <w:r w:rsidR="006536A6">
              <w:rPr>
                <w:rFonts w:ascii="Calibri" w:hAnsi="Calibri" w:cs="Calibri"/>
                <w:color w:val="000000"/>
                <w:sz w:val="20"/>
              </w:rPr>
              <w:t>2</w:t>
            </w:r>
            <w:r w:rsidRPr="00797CA2">
              <w:rPr>
                <w:rFonts w:ascii="Calibri" w:hAnsi="Calibri" w:cs="Calibri"/>
                <w:color w:val="000000"/>
                <w:sz w:val="20"/>
              </w:rPr>
              <w:t xml:space="preserve"> </w:t>
            </w:r>
            <w:proofErr w:type="spellStart"/>
            <w:r w:rsidRPr="00797CA2">
              <w:rPr>
                <w:rFonts w:ascii="Calibri" w:hAnsi="Calibri" w:cs="Calibri"/>
                <w:color w:val="000000"/>
                <w:sz w:val="20"/>
              </w:rPr>
              <w:t>ppt</w:t>
            </w:r>
            <w:proofErr w:type="spellEnd"/>
          </w:p>
        </w:tc>
        <w:tc>
          <w:tcPr>
            <w:tcW w:w="1055" w:type="dxa"/>
            <w:vAlign w:val="center"/>
          </w:tcPr>
          <w:p w14:paraId="572F1945" w14:textId="75D53E73" w:rsidR="00937C11" w:rsidRPr="00797CA2" w:rsidRDefault="00085B4D"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435" w:type="dxa"/>
            <w:vAlign w:val="center"/>
          </w:tcPr>
          <w:p w14:paraId="44E94262" w14:textId="54EA15D5" w:rsidR="00937C11" w:rsidRPr="00797CA2" w:rsidRDefault="00937C11" w:rsidP="006536A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w:t>
            </w:r>
            <w:r w:rsidR="006536A6">
              <w:rPr>
                <w:rFonts w:ascii="Calibri" w:hAnsi="Calibri" w:cs="Calibri"/>
                <w:color w:val="000000"/>
                <w:sz w:val="20"/>
              </w:rPr>
              <w:t>4</w:t>
            </w:r>
            <w:r w:rsidRPr="00797CA2">
              <w:rPr>
                <w:rFonts w:ascii="Calibri" w:hAnsi="Calibri" w:cs="Calibri"/>
                <w:color w:val="000000"/>
                <w:sz w:val="20"/>
              </w:rPr>
              <w:t xml:space="preserve"> </w:t>
            </w:r>
            <w:proofErr w:type="spellStart"/>
            <w:r w:rsidRPr="00797CA2">
              <w:rPr>
                <w:rFonts w:ascii="Calibri" w:hAnsi="Calibri" w:cs="Calibri"/>
                <w:color w:val="000000"/>
                <w:sz w:val="20"/>
              </w:rPr>
              <w:t>ppt</w:t>
            </w:r>
            <w:proofErr w:type="spellEnd"/>
          </w:p>
        </w:tc>
      </w:tr>
      <w:tr w:rsidR="00B243D8" w:rsidRPr="00797CA2" w14:paraId="5A70FCD0"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AC3472C" w14:textId="72F82852" w:rsidR="004F7E54"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Employment</w:t>
            </w:r>
          </w:p>
        </w:tc>
        <w:tc>
          <w:tcPr>
            <w:tcW w:w="938" w:type="dxa"/>
            <w:vAlign w:val="center"/>
          </w:tcPr>
          <w:p w14:paraId="508E1F9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75F2EC2" w14:textId="2F028850" w:rsidR="004F7E54" w:rsidRPr="00BE2895" w:rsidRDefault="0046115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b/>
                <w:color w:val="000000"/>
                <w:sz w:val="20"/>
              </w:rPr>
              <w:t>#M</w:t>
            </w:r>
          </w:p>
        </w:tc>
        <w:tc>
          <w:tcPr>
            <w:tcW w:w="1083" w:type="dxa"/>
            <w:vAlign w:val="center"/>
          </w:tcPr>
          <w:p w14:paraId="1991C430"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2014B9"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C7A1EC"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29BB4B8"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514638C6"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B9FAF13"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vAlign w:val="center"/>
          </w:tcPr>
          <w:p w14:paraId="780C3AE0" w14:textId="1F453C62" w:rsidR="00937C11" w:rsidRPr="00995976" w:rsidRDefault="00BF4957"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May</w:t>
            </w:r>
            <w:r w:rsidR="00937C11" w:rsidRPr="00995976">
              <w:rPr>
                <w:rFonts w:ascii="Calibri" w:hAnsi="Calibri" w:cs="Calibri"/>
                <w:color w:val="000000"/>
                <w:sz w:val="20"/>
              </w:rPr>
              <w:t>-23</w:t>
            </w:r>
          </w:p>
        </w:tc>
        <w:tc>
          <w:tcPr>
            <w:tcW w:w="1271" w:type="dxa"/>
            <w:vAlign w:val="center"/>
          </w:tcPr>
          <w:p w14:paraId="083B8E74" w14:textId="0F3424AE" w:rsidR="00937C11" w:rsidRPr="00392EA0" w:rsidRDefault="00EC7EDC"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0.1</w:t>
            </w:r>
            <w:r w:rsidR="006536A6">
              <w:rPr>
                <w:rFonts w:ascii="Calibri" w:hAnsi="Calibri" w:cs="Calibri"/>
                <w:color w:val="000000"/>
                <w:sz w:val="20"/>
              </w:rPr>
              <w:t>4</w:t>
            </w:r>
            <w:r w:rsidR="00BF4957">
              <w:rPr>
                <w:rFonts w:ascii="Calibri" w:hAnsi="Calibri" w:cs="Calibri"/>
                <w:color w:val="000000"/>
                <w:sz w:val="20"/>
              </w:rPr>
              <w:t>2</w:t>
            </w:r>
            <w:r w:rsidRPr="00392EA0">
              <w:rPr>
                <w:rFonts w:ascii="Calibri" w:hAnsi="Calibri" w:cs="Calibri"/>
                <w:color w:val="000000"/>
                <w:sz w:val="20"/>
              </w:rPr>
              <w:t xml:space="preserve"> </w:t>
            </w:r>
          </w:p>
        </w:tc>
        <w:tc>
          <w:tcPr>
            <w:tcW w:w="1083" w:type="dxa"/>
            <w:vAlign w:val="center"/>
          </w:tcPr>
          <w:p w14:paraId="6FD49AFB" w14:textId="4FE12725" w:rsidR="00937C11" w:rsidRPr="000A24B2" w:rsidRDefault="00BF4957"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551BCC">
              <w:rPr>
                <w:rFonts w:ascii="Calibri" w:hAnsi="Calibri" w:cs="Calibri"/>
                <w:color w:val="000000"/>
                <w:sz w:val="20"/>
              </w:rPr>
              <w:t>1.</w:t>
            </w:r>
            <w:r>
              <w:rPr>
                <w:rFonts w:ascii="Calibri" w:hAnsi="Calibri" w:cs="Calibri"/>
                <w:color w:val="000000"/>
                <w:sz w:val="20"/>
              </w:rPr>
              <w:t>2</w:t>
            </w:r>
            <w:r w:rsidR="00551BCC">
              <w:rPr>
                <w:rFonts w:ascii="Calibri" w:hAnsi="Calibri" w:cs="Calibri"/>
                <w:color w:val="000000"/>
                <w:sz w:val="20"/>
              </w:rPr>
              <w:t>%</w:t>
            </w:r>
          </w:p>
        </w:tc>
        <w:tc>
          <w:tcPr>
            <w:tcW w:w="1076" w:type="dxa"/>
            <w:vAlign w:val="center"/>
          </w:tcPr>
          <w:p w14:paraId="4A4A7AC8" w14:textId="11DA6C54" w:rsidR="00937C11" w:rsidRPr="00797CA2" w:rsidRDefault="00BF4957"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w:t>
            </w:r>
            <w:r w:rsidR="00551BCC">
              <w:rPr>
                <w:rFonts w:ascii="Calibri" w:hAnsi="Calibri" w:cs="Calibri"/>
                <w:color w:val="000000"/>
                <w:sz w:val="20"/>
              </w:rPr>
              <w:t>%</w:t>
            </w:r>
          </w:p>
        </w:tc>
        <w:tc>
          <w:tcPr>
            <w:tcW w:w="1055" w:type="dxa"/>
            <w:vAlign w:val="center"/>
          </w:tcPr>
          <w:p w14:paraId="26551E34" w14:textId="19016329" w:rsidR="00937C11" w:rsidRPr="00797CA2" w:rsidRDefault="006536A6"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r w:rsidR="00BF4957">
              <w:rPr>
                <w:rFonts w:ascii="Calibri" w:hAnsi="Calibri" w:cs="Calibri"/>
                <w:color w:val="000000"/>
                <w:sz w:val="20"/>
              </w:rPr>
              <w:t>0</w:t>
            </w:r>
            <w:r w:rsidR="00A16E91">
              <w:rPr>
                <w:rFonts w:ascii="Calibri" w:hAnsi="Calibri" w:cs="Calibri"/>
                <w:color w:val="000000"/>
                <w:sz w:val="20"/>
              </w:rPr>
              <w:t>%</w:t>
            </w:r>
          </w:p>
        </w:tc>
        <w:tc>
          <w:tcPr>
            <w:tcW w:w="1435" w:type="dxa"/>
            <w:vAlign w:val="center"/>
          </w:tcPr>
          <w:p w14:paraId="2A7478AC" w14:textId="391EB9BE" w:rsidR="00937C11" w:rsidRPr="00797CA2" w:rsidRDefault="00BF4957" w:rsidP="00FF291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r w:rsidR="00A16E91">
              <w:rPr>
                <w:rFonts w:ascii="Calibri" w:hAnsi="Calibri" w:cs="Calibri"/>
                <w:color w:val="000000"/>
                <w:sz w:val="20"/>
              </w:rPr>
              <w:t>%</w:t>
            </w:r>
          </w:p>
        </w:tc>
      </w:tr>
      <w:tr w:rsidR="00B243D8" w:rsidRPr="00797CA2" w14:paraId="7EC29B8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DFCD90D"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w:t>
            </w:r>
            <w:proofErr w:type="spellStart"/>
            <w:r w:rsidRPr="00B243D8">
              <w:rPr>
                <w:rFonts w:ascii="Calibri" w:hAnsi="Calibri" w:cs="Calibri"/>
                <w:iCs/>
                <w:color w:val="000000"/>
                <w:sz w:val="20"/>
              </w:rPr>
              <w:t>Aus</w:t>
            </w:r>
            <w:proofErr w:type="spellEnd"/>
            <w:r w:rsidRPr="00B243D8">
              <w:rPr>
                <w:rFonts w:ascii="Calibri" w:hAnsi="Calibri" w:cs="Calibri"/>
                <w:iCs/>
                <w:color w:val="000000"/>
                <w:sz w:val="20"/>
              </w:rPr>
              <w: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381F8863" w14:textId="6D0962B8" w:rsidR="00937C11" w:rsidRPr="00995976" w:rsidRDefault="00BF4957"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May</w:t>
            </w:r>
            <w:r w:rsidR="00937C11" w:rsidRPr="00995976">
              <w:rPr>
                <w:rFonts w:ascii="Calibri" w:hAnsi="Calibri" w:cs="Calibri"/>
                <w:color w:val="000000"/>
                <w:sz w:val="20"/>
              </w:rPr>
              <w:t>-23</w:t>
            </w:r>
          </w:p>
        </w:tc>
        <w:tc>
          <w:tcPr>
            <w:tcW w:w="1271" w:type="dxa"/>
            <w:shd w:val="clear" w:color="auto" w:fill="auto"/>
            <w:vAlign w:val="center"/>
          </w:tcPr>
          <w:p w14:paraId="2CC00E70" w14:textId="7D52AB01" w:rsidR="00937C11" w:rsidRPr="00995976" w:rsidRDefault="00551DD1"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w:t>
            </w:r>
            <w:r w:rsidR="00BF4957">
              <w:rPr>
                <w:rFonts w:ascii="Calibri" w:hAnsi="Calibri" w:cs="Calibri"/>
                <w:color w:val="000000"/>
                <w:sz w:val="20"/>
              </w:rPr>
              <w:t>4</w:t>
            </w:r>
            <w:r>
              <w:rPr>
                <w:rFonts w:ascii="Calibri" w:hAnsi="Calibri" w:cs="Calibri"/>
                <w:color w:val="000000"/>
                <w:sz w:val="20"/>
              </w:rPr>
              <w:t>.</w:t>
            </w:r>
            <w:r w:rsidR="00BF4957">
              <w:rPr>
                <w:rFonts w:ascii="Calibri" w:hAnsi="Calibri" w:cs="Calibri"/>
                <w:color w:val="000000"/>
                <w:sz w:val="20"/>
              </w:rPr>
              <w:t>012</w:t>
            </w:r>
          </w:p>
        </w:tc>
        <w:tc>
          <w:tcPr>
            <w:tcW w:w="1083" w:type="dxa"/>
            <w:shd w:val="clear" w:color="auto" w:fill="auto"/>
            <w:vAlign w:val="center"/>
          </w:tcPr>
          <w:p w14:paraId="5EF6BBAC" w14:textId="6B336585" w:rsidR="00937C11" w:rsidRPr="00392EA0" w:rsidRDefault="00A16E91"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BF4957">
              <w:rPr>
                <w:rFonts w:ascii="Calibri" w:hAnsi="Calibri" w:cs="Calibri"/>
                <w:color w:val="000000"/>
                <w:sz w:val="20"/>
              </w:rPr>
              <w:t>5</w:t>
            </w:r>
            <w:r>
              <w:rPr>
                <w:rFonts w:ascii="Calibri" w:hAnsi="Calibri" w:cs="Calibri"/>
                <w:color w:val="000000"/>
                <w:sz w:val="20"/>
              </w:rPr>
              <w:t>%</w:t>
            </w:r>
          </w:p>
        </w:tc>
        <w:tc>
          <w:tcPr>
            <w:tcW w:w="1076" w:type="dxa"/>
            <w:shd w:val="clear" w:color="auto" w:fill="auto"/>
            <w:vAlign w:val="center"/>
          </w:tcPr>
          <w:p w14:paraId="3A8A9F49" w14:textId="244657A3" w:rsidR="00937C11" w:rsidRPr="00797CA2" w:rsidRDefault="00BF4957"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3.4</w:t>
            </w:r>
            <w:r w:rsidR="00937C11" w:rsidRPr="000A24B2">
              <w:rPr>
                <w:rFonts w:ascii="Calibri" w:hAnsi="Calibri" w:cs="Calibri"/>
                <w:color w:val="000000"/>
                <w:sz w:val="20"/>
              </w:rPr>
              <w:t>%</w:t>
            </w:r>
          </w:p>
        </w:tc>
        <w:tc>
          <w:tcPr>
            <w:tcW w:w="1055" w:type="dxa"/>
            <w:shd w:val="clear" w:color="auto" w:fill="auto"/>
            <w:vAlign w:val="center"/>
          </w:tcPr>
          <w:p w14:paraId="730D7946" w14:textId="5B0C6264" w:rsidR="00937C11" w:rsidRPr="00797CA2" w:rsidRDefault="00937C11"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w:t>
            </w:r>
            <w:r w:rsidR="00BF4957">
              <w:rPr>
                <w:rFonts w:ascii="Calibri" w:hAnsi="Calibri" w:cs="Calibri"/>
                <w:color w:val="000000"/>
                <w:sz w:val="20"/>
              </w:rPr>
              <w:t>3</w:t>
            </w:r>
            <w:r w:rsidRPr="00797CA2">
              <w:rPr>
                <w:rFonts w:ascii="Calibri" w:hAnsi="Calibri" w:cs="Calibri"/>
                <w:color w:val="000000"/>
                <w:sz w:val="20"/>
              </w:rPr>
              <w:t>%</w:t>
            </w:r>
          </w:p>
        </w:tc>
        <w:tc>
          <w:tcPr>
            <w:tcW w:w="1435" w:type="dxa"/>
            <w:shd w:val="clear" w:color="auto" w:fill="auto"/>
            <w:vAlign w:val="center"/>
          </w:tcPr>
          <w:p w14:paraId="66F276C0" w14:textId="1E3D2B7A" w:rsidR="00937C11" w:rsidRPr="00797CA2" w:rsidRDefault="00BF4957" w:rsidP="00FF291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8</w:t>
            </w:r>
            <w:r w:rsidR="006536A6">
              <w:rPr>
                <w:rFonts w:ascii="Calibri" w:hAnsi="Calibri" w:cs="Calibri"/>
                <w:color w:val="000000"/>
                <w:sz w:val="20"/>
              </w:rPr>
              <w:t>.1</w:t>
            </w:r>
            <w:r w:rsidR="00A16E91">
              <w:rPr>
                <w:rFonts w:ascii="Calibri" w:hAnsi="Calibri" w:cs="Calibri"/>
                <w:color w:val="000000"/>
                <w:sz w:val="20"/>
              </w:rPr>
              <w:t>%</w:t>
            </w:r>
          </w:p>
        </w:tc>
      </w:tr>
      <w:tr w:rsidR="00995976" w:rsidRPr="004C3D2F" w14:paraId="1081F6C8" w14:textId="77777777" w:rsidTr="00BF2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41D3E135" w14:textId="5EDBAC24" w:rsidR="00995976"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Unemployment</w:t>
            </w:r>
          </w:p>
        </w:tc>
        <w:tc>
          <w:tcPr>
            <w:tcW w:w="938" w:type="dxa"/>
            <w:shd w:val="clear" w:color="auto" w:fill="D9D9D9" w:themeFill="background1" w:themeFillShade="D9"/>
            <w:vAlign w:val="center"/>
          </w:tcPr>
          <w:p w14:paraId="78738E4F" w14:textId="77777777" w:rsidR="00995976" w:rsidRPr="00BF26A2" w:rsidRDefault="00995976"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271" w:type="dxa"/>
            <w:shd w:val="clear" w:color="auto" w:fill="D9D9D9" w:themeFill="background1" w:themeFillShade="D9"/>
            <w:vAlign w:val="center"/>
          </w:tcPr>
          <w:p w14:paraId="042767A9" w14:textId="638F3BC7" w:rsidR="00995976" w:rsidRPr="00BF26A2" w:rsidRDefault="00995976" w:rsidP="00BE2895">
            <w:pPr>
              <w:spacing w:before="20" w:after="2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Rate</w:t>
            </w:r>
          </w:p>
        </w:tc>
        <w:tc>
          <w:tcPr>
            <w:tcW w:w="1083" w:type="dxa"/>
            <w:shd w:val="clear" w:color="auto" w:fill="D9D9D9" w:themeFill="background1" w:themeFillShade="D9"/>
            <w:vAlign w:val="center"/>
          </w:tcPr>
          <w:p w14:paraId="76C074B7"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76" w:type="dxa"/>
            <w:shd w:val="clear" w:color="auto" w:fill="D9D9D9" w:themeFill="background1" w:themeFillShade="D9"/>
            <w:vAlign w:val="center"/>
          </w:tcPr>
          <w:p w14:paraId="504A84C5"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55" w:type="dxa"/>
            <w:shd w:val="clear" w:color="auto" w:fill="D9D9D9" w:themeFill="background1" w:themeFillShade="D9"/>
            <w:vAlign w:val="center"/>
          </w:tcPr>
          <w:p w14:paraId="55D44FCF"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435" w:type="dxa"/>
            <w:shd w:val="clear" w:color="auto" w:fill="D9D9D9" w:themeFill="background1" w:themeFillShade="D9"/>
            <w:vAlign w:val="center"/>
          </w:tcPr>
          <w:p w14:paraId="4D0694A9" w14:textId="77777777" w:rsidR="00995976" w:rsidRPr="00BF26A2" w:rsidRDefault="00995976" w:rsidP="00BE2895">
            <w:pPr>
              <w:spacing w:before="20" w:after="2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r>
      <w:tr w:rsidR="00B243D8" w:rsidRPr="00797CA2" w14:paraId="5321566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98F167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615CB847" w14:textId="76F7590C" w:rsidR="00937C11" w:rsidRPr="00995976" w:rsidRDefault="00BF4957"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May</w:t>
            </w:r>
            <w:r w:rsidR="00937C11" w:rsidRPr="00995976">
              <w:rPr>
                <w:rFonts w:ascii="Calibri" w:hAnsi="Calibri" w:cs="Calibri"/>
                <w:color w:val="000000"/>
                <w:sz w:val="20"/>
              </w:rPr>
              <w:t>-23</w:t>
            </w:r>
          </w:p>
        </w:tc>
        <w:tc>
          <w:tcPr>
            <w:tcW w:w="1271" w:type="dxa"/>
            <w:shd w:val="clear" w:color="auto" w:fill="auto"/>
            <w:vAlign w:val="center"/>
          </w:tcPr>
          <w:p w14:paraId="3D1663B8" w14:textId="5E6FE2DA" w:rsidR="00937C11" w:rsidRPr="00392EA0" w:rsidRDefault="006536A6"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BF4957">
              <w:rPr>
                <w:rFonts w:ascii="Calibri" w:hAnsi="Calibri" w:cs="Calibri"/>
                <w:color w:val="000000"/>
                <w:sz w:val="20"/>
              </w:rPr>
              <w:t>1</w:t>
            </w:r>
            <w:r w:rsidR="00551BCC">
              <w:rPr>
                <w:rFonts w:ascii="Calibri" w:hAnsi="Calibri" w:cs="Calibri"/>
                <w:color w:val="000000"/>
                <w:sz w:val="20"/>
              </w:rPr>
              <w:t>%</w:t>
            </w:r>
          </w:p>
        </w:tc>
        <w:tc>
          <w:tcPr>
            <w:tcW w:w="1083" w:type="dxa"/>
            <w:shd w:val="clear" w:color="auto" w:fill="auto"/>
            <w:vAlign w:val="center"/>
          </w:tcPr>
          <w:p w14:paraId="1EFC6136" w14:textId="262DF9E9" w:rsidR="00937C11" w:rsidRPr="00392EA0" w:rsidRDefault="006536A6"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BF4957">
              <w:rPr>
                <w:rFonts w:ascii="Calibri" w:hAnsi="Calibri" w:cs="Calibri"/>
                <w:color w:val="000000"/>
                <w:sz w:val="20"/>
              </w:rPr>
              <w:t>2</w:t>
            </w:r>
            <w:r w:rsidR="00551BCC">
              <w:rPr>
                <w:rFonts w:ascii="Calibri" w:hAnsi="Calibri" w:cs="Calibri"/>
                <w:color w:val="000000"/>
                <w:sz w:val="20"/>
              </w:rPr>
              <w:t xml:space="preserve"> </w:t>
            </w:r>
            <w:proofErr w:type="spellStart"/>
            <w:r w:rsidR="00551BCC">
              <w:rPr>
                <w:rFonts w:ascii="Calibri" w:hAnsi="Calibri" w:cs="Calibri"/>
                <w:color w:val="000000"/>
                <w:sz w:val="20"/>
              </w:rPr>
              <w:t>ppt</w:t>
            </w:r>
            <w:proofErr w:type="spellEnd"/>
          </w:p>
        </w:tc>
        <w:tc>
          <w:tcPr>
            <w:tcW w:w="1076" w:type="dxa"/>
            <w:shd w:val="clear" w:color="auto" w:fill="auto"/>
            <w:vAlign w:val="center"/>
          </w:tcPr>
          <w:p w14:paraId="532A2683" w14:textId="48EE3358" w:rsidR="00937C11" w:rsidRPr="000A24B2" w:rsidRDefault="006536A6"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BF4957">
              <w:rPr>
                <w:rFonts w:ascii="Calibri" w:hAnsi="Calibri" w:cs="Calibri"/>
                <w:color w:val="000000"/>
                <w:sz w:val="20"/>
              </w:rPr>
              <w:t>1</w:t>
            </w:r>
            <w:r>
              <w:rPr>
                <w:rFonts w:ascii="Calibri" w:hAnsi="Calibri" w:cs="Calibri"/>
                <w:color w:val="000000"/>
                <w:sz w:val="20"/>
              </w:rPr>
              <w:t>.</w:t>
            </w:r>
            <w:r w:rsidR="00BF4957">
              <w:rPr>
                <w:rFonts w:ascii="Calibri" w:hAnsi="Calibri" w:cs="Calibri"/>
                <w:color w:val="000000"/>
                <w:sz w:val="20"/>
              </w:rPr>
              <w:t>0</w:t>
            </w:r>
            <w:r w:rsidR="00551BCC">
              <w:rPr>
                <w:rFonts w:ascii="Calibri" w:hAnsi="Calibri" w:cs="Calibri"/>
                <w:color w:val="000000"/>
                <w:sz w:val="20"/>
              </w:rPr>
              <w:t xml:space="preserve"> </w:t>
            </w:r>
            <w:proofErr w:type="spellStart"/>
            <w:r w:rsidR="00551BCC">
              <w:rPr>
                <w:rFonts w:ascii="Calibri" w:hAnsi="Calibri" w:cs="Calibri"/>
                <w:color w:val="000000"/>
                <w:sz w:val="20"/>
              </w:rPr>
              <w:t>ppt</w:t>
            </w:r>
            <w:proofErr w:type="spellEnd"/>
          </w:p>
        </w:tc>
        <w:tc>
          <w:tcPr>
            <w:tcW w:w="1055" w:type="dxa"/>
            <w:shd w:val="clear" w:color="auto" w:fill="auto"/>
            <w:vAlign w:val="center"/>
          </w:tcPr>
          <w:p w14:paraId="13145DE3" w14:textId="664093E0" w:rsidR="00937C11" w:rsidRPr="00392EA0" w:rsidRDefault="00F45E4E"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0F628F55" w14:textId="2B20D855" w:rsidR="00937C11" w:rsidRPr="000A24B2" w:rsidRDefault="00551BCC" w:rsidP="00BF4957">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FF2916">
              <w:rPr>
                <w:rFonts w:ascii="Calibri" w:hAnsi="Calibri" w:cs="Calibri"/>
                <w:color w:val="000000"/>
                <w:sz w:val="20"/>
              </w:rPr>
              <w:t>-</w:t>
            </w:r>
            <w:r w:rsidR="006536A6">
              <w:rPr>
                <w:rFonts w:ascii="Calibri" w:hAnsi="Calibri" w:cs="Calibri"/>
                <w:color w:val="000000"/>
                <w:sz w:val="20"/>
              </w:rPr>
              <w:t>1.</w:t>
            </w:r>
            <w:r w:rsidR="00BF4957">
              <w:rPr>
                <w:rFonts w:ascii="Calibri" w:hAnsi="Calibri" w:cs="Calibri"/>
                <w:color w:val="000000"/>
                <w:sz w:val="20"/>
              </w:rPr>
              <w:t>9</w:t>
            </w:r>
            <w:r w:rsidRPr="00FF2916">
              <w:rPr>
                <w:rFonts w:ascii="Calibri" w:hAnsi="Calibri" w:cs="Calibri"/>
                <w:color w:val="000000"/>
                <w:sz w:val="20"/>
              </w:rPr>
              <w:t xml:space="preserve"> </w:t>
            </w:r>
            <w:proofErr w:type="spellStart"/>
            <w:r w:rsidRPr="00FF2916">
              <w:rPr>
                <w:rFonts w:ascii="Calibri" w:hAnsi="Calibri" w:cs="Calibri"/>
                <w:color w:val="000000"/>
                <w:sz w:val="20"/>
              </w:rPr>
              <w:t>ppt</w:t>
            </w:r>
            <w:proofErr w:type="spellEnd"/>
          </w:p>
        </w:tc>
      </w:tr>
      <w:tr w:rsidR="00B243D8" w:rsidRPr="00797CA2" w14:paraId="01535E0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FC221B" w14:textId="0D3F8616"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 (</w:t>
            </w:r>
            <w:proofErr w:type="spellStart"/>
            <w:r w:rsidR="00937C11" w:rsidRPr="00B243D8">
              <w:rPr>
                <w:rFonts w:ascii="Calibri" w:hAnsi="Calibri" w:cs="Calibri"/>
                <w:iCs/>
                <w:color w:val="000000"/>
                <w:sz w:val="20"/>
              </w:rPr>
              <w:t>sa</w:t>
            </w:r>
            <w:proofErr w:type="spellEnd"/>
            <w:r w:rsidR="00937C11" w:rsidRPr="00B243D8">
              <w:rPr>
                <w:rFonts w:ascii="Calibri" w:hAnsi="Calibri" w:cs="Calibri"/>
                <w:iCs/>
                <w:color w:val="000000"/>
                <w:sz w:val="20"/>
              </w:rPr>
              <w:t>)</w:t>
            </w:r>
          </w:p>
        </w:tc>
        <w:tc>
          <w:tcPr>
            <w:tcW w:w="938" w:type="dxa"/>
            <w:vAlign w:val="center"/>
          </w:tcPr>
          <w:p w14:paraId="23B52F3E" w14:textId="3549BF55" w:rsidR="00937C11" w:rsidRPr="00995976" w:rsidRDefault="00BF4957"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May</w:t>
            </w:r>
            <w:r w:rsidR="00B04B66">
              <w:rPr>
                <w:rFonts w:ascii="Calibri" w:hAnsi="Calibri" w:cs="Calibri"/>
                <w:color w:val="000000"/>
                <w:sz w:val="20"/>
              </w:rPr>
              <w:t>-</w:t>
            </w:r>
            <w:r w:rsidR="00937C11" w:rsidRPr="00995976">
              <w:rPr>
                <w:rFonts w:ascii="Calibri" w:hAnsi="Calibri" w:cs="Calibri"/>
                <w:color w:val="000000"/>
                <w:sz w:val="20"/>
              </w:rPr>
              <w:t>23</w:t>
            </w:r>
          </w:p>
        </w:tc>
        <w:tc>
          <w:tcPr>
            <w:tcW w:w="1271" w:type="dxa"/>
            <w:vAlign w:val="center"/>
          </w:tcPr>
          <w:p w14:paraId="78E2114C" w14:textId="4806DAE6" w:rsidR="00937C11" w:rsidRPr="00392EA0" w:rsidRDefault="00551BCC"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BF4957">
              <w:rPr>
                <w:rFonts w:ascii="Calibri" w:hAnsi="Calibri" w:cs="Calibri"/>
                <w:color w:val="000000"/>
                <w:sz w:val="20"/>
              </w:rPr>
              <w:t>6</w:t>
            </w:r>
            <w:r>
              <w:rPr>
                <w:rFonts w:ascii="Calibri" w:hAnsi="Calibri" w:cs="Calibri"/>
                <w:color w:val="000000"/>
                <w:sz w:val="20"/>
              </w:rPr>
              <w:t>%</w:t>
            </w:r>
          </w:p>
        </w:tc>
        <w:tc>
          <w:tcPr>
            <w:tcW w:w="1083" w:type="dxa"/>
            <w:vAlign w:val="center"/>
          </w:tcPr>
          <w:p w14:paraId="13BE7E28" w14:textId="422C66A4" w:rsidR="00937C11" w:rsidRPr="000A24B2" w:rsidRDefault="00BF4957"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551BCC">
              <w:rPr>
                <w:rFonts w:ascii="Calibri" w:hAnsi="Calibri" w:cs="Calibri"/>
                <w:color w:val="000000"/>
                <w:sz w:val="20"/>
              </w:rPr>
              <w:t xml:space="preserve">0.1 </w:t>
            </w:r>
            <w:proofErr w:type="spellStart"/>
            <w:r w:rsidR="00551BCC">
              <w:rPr>
                <w:rFonts w:ascii="Calibri" w:hAnsi="Calibri" w:cs="Calibri"/>
                <w:color w:val="000000"/>
                <w:sz w:val="20"/>
              </w:rPr>
              <w:t>ppt</w:t>
            </w:r>
            <w:proofErr w:type="spellEnd"/>
          </w:p>
        </w:tc>
        <w:tc>
          <w:tcPr>
            <w:tcW w:w="1076" w:type="dxa"/>
            <w:vAlign w:val="center"/>
          </w:tcPr>
          <w:p w14:paraId="0DFA8D97" w14:textId="720F1555" w:rsidR="00937C11" w:rsidRPr="00797CA2" w:rsidRDefault="00937C11"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BF4957">
              <w:rPr>
                <w:rFonts w:ascii="Calibri" w:hAnsi="Calibri" w:cs="Calibri"/>
                <w:color w:val="000000"/>
                <w:sz w:val="20"/>
              </w:rPr>
              <w:t>4</w:t>
            </w:r>
            <w:r w:rsidRPr="00797CA2">
              <w:rPr>
                <w:rFonts w:ascii="Calibri" w:hAnsi="Calibri" w:cs="Calibri"/>
                <w:color w:val="000000"/>
                <w:sz w:val="20"/>
              </w:rPr>
              <w:t xml:space="preserve"> </w:t>
            </w:r>
            <w:proofErr w:type="spellStart"/>
            <w:r w:rsidRPr="00797CA2">
              <w:rPr>
                <w:rFonts w:ascii="Calibri" w:hAnsi="Calibri" w:cs="Calibri"/>
                <w:color w:val="000000"/>
                <w:sz w:val="20"/>
              </w:rPr>
              <w:t>ppt</w:t>
            </w:r>
            <w:proofErr w:type="spellEnd"/>
          </w:p>
        </w:tc>
        <w:tc>
          <w:tcPr>
            <w:tcW w:w="1055" w:type="dxa"/>
            <w:vAlign w:val="center"/>
          </w:tcPr>
          <w:p w14:paraId="60169127" w14:textId="5675D729" w:rsidR="00937C11" w:rsidRPr="00392EA0" w:rsidRDefault="00F45E4E"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vAlign w:val="center"/>
          </w:tcPr>
          <w:p w14:paraId="5CCB60F4" w14:textId="07A24459" w:rsidR="00937C11" w:rsidRPr="000A24B2" w:rsidRDefault="00551BCC" w:rsidP="00BF4957">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FF2916">
              <w:rPr>
                <w:rFonts w:ascii="Calibri" w:hAnsi="Calibri" w:cs="Calibri"/>
                <w:color w:val="000000"/>
                <w:sz w:val="20"/>
              </w:rPr>
              <w:t>-1.</w:t>
            </w:r>
            <w:r w:rsidR="00BF4957">
              <w:rPr>
                <w:rFonts w:ascii="Calibri" w:hAnsi="Calibri" w:cs="Calibri"/>
                <w:color w:val="000000"/>
                <w:sz w:val="20"/>
              </w:rPr>
              <w:t>5</w:t>
            </w:r>
            <w:r w:rsidRPr="00FF2916">
              <w:rPr>
                <w:rFonts w:ascii="Calibri" w:hAnsi="Calibri" w:cs="Calibri"/>
                <w:color w:val="000000"/>
                <w:sz w:val="20"/>
              </w:rPr>
              <w:t xml:space="preserve"> </w:t>
            </w:r>
            <w:proofErr w:type="spellStart"/>
            <w:r w:rsidRPr="00FF2916">
              <w:rPr>
                <w:rFonts w:ascii="Calibri" w:hAnsi="Calibri" w:cs="Calibri"/>
                <w:color w:val="000000"/>
                <w:sz w:val="20"/>
              </w:rPr>
              <w:t>ppt</w:t>
            </w:r>
            <w:proofErr w:type="spellEnd"/>
          </w:p>
        </w:tc>
      </w:tr>
      <w:tr w:rsidR="00B243D8" w:rsidRPr="00797CA2" w14:paraId="3EDA8D03"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B6099" w14:textId="77777777" w:rsidR="004F7E54" w:rsidRPr="00B243D8"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Population</w:t>
            </w:r>
          </w:p>
        </w:tc>
        <w:tc>
          <w:tcPr>
            <w:tcW w:w="938" w:type="dxa"/>
            <w:vAlign w:val="center"/>
          </w:tcPr>
          <w:p w14:paraId="44C5CBE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32C9876" w14:textId="01CC111F" w:rsidR="004F7E54" w:rsidRPr="00995976" w:rsidRDefault="00493695"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b/>
                <w:color w:val="000000"/>
                <w:sz w:val="20"/>
              </w:rPr>
              <w:t>#M</w:t>
            </w:r>
          </w:p>
        </w:tc>
        <w:tc>
          <w:tcPr>
            <w:tcW w:w="1083" w:type="dxa"/>
            <w:vAlign w:val="center"/>
          </w:tcPr>
          <w:p w14:paraId="10E1D983"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436226C5"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2776258A"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A8AEE0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2E620D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1607957"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(NT)</w:t>
            </w:r>
          </w:p>
        </w:tc>
        <w:tc>
          <w:tcPr>
            <w:tcW w:w="938" w:type="dxa"/>
            <w:vAlign w:val="center"/>
          </w:tcPr>
          <w:p w14:paraId="4D1BE2DC" w14:textId="09F3AECF" w:rsidR="00937C11" w:rsidRPr="00995976" w:rsidRDefault="00BF4957"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Dec</w:t>
            </w:r>
            <w:r w:rsidR="00937C11" w:rsidRPr="00995976">
              <w:rPr>
                <w:rFonts w:ascii="Calibri" w:hAnsi="Calibri" w:cs="Calibri"/>
                <w:color w:val="000000"/>
                <w:sz w:val="20"/>
              </w:rPr>
              <w:t>-22</w:t>
            </w:r>
          </w:p>
        </w:tc>
        <w:tc>
          <w:tcPr>
            <w:tcW w:w="1271" w:type="dxa"/>
            <w:vAlign w:val="center"/>
          </w:tcPr>
          <w:p w14:paraId="41DAED1C" w14:textId="20E8D81E" w:rsidR="00937C11" w:rsidRPr="00995976" w:rsidRDefault="00461158"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0.25</w:t>
            </w:r>
            <w:r w:rsidR="00BF4957">
              <w:rPr>
                <w:rFonts w:ascii="Calibri" w:hAnsi="Calibri" w:cs="Calibri"/>
                <w:color w:val="000000"/>
                <w:sz w:val="20"/>
              </w:rPr>
              <w:t>0</w:t>
            </w:r>
          </w:p>
        </w:tc>
        <w:tc>
          <w:tcPr>
            <w:tcW w:w="1083" w:type="dxa"/>
            <w:vAlign w:val="center"/>
          </w:tcPr>
          <w:p w14:paraId="06C72730" w14:textId="577D784B" w:rsidR="00937C11" w:rsidRPr="00392EA0" w:rsidRDefault="00BF4957"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551BCC">
              <w:rPr>
                <w:rFonts w:ascii="Calibri" w:hAnsi="Calibri" w:cs="Calibri"/>
                <w:color w:val="000000"/>
                <w:sz w:val="20"/>
              </w:rPr>
              <w:t>0.</w:t>
            </w:r>
            <w:r>
              <w:rPr>
                <w:rFonts w:ascii="Calibri" w:hAnsi="Calibri" w:cs="Calibri"/>
                <w:color w:val="000000"/>
                <w:sz w:val="20"/>
              </w:rPr>
              <w:t>1</w:t>
            </w:r>
            <w:r w:rsidR="00551BCC">
              <w:rPr>
                <w:rFonts w:ascii="Calibri" w:hAnsi="Calibri" w:cs="Calibri"/>
                <w:color w:val="000000"/>
                <w:sz w:val="20"/>
              </w:rPr>
              <w:t>%</w:t>
            </w:r>
          </w:p>
        </w:tc>
        <w:tc>
          <w:tcPr>
            <w:tcW w:w="1076" w:type="dxa"/>
            <w:vAlign w:val="center"/>
          </w:tcPr>
          <w:p w14:paraId="21371203" w14:textId="072AB6CF" w:rsidR="00937C11" w:rsidRPr="000A24B2" w:rsidRDefault="00551BCC"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BF4957">
              <w:rPr>
                <w:rFonts w:ascii="Calibri" w:hAnsi="Calibri" w:cs="Calibri"/>
                <w:color w:val="000000"/>
                <w:sz w:val="20"/>
              </w:rPr>
              <w:t>8</w:t>
            </w:r>
            <w:r>
              <w:rPr>
                <w:rFonts w:ascii="Calibri" w:hAnsi="Calibri" w:cs="Calibri"/>
                <w:color w:val="000000"/>
                <w:sz w:val="20"/>
              </w:rPr>
              <w:t>%</w:t>
            </w:r>
          </w:p>
        </w:tc>
        <w:tc>
          <w:tcPr>
            <w:tcW w:w="1055" w:type="dxa"/>
            <w:vAlign w:val="center"/>
          </w:tcPr>
          <w:p w14:paraId="58BAD20F" w14:textId="43B6FC0F" w:rsidR="00937C11" w:rsidRPr="00392EA0" w:rsidRDefault="00CE0C8A"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vAlign w:val="center"/>
          </w:tcPr>
          <w:p w14:paraId="1219628B" w14:textId="6E3F89A0" w:rsidR="00937C11" w:rsidRPr="000A24B2" w:rsidRDefault="00937C11" w:rsidP="00BF4957">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1.</w:t>
            </w:r>
            <w:r w:rsidR="00BF4957">
              <w:rPr>
                <w:rFonts w:ascii="Calibri" w:hAnsi="Calibri" w:cs="Calibri"/>
                <w:color w:val="000000"/>
                <w:sz w:val="20"/>
              </w:rPr>
              <w:t>6</w:t>
            </w:r>
            <w:r w:rsidRPr="000A24B2">
              <w:rPr>
                <w:rFonts w:ascii="Calibri" w:hAnsi="Calibri" w:cs="Calibri"/>
                <w:color w:val="000000"/>
                <w:sz w:val="20"/>
              </w:rPr>
              <w:t>%</w:t>
            </w:r>
          </w:p>
        </w:tc>
      </w:tr>
      <w:tr w:rsidR="00B243D8" w:rsidRPr="00797CA2" w14:paraId="1CBBCE7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870113" w14:textId="74752514"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w:t>
            </w:r>
          </w:p>
        </w:tc>
        <w:tc>
          <w:tcPr>
            <w:tcW w:w="938" w:type="dxa"/>
            <w:shd w:val="clear" w:color="auto" w:fill="auto"/>
            <w:vAlign w:val="center"/>
          </w:tcPr>
          <w:p w14:paraId="3340DA18" w14:textId="2A093098" w:rsidR="00937C11" w:rsidRPr="00995976" w:rsidRDefault="00BF4957"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Dec</w:t>
            </w:r>
            <w:r w:rsidR="00937C11" w:rsidRPr="00995976">
              <w:rPr>
                <w:rFonts w:ascii="Calibri" w:hAnsi="Calibri" w:cs="Calibri"/>
                <w:color w:val="000000"/>
                <w:sz w:val="20"/>
              </w:rPr>
              <w:t>-22</w:t>
            </w:r>
          </w:p>
        </w:tc>
        <w:tc>
          <w:tcPr>
            <w:tcW w:w="1271" w:type="dxa"/>
            <w:shd w:val="clear" w:color="auto" w:fill="auto"/>
            <w:vAlign w:val="center"/>
          </w:tcPr>
          <w:p w14:paraId="59FB9A4B" w14:textId="2371BFE7" w:rsidR="00937C11" w:rsidRPr="00392EA0" w:rsidRDefault="00461158"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551BCC">
              <w:rPr>
                <w:rFonts w:ascii="Calibri" w:hAnsi="Calibri" w:cs="Calibri"/>
                <w:color w:val="000000"/>
                <w:sz w:val="20"/>
              </w:rPr>
              <w:t>6</w:t>
            </w:r>
            <w:r>
              <w:rPr>
                <w:rFonts w:ascii="Calibri" w:hAnsi="Calibri" w:cs="Calibri"/>
                <w:color w:val="000000"/>
                <w:sz w:val="20"/>
              </w:rPr>
              <w:t>.</w:t>
            </w:r>
            <w:r w:rsidR="00BF4957">
              <w:rPr>
                <w:rFonts w:ascii="Calibri" w:hAnsi="Calibri" w:cs="Calibri"/>
                <w:color w:val="000000"/>
                <w:sz w:val="20"/>
              </w:rPr>
              <w:t>268</w:t>
            </w:r>
          </w:p>
        </w:tc>
        <w:tc>
          <w:tcPr>
            <w:tcW w:w="1083" w:type="dxa"/>
            <w:shd w:val="clear" w:color="auto" w:fill="auto"/>
            <w:vAlign w:val="center"/>
          </w:tcPr>
          <w:p w14:paraId="245B10D8" w14:textId="17A859E8" w:rsidR="00937C11" w:rsidRPr="000A24B2" w:rsidRDefault="00551BCC"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076" w:type="dxa"/>
            <w:shd w:val="clear" w:color="auto" w:fill="auto"/>
            <w:vAlign w:val="center"/>
          </w:tcPr>
          <w:p w14:paraId="54A1E551" w14:textId="28A4CC07" w:rsidR="00937C11" w:rsidRPr="00797CA2" w:rsidRDefault="00551BCC"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w:t>
            </w:r>
            <w:r w:rsidR="00BF4957">
              <w:rPr>
                <w:rFonts w:ascii="Calibri" w:hAnsi="Calibri" w:cs="Calibri"/>
                <w:color w:val="000000"/>
                <w:sz w:val="20"/>
              </w:rPr>
              <w:t>9</w:t>
            </w:r>
            <w:r>
              <w:rPr>
                <w:rFonts w:ascii="Calibri" w:hAnsi="Calibri" w:cs="Calibri"/>
                <w:color w:val="000000"/>
                <w:sz w:val="20"/>
              </w:rPr>
              <w:t>%</w:t>
            </w:r>
          </w:p>
        </w:tc>
        <w:tc>
          <w:tcPr>
            <w:tcW w:w="1055" w:type="dxa"/>
            <w:shd w:val="clear" w:color="auto" w:fill="auto"/>
            <w:vAlign w:val="center"/>
          </w:tcPr>
          <w:p w14:paraId="61E72CC4" w14:textId="75015208" w:rsidR="00937C11" w:rsidRPr="00392EA0" w:rsidRDefault="00CE0C8A"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7CAD3AF5" w14:textId="26CF6B2B" w:rsidR="00937C11" w:rsidRPr="000A24B2" w:rsidRDefault="00551BCC" w:rsidP="00BF4957">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BF4957">
              <w:rPr>
                <w:rFonts w:ascii="Calibri" w:hAnsi="Calibri" w:cs="Calibri"/>
                <w:color w:val="000000"/>
                <w:sz w:val="20"/>
              </w:rPr>
              <w:t>9</w:t>
            </w:r>
            <w:r>
              <w:rPr>
                <w:rFonts w:ascii="Calibri" w:hAnsi="Calibri" w:cs="Calibri"/>
                <w:color w:val="000000"/>
                <w:sz w:val="20"/>
              </w:rPr>
              <w:t>%</w:t>
            </w:r>
          </w:p>
        </w:tc>
      </w:tr>
    </w:tbl>
    <w:p w14:paraId="57A07CB4" w14:textId="0CC43683" w:rsidR="004F7E54" w:rsidRPr="00EE4666" w:rsidRDefault="004F7E54" w:rsidP="004F7E54">
      <w:pPr>
        <w:spacing w:after="0"/>
        <w:rPr>
          <w:sz w:val="16"/>
          <w:szCs w:val="16"/>
        </w:rPr>
      </w:pPr>
      <w:r>
        <w:rPr>
          <w:sz w:val="16"/>
          <w:szCs w:val="16"/>
        </w:rPr>
        <w:t xml:space="preserve">1. Monthly change for retail sales, goods exports, </w:t>
      </w:r>
      <w:r w:rsidR="005D00F6">
        <w:rPr>
          <w:sz w:val="16"/>
          <w:szCs w:val="16"/>
        </w:rPr>
        <w:t xml:space="preserve">employment and </w:t>
      </w:r>
      <w:r>
        <w:rPr>
          <w:sz w:val="16"/>
          <w:szCs w:val="16"/>
        </w:rPr>
        <w:t>unemployment; quarterly change for all other variables.</w:t>
      </w:r>
    </w:p>
    <w:p w14:paraId="42DCE9B8" w14:textId="2642DB3E" w:rsidR="004F7E54" w:rsidRDefault="004F7E54" w:rsidP="004F7E54">
      <w:pPr>
        <w:spacing w:after="0"/>
        <w:rPr>
          <w:sz w:val="16"/>
          <w:szCs w:val="16"/>
        </w:rPr>
      </w:pPr>
      <w:r>
        <w:rPr>
          <w:sz w:val="16"/>
          <w:szCs w:val="16"/>
        </w:rPr>
        <w:t>2</w:t>
      </w:r>
      <w:r w:rsidRPr="00EE4666">
        <w:rPr>
          <w:sz w:val="16"/>
          <w:szCs w:val="16"/>
        </w:rPr>
        <w:t xml:space="preserve">. Compares the latest </w:t>
      </w:r>
      <w:r w:rsidR="00720F41">
        <w:rPr>
          <w:sz w:val="16"/>
          <w:szCs w:val="16"/>
        </w:rPr>
        <w:t>period</w:t>
      </w:r>
      <w:r w:rsidRPr="00EE4666">
        <w:rPr>
          <w:sz w:val="16"/>
          <w:szCs w:val="16"/>
        </w:rPr>
        <w:t xml:space="preserve"> w</w:t>
      </w:r>
      <w:r>
        <w:rPr>
          <w:sz w:val="16"/>
          <w:szCs w:val="16"/>
        </w:rPr>
        <w:t xml:space="preserve">ith the same </w:t>
      </w:r>
      <w:r w:rsidR="00720F41">
        <w:rPr>
          <w:sz w:val="16"/>
          <w:szCs w:val="16"/>
        </w:rPr>
        <w:t>period</w:t>
      </w:r>
      <w:r>
        <w:rPr>
          <w:sz w:val="16"/>
          <w:szCs w:val="16"/>
        </w:rPr>
        <w:t xml:space="preserve"> last year</w:t>
      </w:r>
      <w:r w:rsidR="00720F41">
        <w:rPr>
          <w:sz w:val="16"/>
          <w:szCs w:val="16"/>
        </w:rPr>
        <w:t>.</w:t>
      </w:r>
    </w:p>
    <w:p w14:paraId="2FFF1A00" w14:textId="5E6BECB2" w:rsidR="004F7E54" w:rsidRDefault="004F7E54" w:rsidP="004F7E54">
      <w:pPr>
        <w:spacing w:after="0"/>
        <w:rPr>
          <w:sz w:val="16"/>
          <w:szCs w:val="16"/>
        </w:rPr>
      </w:pPr>
      <w:r>
        <w:rPr>
          <w:sz w:val="16"/>
          <w:szCs w:val="16"/>
        </w:rPr>
        <w:t>3</w:t>
      </w:r>
      <w:r w:rsidRPr="00EE4666">
        <w:rPr>
          <w:sz w:val="16"/>
          <w:szCs w:val="16"/>
        </w:rPr>
        <w:t xml:space="preserve">. Compares the 12 months up to and including the latest </w:t>
      </w:r>
      <w:r w:rsidR="00720F41">
        <w:rPr>
          <w:sz w:val="16"/>
          <w:szCs w:val="16"/>
        </w:rPr>
        <w:t>period</w:t>
      </w:r>
      <w:r w:rsidRPr="00EE4666">
        <w:rPr>
          <w:sz w:val="16"/>
          <w:szCs w:val="16"/>
        </w:rPr>
        <w:t xml:space="preserve"> with the previous 12-month</w:t>
      </w:r>
      <w:r>
        <w:rPr>
          <w:sz w:val="16"/>
          <w:szCs w:val="16"/>
        </w:rPr>
        <w:t xml:space="preserve"> period</w:t>
      </w:r>
      <w:r w:rsidR="005E7A46">
        <w:rPr>
          <w:sz w:val="16"/>
          <w:szCs w:val="16"/>
        </w:rPr>
        <w:t xml:space="preserve"> using original data.</w:t>
      </w:r>
    </w:p>
    <w:p w14:paraId="689549E4" w14:textId="6D644FD6" w:rsidR="004F7E54" w:rsidRDefault="004F7E54" w:rsidP="004F7E54">
      <w:pPr>
        <w:spacing w:after="120"/>
        <w:jc w:val="both"/>
        <w:rPr>
          <w:sz w:val="21"/>
          <w:szCs w:val="21"/>
        </w:rPr>
      </w:pPr>
      <w:r>
        <w:rPr>
          <w:rFonts w:cstheme="minorHAnsi"/>
          <w:sz w:val="16"/>
          <w:szCs w:val="16"/>
        </w:rPr>
        <w:t xml:space="preserve">4. </w:t>
      </w:r>
      <w:r w:rsidR="000204DB">
        <w:rPr>
          <w:rFonts w:cstheme="minorHAnsi"/>
          <w:sz w:val="16"/>
          <w:szCs w:val="16"/>
        </w:rPr>
        <w:t>Percentage change</w:t>
      </w:r>
      <w:r>
        <w:rPr>
          <w:rFonts w:cstheme="minorHAnsi"/>
          <w:sz w:val="16"/>
          <w:szCs w:val="16"/>
        </w:rPr>
        <w:t xml:space="preserve"> </w:t>
      </w:r>
      <w:r w:rsidR="003763FC">
        <w:rPr>
          <w:rFonts w:cstheme="minorHAnsi"/>
          <w:sz w:val="16"/>
          <w:szCs w:val="16"/>
        </w:rPr>
        <w:t>from</w:t>
      </w:r>
      <w:r>
        <w:rPr>
          <w:rFonts w:cstheme="minorHAnsi"/>
          <w:sz w:val="16"/>
          <w:szCs w:val="16"/>
        </w:rPr>
        <w:t xml:space="preserve"> </w:t>
      </w:r>
      <w:r>
        <w:rPr>
          <w:sz w:val="16"/>
          <w:szCs w:val="16"/>
        </w:rPr>
        <w:t>December 2019 to most recent data</w:t>
      </w:r>
      <w:r w:rsidR="00720F41">
        <w:rPr>
          <w:sz w:val="16"/>
          <w:szCs w:val="16"/>
        </w:rPr>
        <w:t>.</w:t>
      </w:r>
    </w:p>
    <w:tbl>
      <w:tblPr>
        <w:tblStyle w:val="PlainTable4"/>
        <w:tblW w:w="0" w:type="auto"/>
        <w:tblLook w:val="04A0" w:firstRow="1" w:lastRow="0" w:firstColumn="1" w:lastColumn="0" w:noHBand="0" w:noVBand="1"/>
      </w:tblPr>
      <w:tblGrid>
        <w:gridCol w:w="5154"/>
        <w:gridCol w:w="5154"/>
      </w:tblGrid>
      <w:tr w:rsidR="00482D19" w:rsidRPr="00B55F93" w14:paraId="6A9D9C39" w14:textId="77777777" w:rsidTr="00062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44CC8987" w14:textId="7BB05243" w:rsidR="0055662D" w:rsidRPr="00B55F93" w:rsidRDefault="00E24FCF" w:rsidP="00062862">
            <w:pPr>
              <w:spacing w:after="120"/>
              <w:jc w:val="both"/>
              <w:rPr>
                <w:b w:val="0"/>
                <w:bCs w:val="0"/>
                <w:noProof/>
                <w:spacing w:val="-2"/>
                <w:sz w:val="20"/>
                <w:szCs w:val="20"/>
                <w:lang w:eastAsia="en-AU"/>
              </w:rPr>
            </w:pPr>
            <w:r w:rsidRPr="00EB7ACC">
              <w:rPr>
                <w:bCs w:val="0"/>
                <w:noProof/>
                <w:spacing w:val="-2"/>
                <w:sz w:val="20"/>
                <w:szCs w:val="20"/>
                <w:lang w:eastAsia="en-AU"/>
              </w:rPr>
              <w:lastRenderedPageBreak/>
              <w:t>Chart</w:t>
            </w:r>
            <w:r w:rsidR="003B0FF0" w:rsidRPr="00EB7ACC">
              <w:rPr>
                <w:bCs w:val="0"/>
                <w:noProof/>
                <w:spacing w:val="-2"/>
                <w:sz w:val="20"/>
                <w:szCs w:val="20"/>
                <w:lang w:eastAsia="en-AU"/>
              </w:rPr>
              <w:t xml:space="preserve"> 1</w:t>
            </w:r>
            <w:r w:rsidR="001D13F9" w:rsidRPr="00EB7ACC">
              <w:rPr>
                <w:bCs w:val="0"/>
                <w:noProof/>
                <w:spacing w:val="-2"/>
                <w:sz w:val="20"/>
                <w:szCs w:val="20"/>
                <w:lang w:eastAsia="en-AU"/>
              </w:rPr>
              <w:t>:</w:t>
            </w:r>
            <w:r w:rsidR="001D13F9" w:rsidRPr="00EB7ACC">
              <w:rPr>
                <w:b w:val="0"/>
                <w:bCs w:val="0"/>
                <w:noProof/>
                <w:spacing w:val="-2"/>
                <w:sz w:val="20"/>
                <w:szCs w:val="20"/>
                <w:lang w:eastAsia="en-AU"/>
              </w:rPr>
              <w:t xml:space="preserve"> </w:t>
            </w:r>
            <w:r w:rsidR="00B55F93" w:rsidRPr="00EB7ACC">
              <w:rPr>
                <w:b w:val="0"/>
                <w:bCs w:val="0"/>
                <w:noProof/>
                <w:spacing w:val="-2"/>
                <w:sz w:val="20"/>
                <w:szCs w:val="20"/>
                <w:lang w:eastAsia="en-AU"/>
              </w:rPr>
              <w:t>Changes in private investment are</w:t>
            </w:r>
            <w:r w:rsidR="006F5DE3" w:rsidRPr="00EB7ACC">
              <w:rPr>
                <w:b w:val="0"/>
                <w:bCs w:val="0"/>
                <w:noProof/>
                <w:spacing w:val="-2"/>
                <w:sz w:val="20"/>
                <w:szCs w:val="20"/>
                <w:lang w:eastAsia="en-AU"/>
              </w:rPr>
              <w:t xml:space="preserve"> a major factor </w:t>
            </w:r>
            <w:r w:rsidR="00B55F93" w:rsidRPr="00EB7ACC">
              <w:rPr>
                <w:b w:val="0"/>
                <w:bCs w:val="0"/>
                <w:noProof/>
                <w:spacing w:val="-2"/>
                <w:sz w:val="20"/>
                <w:szCs w:val="20"/>
                <w:lang w:eastAsia="en-AU"/>
              </w:rPr>
              <w:t>impacting changes in SFD</w:t>
            </w:r>
            <w:r w:rsidR="006F5DE3" w:rsidRPr="00EB7ACC">
              <w:rPr>
                <w:b w:val="0"/>
                <w:bCs w:val="0"/>
                <w:noProof/>
                <w:spacing w:val="-2"/>
                <w:sz w:val="20"/>
                <w:szCs w:val="20"/>
                <w:lang w:eastAsia="en-AU"/>
              </w:rPr>
              <w:t xml:space="preserve"> in the Territory</w:t>
            </w:r>
            <w:r w:rsidR="00B55F93" w:rsidRPr="00EB7ACC">
              <w:rPr>
                <w:b w:val="0"/>
                <w:bCs w:val="0"/>
                <w:noProof/>
                <w:spacing w:val="-2"/>
                <w:sz w:val="20"/>
                <w:szCs w:val="20"/>
                <w:lang w:eastAsia="en-AU"/>
              </w:rPr>
              <w:t>,</w:t>
            </w:r>
            <w:r w:rsidR="006F5DE3" w:rsidRPr="00EB7ACC">
              <w:rPr>
                <w:b w:val="0"/>
                <w:bCs w:val="0"/>
                <w:noProof/>
                <w:spacing w:val="-2"/>
                <w:sz w:val="20"/>
                <w:szCs w:val="20"/>
                <w:lang w:eastAsia="en-AU"/>
              </w:rPr>
              <w:t xml:space="preserve"> and </w:t>
            </w:r>
            <w:r w:rsidR="00B55F93" w:rsidRPr="00EB7ACC">
              <w:rPr>
                <w:b w:val="0"/>
                <w:bCs w:val="0"/>
                <w:noProof/>
                <w:spacing w:val="-2"/>
                <w:sz w:val="20"/>
                <w:szCs w:val="20"/>
                <w:lang w:eastAsia="en-AU"/>
              </w:rPr>
              <w:t>can be</w:t>
            </w:r>
            <w:r w:rsidR="006F5DE3" w:rsidRPr="00EB7ACC">
              <w:rPr>
                <w:b w:val="0"/>
                <w:bCs w:val="0"/>
                <w:noProof/>
                <w:spacing w:val="-2"/>
                <w:sz w:val="20"/>
                <w:szCs w:val="20"/>
                <w:lang w:eastAsia="en-AU"/>
              </w:rPr>
              <w:t xml:space="preserve"> ‘lumpy’ compared with other jurisdictions</w:t>
            </w:r>
            <w:r w:rsidR="00B55F93" w:rsidRPr="00EB7ACC">
              <w:rPr>
                <w:b w:val="0"/>
                <w:bCs w:val="0"/>
                <w:noProof/>
                <w:spacing w:val="-2"/>
                <w:sz w:val="20"/>
                <w:szCs w:val="20"/>
                <w:lang w:eastAsia="en-AU"/>
              </w:rPr>
              <w:t xml:space="preserve"> due to the scale of investment associated with </w:t>
            </w:r>
            <w:r w:rsidR="006F5DE3" w:rsidRPr="00EB7ACC">
              <w:rPr>
                <w:b w:val="0"/>
                <w:bCs w:val="0"/>
                <w:noProof/>
                <w:spacing w:val="-2"/>
                <w:sz w:val="20"/>
                <w:szCs w:val="20"/>
                <w:lang w:eastAsia="en-AU"/>
              </w:rPr>
              <w:t>major projects</w:t>
            </w:r>
            <w:r w:rsidR="00B55F93" w:rsidRPr="00EB7ACC">
              <w:rPr>
                <w:b w:val="0"/>
                <w:bCs w:val="0"/>
                <w:noProof/>
                <w:spacing w:val="-2"/>
                <w:sz w:val="20"/>
                <w:szCs w:val="20"/>
                <w:lang w:eastAsia="en-AU"/>
              </w:rPr>
              <w:t xml:space="preserve">. It is observable when </w:t>
            </w:r>
            <w:r w:rsidR="006F5DE3" w:rsidRPr="00EB7ACC">
              <w:rPr>
                <w:b w:val="0"/>
                <w:bCs w:val="0"/>
                <w:noProof/>
                <w:spacing w:val="-2"/>
                <w:sz w:val="20"/>
                <w:szCs w:val="20"/>
                <w:lang w:eastAsia="en-AU"/>
              </w:rPr>
              <w:t xml:space="preserve">construction phase work starts/stops or is delayed/expedited. Since 2014, private investment’s share of Territory SFD has ranged </w:t>
            </w:r>
            <w:r w:rsidR="006F5DE3" w:rsidRPr="00AE2207">
              <w:rPr>
                <w:b w:val="0"/>
                <w:bCs w:val="0"/>
                <w:noProof/>
                <w:spacing w:val="-2"/>
                <w:sz w:val="20"/>
                <w:szCs w:val="20"/>
                <w:lang w:eastAsia="en-AU"/>
              </w:rPr>
              <w:t xml:space="preserve">from </w:t>
            </w:r>
            <w:r w:rsidR="00533995" w:rsidRPr="00456B4C">
              <w:rPr>
                <w:b w:val="0"/>
                <w:bCs w:val="0"/>
                <w:noProof/>
                <w:spacing w:val="-2"/>
                <w:sz w:val="20"/>
                <w:szCs w:val="20"/>
                <w:lang w:eastAsia="en-AU"/>
              </w:rPr>
              <w:t>13</w:t>
            </w:r>
            <w:r w:rsidR="006F5DE3" w:rsidRPr="00AE2207">
              <w:rPr>
                <w:b w:val="0"/>
                <w:bCs w:val="0"/>
                <w:noProof/>
                <w:spacing w:val="-2"/>
                <w:sz w:val="20"/>
                <w:szCs w:val="20"/>
                <w:lang w:eastAsia="en-AU"/>
              </w:rPr>
              <w:t xml:space="preserve">% to </w:t>
            </w:r>
            <w:r w:rsidR="00533995" w:rsidRPr="00456B4C">
              <w:rPr>
                <w:b w:val="0"/>
                <w:bCs w:val="0"/>
                <w:noProof/>
                <w:spacing w:val="-2"/>
                <w:sz w:val="20"/>
                <w:szCs w:val="20"/>
                <w:lang w:eastAsia="en-AU"/>
              </w:rPr>
              <w:t>43</w:t>
            </w:r>
            <w:r w:rsidR="006F5DE3" w:rsidRPr="00AE2207">
              <w:rPr>
                <w:b w:val="0"/>
                <w:bCs w:val="0"/>
                <w:noProof/>
                <w:spacing w:val="-2"/>
                <w:sz w:val="20"/>
                <w:szCs w:val="20"/>
                <w:lang w:eastAsia="en-AU"/>
              </w:rPr>
              <w:t>%,</w:t>
            </w:r>
            <w:r w:rsidR="006F5DE3" w:rsidRPr="00EB7ACC">
              <w:rPr>
                <w:b w:val="0"/>
                <w:bCs w:val="0"/>
                <w:noProof/>
                <w:spacing w:val="-2"/>
                <w:sz w:val="20"/>
                <w:szCs w:val="20"/>
                <w:lang w:eastAsia="en-AU"/>
              </w:rPr>
              <w:t xml:space="preserve"> and nationally from </w:t>
            </w:r>
            <w:r w:rsidR="00533995" w:rsidRPr="00456B4C">
              <w:rPr>
                <w:b w:val="0"/>
                <w:bCs w:val="0"/>
                <w:noProof/>
                <w:spacing w:val="-2"/>
                <w:sz w:val="20"/>
                <w:szCs w:val="20"/>
                <w:lang w:eastAsia="en-AU"/>
              </w:rPr>
              <w:t>18</w:t>
            </w:r>
            <w:r w:rsidR="006F5DE3" w:rsidRPr="00AE2207">
              <w:rPr>
                <w:b w:val="0"/>
                <w:bCs w:val="0"/>
                <w:noProof/>
                <w:spacing w:val="-2"/>
                <w:sz w:val="20"/>
                <w:szCs w:val="20"/>
                <w:lang w:eastAsia="en-AU"/>
              </w:rPr>
              <w:t xml:space="preserve">% to </w:t>
            </w:r>
            <w:r w:rsidR="00533995" w:rsidRPr="00456B4C">
              <w:rPr>
                <w:b w:val="0"/>
                <w:bCs w:val="0"/>
                <w:noProof/>
                <w:spacing w:val="-2"/>
                <w:sz w:val="20"/>
                <w:szCs w:val="20"/>
                <w:lang w:eastAsia="en-AU"/>
              </w:rPr>
              <w:t>23</w:t>
            </w:r>
            <w:r w:rsidR="006F5DE3" w:rsidRPr="00AE2207">
              <w:rPr>
                <w:b w:val="0"/>
                <w:bCs w:val="0"/>
                <w:noProof/>
                <w:spacing w:val="-2"/>
                <w:sz w:val="20"/>
                <w:szCs w:val="20"/>
                <w:lang w:eastAsia="en-AU"/>
              </w:rPr>
              <w:t>%</w:t>
            </w:r>
            <w:r w:rsidR="006F5DE3" w:rsidRPr="00EB7ACC">
              <w:rPr>
                <w:b w:val="0"/>
                <w:bCs w:val="0"/>
                <w:noProof/>
                <w:spacing w:val="-2"/>
                <w:sz w:val="20"/>
                <w:szCs w:val="20"/>
                <w:lang w:eastAsia="en-AU"/>
              </w:rPr>
              <w:t xml:space="preserve"> of final demand.</w:t>
            </w:r>
          </w:p>
        </w:tc>
        <w:tc>
          <w:tcPr>
            <w:tcW w:w="5154" w:type="dxa"/>
            <w:shd w:val="clear" w:color="auto" w:fill="auto"/>
          </w:tcPr>
          <w:p w14:paraId="1C04437C" w14:textId="42D60242" w:rsidR="003B0FF0" w:rsidRPr="00B55F93" w:rsidRDefault="00E24FCF" w:rsidP="00E74C27">
            <w:pPr>
              <w:spacing w:after="120"/>
              <w:ind w:right="-142"/>
              <w:cnfStyle w:val="100000000000" w:firstRow="1" w:lastRow="0" w:firstColumn="0" w:lastColumn="0" w:oddVBand="0" w:evenVBand="0" w:oddHBand="0" w:evenHBand="0" w:firstRowFirstColumn="0" w:firstRowLastColumn="0" w:lastRowFirstColumn="0" w:lastRowLastColumn="0"/>
              <w:rPr>
                <w:b w:val="0"/>
                <w:bCs w:val="0"/>
                <w:noProof/>
                <w:spacing w:val="-2"/>
                <w:sz w:val="20"/>
                <w:szCs w:val="20"/>
                <w:lang w:eastAsia="en-AU"/>
              </w:rPr>
            </w:pPr>
            <w:r w:rsidRPr="00B55F93">
              <w:rPr>
                <w:noProof/>
                <w:spacing w:val="-2"/>
                <w:sz w:val="20"/>
                <w:szCs w:val="20"/>
                <w:lang w:eastAsia="en-AU"/>
              </w:rPr>
              <w:t>Chart</w:t>
            </w:r>
            <w:r w:rsidR="003B0FF0" w:rsidRPr="00B55F93">
              <w:rPr>
                <w:noProof/>
                <w:spacing w:val="-2"/>
                <w:sz w:val="20"/>
                <w:szCs w:val="20"/>
                <w:lang w:eastAsia="en-AU"/>
              </w:rPr>
              <w:t xml:space="preserve"> 2</w:t>
            </w:r>
            <w:r w:rsidR="00B45E33" w:rsidRPr="00B55F93">
              <w:rPr>
                <w:noProof/>
                <w:spacing w:val="-2"/>
                <w:sz w:val="20"/>
                <w:szCs w:val="20"/>
                <w:lang w:eastAsia="en-AU"/>
              </w:rPr>
              <w:t xml:space="preserve">: </w:t>
            </w:r>
            <w:r w:rsidR="00D7371A" w:rsidRPr="00420F71">
              <w:rPr>
                <w:b w:val="0"/>
                <w:noProof/>
                <w:spacing w:val="-2"/>
                <w:sz w:val="20"/>
                <w:szCs w:val="20"/>
                <w:lang w:eastAsia="en-AU"/>
              </w:rPr>
              <w:t xml:space="preserve">Engineering construction activity </w:t>
            </w:r>
            <w:r w:rsidR="00001D51" w:rsidRPr="00420F71">
              <w:rPr>
                <w:b w:val="0"/>
                <w:noProof/>
                <w:spacing w:val="-2"/>
                <w:sz w:val="20"/>
                <w:szCs w:val="20"/>
                <w:lang w:eastAsia="en-AU"/>
              </w:rPr>
              <w:t xml:space="preserve">has been elevated since </w:t>
            </w:r>
            <w:r w:rsidR="00D7371A" w:rsidRPr="00420F71">
              <w:rPr>
                <w:b w:val="0"/>
                <w:noProof/>
                <w:spacing w:val="-2"/>
                <w:sz w:val="20"/>
                <w:szCs w:val="20"/>
                <w:lang w:eastAsia="en-AU"/>
              </w:rPr>
              <w:t xml:space="preserve">the March </w:t>
            </w:r>
            <w:r w:rsidR="00001D51" w:rsidRPr="00420F71">
              <w:rPr>
                <w:b w:val="0"/>
                <w:noProof/>
                <w:spacing w:val="-2"/>
                <w:sz w:val="20"/>
                <w:szCs w:val="20"/>
                <w:lang w:eastAsia="en-AU"/>
              </w:rPr>
              <w:t xml:space="preserve">quarter 2021, </w:t>
            </w:r>
            <w:r w:rsidR="00C1353F" w:rsidRPr="00420F71">
              <w:rPr>
                <w:b w:val="0"/>
                <w:noProof/>
                <w:spacing w:val="-2"/>
                <w:sz w:val="20"/>
                <w:szCs w:val="20"/>
                <w:lang w:eastAsia="en-AU"/>
              </w:rPr>
              <w:t>impacted by</w:t>
            </w:r>
            <w:r w:rsidR="00D7371A" w:rsidRPr="00420F71">
              <w:rPr>
                <w:b w:val="0"/>
                <w:noProof/>
                <w:spacing w:val="-2"/>
                <w:sz w:val="20"/>
                <w:szCs w:val="20"/>
                <w:lang w:eastAsia="en-AU"/>
              </w:rPr>
              <w:t xml:space="preserve"> works for the US$4.2 billion Barossa </w:t>
            </w:r>
            <w:r w:rsidR="00C1353F" w:rsidRPr="00420F71">
              <w:rPr>
                <w:b w:val="0"/>
                <w:noProof/>
                <w:spacing w:val="-2"/>
                <w:sz w:val="20"/>
                <w:szCs w:val="20"/>
                <w:lang w:eastAsia="en-AU"/>
              </w:rPr>
              <w:t xml:space="preserve">gas field </w:t>
            </w:r>
            <w:r w:rsidR="00D7371A" w:rsidRPr="00420F71">
              <w:rPr>
                <w:b w:val="0"/>
                <w:noProof/>
                <w:spacing w:val="-2"/>
                <w:sz w:val="20"/>
                <w:szCs w:val="20"/>
                <w:lang w:eastAsia="en-AU"/>
              </w:rPr>
              <w:t xml:space="preserve">and Darwin LNG life extension projects. The </w:t>
            </w:r>
            <w:r w:rsidR="00E74C27">
              <w:rPr>
                <w:b w:val="0"/>
                <w:noProof/>
                <w:spacing w:val="-2"/>
                <w:sz w:val="20"/>
                <w:szCs w:val="20"/>
                <w:lang w:eastAsia="en-AU"/>
              </w:rPr>
              <w:t>quarterly value of work</w:t>
            </w:r>
            <w:r w:rsidR="00D7371A" w:rsidRPr="00420F71">
              <w:rPr>
                <w:b w:val="0"/>
                <w:noProof/>
                <w:spacing w:val="-2"/>
                <w:sz w:val="20"/>
                <w:szCs w:val="20"/>
                <w:lang w:eastAsia="en-AU"/>
              </w:rPr>
              <w:t xml:space="preserve"> </w:t>
            </w:r>
            <w:r w:rsidR="00E74C27">
              <w:rPr>
                <w:b w:val="0"/>
                <w:noProof/>
                <w:spacing w:val="-2"/>
                <w:sz w:val="20"/>
                <w:szCs w:val="20"/>
                <w:lang w:eastAsia="en-AU"/>
              </w:rPr>
              <w:t xml:space="preserve">done </w:t>
            </w:r>
            <w:r w:rsidR="00D7371A" w:rsidRPr="00420F71">
              <w:rPr>
                <w:b w:val="0"/>
                <w:noProof/>
                <w:spacing w:val="-2"/>
                <w:sz w:val="20"/>
                <w:szCs w:val="20"/>
                <w:lang w:eastAsia="en-AU"/>
              </w:rPr>
              <w:t xml:space="preserve">has plateaued at an elevated </w:t>
            </w:r>
            <w:r w:rsidR="00E74C27">
              <w:rPr>
                <w:b w:val="0"/>
                <w:noProof/>
                <w:spacing w:val="-2"/>
                <w:sz w:val="20"/>
                <w:szCs w:val="20"/>
                <w:lang w:eastAsia="en-AU"/>
              </w:rPr>
              <w:t>level</w:t>
            </w:r>
            <w:r w:rsidR="00D7371A" w:rsidRPr="00420F71">
              <w:rPr>
                <w:b w:val="0"/>
                <w:noProof/>
                <w:spacing w:val="-2"/>
                <w:sz w:val="20"/>
                <w:szCs w:val="20"/>
                <w:lang w:eastAsia="en-AU"/>
              </w:rPr>
              <w:t xml:space="preserve"> since December 2021 and is expected to remain so </w:t>
            </w:r>
            <w:r w:rsidR="00C1353F" w:rsidRPr="00420F71">
              <w:rPr>
                <w:b w:val="0"/>
                <w:noProof/>
                <w:spacing w:val="-2"/>
                <w:sz w:val="20"/>
                <w:szCs w:val="20"/>
                <w:lang w:eastAsia="en-AU"/>
              </w:rPr>
              <w:t xml:space="preserve">until </w:t>
            </w:r>
            <w:r w:rsidR="00D7371A" w:rsidRPr="00420F71">
              <w:rPr>
                <w:b w:val="0"/>
                <w:noProof/>
                <w:spacing w:val="-2"/>
                <w:sz w:val="20"/>
                <w:szCs w:val="20"/>
                <w:lang w:eastAsia="en-AU"/>
              </w:rPr>
              <w:t xml:space="preserve">the end of 2024, with </w:t>
            </w:r>
            <w:r w:rsidR="00B7660D" w:rsidRPr="00420F71">
              <w:rPr>
                <w:b w:val="0"/>
                <w:noProof/>
                <w:spacing w:val="-2"/>
                <w:sz w:val="20"/>
                <w:szCs w:val="20"/>
                <w:lang w:eastAsia="en-AU"/>
              </w:rPr>
              <w:t>any changes in construction rates for</w:t>
            </w:r>
            <w:r w:rsidR="00C1353F" w:rsidRPr="00420F71">
              <w:rPr>
                <w:b w:val="0"/>
                <w:noProof/>
                <w:spacing w:val="-2"/>
                <w:sz w:val="20"/>
                <w:szCs w:val="20"/>
                <w:lang w:eastAsia="en-AU"/>
              </w:rPr>
              <w:t xml:space="preserve"> these </w:t>
            </w:r>
            <w:r w:rsidR="00B7660D" w:rsidRPr="00420F71">
              <w:rPr>
                <w:b w:val="0"/>
                <w:noProof/>
                <w:spacing w:val="-2"/>
                <w:sz w:val="20"/>
                <w:szCs w:val="20"/>
                <w:lang w:eastAsia="en-AU"/>
              </w:rPr>
              <w:t xml:space="preserve">two </w:t>
            </w:r>
            <w:r w:rsidR="00C1353F" w:rsidRPr="00420F71">
              <w:rPr>
                <w:b w:val="0"/>
                <w:noProof/>
                <w:spacing w:val="-2"/>
                <w:sz w:val="20"/>
                <w:szCs w:val="20"/>
                <w:lang w:eastAsia="en-AU"/>
              </w:rPr>
              <w:t>projects</w:t>
            </w:r>
            <w:r w:rsidR="00D7371A" w:rsidRPr="00420F71">
              <w:rPr>
                <w:b w:val="0"/>
                <w:noProof/>
                <w:spacing w:val="-2"/>
                <w:sz w:val="20"/>
                <w:szCs w:val="20"/>
                <w:lang w:eastAsia="en-AU"/>
              </w:rPr>
              <w:t xml:space="preserve"> likely to have a marked impact on </w:t>
            </w:r>
            <w:r w:rsidR="00E74C27">
              <w:rPr>
                <w:b w:val="0"/>
                <w:noProof/>
                <w:spacing w:val="-2"/>
                <w:sz w:val="20"/>
                <w:szCs w:val="20"/>
                <w:lang w:eastAsia="en-AU"/>
              </w:rPr>
              <w:t xml:space="preserve">reported </w:t>
            </w:r>
            <w:r w:rsidR="00C1353F" w:rsidRPr="00420F71">
              <w:rPr>
                <w:b w:val="0"/>
                <w:noProof/>
                <w:spacing w:val="-2"/>
                <w:sz w:val="20"/>
                <w:szCs w:val="20"/>
                <w:lang w:eastAsia="en-AU"/>
              </w:rPr>
              <w:t xml:space="preserve">quarterly </w:t>
            </w:r>
            <w:r w:rsidR="00D7371A" w:rsidRPr="00420F71">
              <w:rPr>
                <w:b w:val="0"/>
                <w:noProof/>
                <w:spacing w:val="-2"/>
                <w:sz w:val="20"/>
                <w:szCs w:val="20"/>
                <w:lang w:eastAsia="en-AU"/>
              </w:rPr>
              <w:t>data.</w:t>
            </w:r>
          </w:p>
        </w:tc>
      </w:tr>
      <w:tr w:rsidR="000775CB" w:rsidRPr="00482D19" w14:paraId="582FE79B" w14:textId="77777777" w:rsidTr="0006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4F2C27B3" w14:textId="77777777" w:rsidR="000775CB" w:rsidRPr="00472E9F" w:rsidRDefault="000775CB" w:rsidP="000775CB">
            <w:pPr>
              <w:jc w:val="center"/>
              <w:rPr>
                <w:sz w:val="20"/>
                <w:szCs w:val="20"/>
              </w:rPr>
            </w:pPr>
            <w:r w:rsidRPr="00472E9F">
              <w:rPr>
                <w:sz w:val="20"/>
                <w:szCs w:val="20"/>
              </w:rPr>
              <w:t>State Final Demand – NT</w:t>
            </w:r>
          </w:p>
          <w:p w14:paraId="7D6843EB" w14:textId="2A3EE4EB" w:rsidR="000775CB" w:rsidRDefault="000775CB" w:rsidP="000775CB">
            <w:pPr>
              <w:jc w:val="center"/>
              <w:rPr>
                <w:sz w:val="16"/>
                <w:szCs w:val="16"/>
              </w:rPr>
            </w:pPr>
            <w:r w:rsidRPr="00472E9F">
              <w:rPr>
                <w:sz w:val="16"/>
                <w:szCs w:val="16"/>
              </w:rPr>
              <w:t>Components, moving annual total</w:t>
            </w:r>
            <w:r w:rsidR="00DE0A02">
              <w:rPr>
                <w:sz w:val="16"/>
                <w:szCs w:val="16"/>
              </w:rPr>
              <w:t xml:space="preserve"> ($B)</w:t>
            </w:r>
          </w:p>
          <w:p w14:paraId="1787A566" w14:textId="5B459EF4" w:rsidR="000775CB" w:rsidRPr="00542A1B" w:rsidRDefault="00F36949" w:rsidP="000775CB">
            <w:pPr>
              <w:jc w:val="center"/>
              <w:rPr>
                <w:noProof/>
                <w:sz w:val="16"/>
                <w:szCs w:val="16"/>
                <w:lang w:eastAsia="en-AU"/>
              </w:rPr>
            </w:pPr>
            <w:r>
              <w:rPr>
                <w:noProof/>
                <w:sz w:val="16"/>
                <w:szCs w:val="16"/>
                <w:lang w:eastAsia="en-AU"/>
              </w:rPr>
              <w:drawing>
                <wp:inline distT="0" distB="0" distL="0" distR="0" wp14:anchorId="6B57A42E" wp14:editId="22DC666A">
                  <wp:extent cx="2923200" cy="259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200" cy="2599200"/>
                          </a:xfrm>
                          <a:prstGeom prst="rect">
                            <a:avLst/>
                          </a:prstGeom>
                          <a:noFill/>
                        </pic:spPr>
                      </pic:pic>
                    </a:graphicData>
                  </a:graphic>
                </wp:inline>
              </w:drawing>
            </w:r>
          </w:p>
        </w:tc>
        <w:tc>
          <w:tcPr>
            <w:tcW w:w="5154" w:type="dxa"/>
            <w:shd w:val="clear" w:color="auto" w:fill="auto"/>
          </w:tcPr>
          <w:p w14:paraId="1416C277" w14:textId="0514F8D1" w:rsidR="000775CB" w:rsidRPr="00E11070" w:rsidRDefault="00544A9A" w:rsidP="000775C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Engineering Work Done</w:t>
            </w:r>
            <w:r w:rsidR="000775CB" w:rsidRPr="00E11070">
              <w:rPr>
                <w:b/>
                <w:sz w:val="20"/>
                <w:szCs w:val="20"/>
              </w:rPr>
              <w:t xml:space="preserve"> – NT</w:t>
            </w:r>
          </w:p>
          <w:p w14:paraId="482F0674" w14:textId="6E1ADE9C" w:rsidR="000775CB" w:rsidRPr="00E11070" w:rsidRDefault="00DE0A02" w:rsidP="000775CB">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Chain volume measure, quarterly ($M)</w:t>
            </w:r>
          </w:p>
          <w:p w14:paraId="49E102A9" w14:textId="176930A9" w:rsidR="000775CB" w:rsidRPr="00542A1B" w:rsidRDefault="00DB7B0C" w:rsidP="000775CB">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noProof/>
                <w:sz w:val="16"/>
                <w:szCs w:val="16"/>
                <w:lang w:eastAsia="en-AU"/>
              </w:rPr>
              <w:drawing>
                <wp:inline distT="0" distB="0" distL="0" distR="0" wp14:anchorId="4C70124D" wp14:editId="1C0E75F0">
                  <wp:extent cx="2923200" cy="2599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3200" cy="2599200"/>
                          </a:xfrm>
                          <a:prstGeom prst="rect">
                            <a:avLst/>
                          </a:prstGeom>
                          <a:noFill/>
                        </pic:spPr>
                      </pic:pic>
                    </a:graphicData>
                  </a:graphic>
                </wp:inline>
              </w:drawing>
            </w:r>
          </w:p>
        </w:tc>
      </w:tr>
      <w:tr w:rsidR="001337CA" w:rsidRPr="00482D19" w14:paraId="0EEE78EC" w14:textId="77777777" w:rsidTr="00062862">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584D6F6B" w14:textId="46D1D0FE" w:rsidR="00196053" w:rsidRPr="00062862" w:rsidRDefault="001337CA" w:rsidP="00062862">
            <w:pPr>
              <w:spacing w:before="240" w:after="120"/>
              <w:jc w:val="both"/>
              <w:rPr>
                <w:b w:val="0"/>
                <w:noProof/>
                <w:spacing w:val="-2"/>
                <w:sz w:val="20"/>
                <w:szCs w:val="20"/>
                <w:lang w:eastAsia="en-AU"/>
              </w:rPr>
            </w:pPr>
            <w:r w:rsidRPr="00062862">
              <w:rPr>
                <w:noProof/>
                <w:spacing w:val="-2"/>
                <w:sz w:val="20"/>
                <w:szCs w:val="20"/>
                <w:lang w:eastAsia="en-AU"/>
              </w:rPr>
              <w:t>Chart 3:</w:t>
            </w:r>
            <w:r w:rsidRPr="00062862">
              <w:rPr>
                <w:b w:val="0"/>
                <w:noProof/>
                <w:spacing w:val="-2"/>
                <w:sz w:val="20"/>
                <w:szCs w:val="20"/>
                <w:lang w:eastAsia="en-AU"/>
              </w:rPr>
              <w:t xml:space="preserve"> </w:t>
            </w:r>
            <w:r w:rsidR="00E42A06" w:rsidRPr="00062862">
              <w:rPr>
                <w:b w:val="0"/>
                <w:noProof/>
                <w:spacing w:val="-2"/>
                <w:sz w:val="20"/>
                <w:szCs w:val="20"/>
                <w:lang w:eastAsia="en-AU"/>
              </w:rPr>
              <w:t>Building activity (residential and non</w:t>
            </w:r>
            <w:r w:rsidR="00E42A06" w:rsidRPr="00062862">
              <w:rPr>
                <w:b w:val="0"/>
                <w:noProof/>
                <w:spacing w:val="-2"/>
                <w:sz w:val="20"/>
                <w:szCs w:val="20"/>
                <w:lang w:eastAsia="en-AU"/>
              </w:rPr>
              <w:noBreakHyphen/>
              <w:t>residential) increased by 1.2% in the December quarter 2022. Work ‘yet to be done’ – a forward indicator of constr</w:t>
            </w:r>
            <w:r w:rsidR="00632449">
              <w:rPr>
                <w:b w:val="0"/>
                <w:noProof/>
                <w:spacing w:val="-2"/>
                <w:sz w:val="20"/>
                <w:szCs w:val="20"/>
                <w:lang w:eastAsia="en-AU"/>
              </w:rPr>
              <w:t>u</w:t>
            </w:r>
            <w:r w:rsidR="00E42A06" w:rsidRPr="00062862">
              <w:rPr>
                <w:b w:val="0"/>
                <w:noProof/>
                <w:spacing w:val="-2"/>
                <w:sz w:val="20"/>
                <w:szCs w:val="20"/>
                <w:lang w:eastAsia="en-AU"/>
              </w:rPr>
              <w:t xml:space="preserve">ction sector activity – </w:t>
            </w:r>
            <w:r w:rsidR="005A0B99">
              <w:rPr>
                <w:b w:val="0"/>
                <w:noProof/>
                <w:spacing w:val="-2"/>
                <w:sz w:val="20"/>
                <w:szCs w:val="20"/>
                <w:lang w:eastAsia="en-AU"/>
              </w:rPr>
              <w:t>i</w:t>
            </w:r>
            <w:r w:rsidR="00E42A06" w:rsidRPr="00062862">
              <w:rPr>
                <w:b w:val="0"/>
                <w:noProof/>
                <w:spacing w:val="-2"/>
                <w:sz w:val="20"/>
                <w:szCs w:val="20"/>
                <w:lang w:eastAsia="en-AU"/>
              </w:rPr>
              <w:t xml:space="preserve">s around $1 billion, </w:t>
            </w:r>
            <w:r w:rsidR="005A0B99">
              <w:rPr>
                <w:b w:val="0"/>
                <w:noProof/>
                <w:spacing w:val="-2"/>
                <w:sz w:val="20"/>
                <w:szCs w:val="20"/>
                <w:lang w:eastAsia="en-AU"/>
              </w:rPr>
              <w:t>having</w:t>
            </w:r>
            <w:r w:rsidR="00E42A06" w:rsidRPr="00062862">
              <w:rPr>
                <w:b w:val="0"/>
                <w:noProof/>
                <w:spacing w:val="-2"/>
                <w:sz w:val="20"/>
                <w:szCs w:val="20"/>
                <w:lang w:eastAsia="en-AU"/>
              </w:rPr>
              <w:t xml:space="preserve"> increased by $600 million </w:t>
            </w:r>
            <w:r w:rsidR="00887C50">
              <w:rPr>
                <w:b w:val="0"/>
                <w:noProof/>
                <w:spacing w:val="-2"/>
                <w:sz w:val="20"/>
                <w:szCs w:val="20"/>
                <w:lang w:eastAsia="en-AU"/>
              </w:rPr>
              <w:t xml:space="preserve">(or 150%) </w:t>
            </w:r>
            <w:r w:rsidR="00E42A06" w:rsidRPr="00062862">
              <w:rPr>
                <w:b w:val="0"/>
                <w:noProof/>
                <w:spacing w:val="-2"/>
                <w:sz w:val="20"/>
                <w:szCs w:val="20"/>
                <w:lang w:eastAsia="en-AU"/>
              </w:rPr>
              <w:t>since mid</w:t>
            </w:r>
            <w:r w:rsidR="00E42A06" w:rsidRPr="00062862">
              <w:rPr>
                <w:b w:val="0"/>
                <w:noProof/>
                <w:spacing w:val="-2"/>
                <w:sz w:val="20"/>
                <w:szCs w:val="20"/>
                <w:lang w:eastAsia="en-AU"/>
              </w:rPr>
              <w:noBreakHyphen/>
              <w:t xml:space="preserve">2020. The strength of the </w:t>
            </w:r>
            <w:r w:rsidR="005A0B99">
              <w:rPr>
                <w:b w:val="0"/>
                <w:noProof/>
                <w:spacing w:val="-2"/>
                <w:sz w:val="20"/>
                <w:szCs w:val="20"/>
                <w:lang w:eastAsia="en-AU"/>
              </w:rPr>
              <w:t xml:space="preserve">building </w:t>
            </w:r>
            <w:r w:rsidR="00E42A06" w:rsidRPr="00062862">
              <w:rPr>
                <w:b w:val="0"/>
                <w:noProof/>
                <w:spacing w:val="-2"/>
                <w:sz w:val="20"/>
                <w:szCs w:val="20"/>
                <w:lang w:eastAsia="en-AU"/>
              </w:rPr>
              <w:t xml:space="preserve">pipeline reflects </w:t>
            </w:r>
            <w:r w:rsidR="00887C50" w:rsidRPr="00062862">
              <w:rPr>
                <w:b w:val="0"/>
                <w:noProof/>
                <w:spacing w:val="-2"/>
                <w:sz w:val="20"/>
                <w:szCs w:val="20"/>
                <w:lang w:eastAsia="en-AU"/>
              </w:rPr>
              <w:t>non</w:t>
            </w:r>
            <w:r w:rsidR="00887C50" w:rsidRPr="00062862">
              <w:rPr>
                <w:b w:val="0"/>
                <w:noProof/>
                <w:spacing w:val="-2"/>
                <w:sz w:val="20"/>
                <w:szCs w:val="20"/>
                <w:lang w:eastAsia="en-AU"/>
              </w:rPr>
              <w:noBreakHyphen/>
              <w:t xml:space="preserve">residential activity related to </w:t>
            </w:r>
            <w:r w:rsidR="00E42A06" w:rsidRPr="00062862">
              <w:rPr>
                <w:b w:val="0"/>
                <w:noProof/>
                <w:spacing w:val="-2"/>
                <w:sz w:val="20"/>
                <w:szCs w:val="20"/>
                <w:lang w:eastAsia="en-AU"/>
              </w:rPr>
              <w:t>defence commitments and work for Charles Darwin University’</w:t>
            </w:r>
            <w:r w:rsidR="00887C50" w:rsidRPr="00062862">
              <w:rPr>
                <w:b w:val="0"/>
                <w:noProof/>
                <w:spacing w:val="-2"/>
                <w:sz w:val="20"/>
                <w:szCs w:val="20"/>
                <w:lang w:eastAsia="en-AU"/>
              </w:rPr>
              <w:t>s city campus.</w:t>
            </w:r>
          </w:p>
        </w:tc>
        <w:tc>
          <w:tcPr>
            <w:tcW w:w="5154" w:type="dxa"/>
            <w:shd w:val="clear" w:color="auto" w:fill="auto"/>
          </w:tcPr>
          <w:p w14:paraId="2DB835A3" w14:textId="50444E35" w:rsidR="00196053" w:rsidRDefault="001337CA" w:rsidP="00062862">
            <w:pPr>
              <w:spacing w:before="240" w:after="120"/>
              <w:jc w:val="both"/>
              <w:cnfStyle w:val="000000000000" w:firstRow="0" w:lastRow="0" w:firstColumn="0" w:lastColumn="0" w:oddVBand="0" w:evenVBand="0" w:oddHBand="0" w:evenHBand="0" w:firstRowFirstColumn="0" w:firstRowLastColumn="0" w:lastRowFirstColumn="0" w:lastRowLastColumn="0"/>
              <w:rPr>
                <w:sz w:val="20"/>
                <w:szCs w:val="20"/>
              </w:rPr>
            </w:pPr>
            <w:r w:rsidRPr="00CB1C9D">
              <w:rPr>
                <w:b/>
                <w:noProof/>
                <w:spacing w:val="-2"/>
                <w:sz w:val="20"/>
                <w:szCs w:val="20"/>
                <w:lang w:eastAsia="en-AU"/>
              </w:rPr>
              <w:t>Chart 4:</w:t>
            </w:r>
            <w:r w:rsidR="00AB7E95" w:rsidRPr="00CB1C9D">
              <w:rPr>
                <w:noProof/>
                <w:spacing w:val="-2"/>
                <w:sz w:val="20"/>
                <w:szCs w:val="20"/>
                <w:lang w:eastAsia="en-AU"/>
              </w:rPr>
              <w:t xml:space="preserve"> </w:t>
            </w:r>
            <w:r w:rsidR="000F7863" w:rsidRPr="00CB1C9D">
              <w:rPr>
                <w:noProof/>
                <w:spacing w:val="-2"/>
                <w:sz w:val="20"/>
                <w:szCs w:val="20"/>
                <w:lang w:eastAsia="en-AU"/>
              </w:rPr>
              <w:t xml:space="preserve">For the year ending March 2023, visitors to the Territory increased by 35% </w:t>
            </w:r>
            <w:r w:rsidR="00E04072" w:rsidRPr="00CB1C9D">
              <w:rPr>
                <w:noProof/>
                <w:spacing w:val="-2"/>
                <w:sz w:val="20"/>
                <w:szCs w:val="20"/>
                <w:lang w:eastAsia="en-AU"/>
              </w:rPr>
              <w:t>compared with</w:t>
            </w:r>
            <w:r w:rsidR="000F7863" w:rsidRPr="00CB1C9D">
              <w:rPr>
                <w:noProof/>
                <w:spacing w:val="-2"/>
                <w:sz w:val="20"/>
                <w:szCs w:val="20"/>
                <w:lang w:eastAsia="en-AU"/>
              </w:rPr>
              <w:t xml:space="preserve"> the year ending March 2022. Visitation for the March quarter 2023 increased 20% compared to the same period in 2022. D</w:t>
            </w:r>
            <w:r w:rsidR="00FD5ABC" w:rsidRPr="00CB1C9D">
              <w:rPr>
                <w:noProof/>
                <w:spacing w:val="-2"/>
                <w:sz w:val="20"/>
                <w:szCs w:val="20"/>
                <w:lang w:eastAsia="en-AU"/>
              </w:rPr>
              <w:t>omestic visit</w:t>
            </w:r>
            <w:r w:rsidR="000F7863" w:rsidRPr="00CB1C9D">
              <w:rPr>
                <w:noProof/>
                <w:spacing w:val="-2"/>
                <w:sz w:val="20"/>
                <w:szCs w:val="20"/>
                <w:lang w:eastAsia="en-AU"/>
              </w:rPr>
              <w:t xml:space="preserve">ation is </w:t>
            </w:r>
            <w:r w:rsidR="00E01998">
              <w:rPr>
                <w:noProof/>
                <w:spacing w:val="-2"/>
                <w:sz w:val="20"/>
                <w:szCs w:val="20"/>
                <w:lang w:eastAsia="en-AU"/>
              </w:rPr>
              <w:t xml:space="preserve">at </w:t>
            </w:r>
            <w:r w:rsidR="00B7660D" w:rsidRPr="00CB1C9D">
              <w:rPr>
                <w:noProof/>
                <w:spacing w:val="-2"/>
                <w:sz w:val="20"/>
                <w:szCs w:val="20"/>
                <w:lang w:eastAsia="en-AU"/>
              </w:rPr>
              <w:t xml:space="preserve">around </w:t>
            </w:r>
            <w:r w:rsidR="000F7863" w:rsidRPr="00CB1C9D">
              <w:rPr>
                <w:noProof/>
                <w:spacing w:val="-2"/>
                <w:sz w:val="20"/>
                <w:szCs w:val="20"/>
                <w:lang w:eastAsia="en-AU"/>
              </w:rPr>
              <w:t>95</w:t>
            </w:r>
            <w:r w:rsidR="00B7660D" w:rsidRPr="00CB1C9D">
              <w:rPr>
                <w:noProof/>
                <w:spacing w:val="-2"/>
                <w:sz w:val="20"/>
                <w:szCs w:val="20"/>
                <w:lang w:eastAsia="en-AU"/>
              </w:rPr>
              <w:t xml:space="preserve">% of </w:t>
            </w:r>
            <w:r w:rsidR="000F7863" w:rsidRPr="00CB1C9D">
              <w:rPr>
                <w:noProof/>
                <w:spacing w:val="-2"/>
                <w:sz w:val="20"/>
                <w:szCs w:val="20"/>
                <w:lang w:eastAsia="en-AU"/>
              </w:rPr>
              <w:t xml:space="preserve">2019 </w:t>
            </w:r>
            <w:r w:rsidR="00B7660D" w:rsidRPr="00CB1C9D">
              <w:rPr>
                <w:noProof/>
                <w:spacing w:val="-2"/>
                <w:sz w:val="20"/>
                <w:szCs w:val="20"/>
                <w:lang w:eastAsia="en-AU"/>
              </w:rPr>
              <w:t>level</w:t>
            </w:r>
            <w:r w:rsidR="000F7863" w:rsidRPr="00CB1C9D">
              <w:rPr>
                <w:noProof/>
                <w:spacing w:val="-2"/>
                <w:sz w:val="20"/>
                <w:szCs w:val="20"/>
                <w:lang w:eastAsia="en-AU"/>
              </w:rPr>
              <w:t>s</w:t>
            </w:r>
            <w:r w:rsidR="00FD5ABC" w:rsidRPr="00CB1C9D">
              <w:rPr>
                <w:noProof/>
                <w:spacing w:val="-2"/>
                <w:sz w:val="20"/>
                <w:szCs w:val="20"/>
                <w:lang w:eastAsia="en-AU"/>
              </w:rPr>
              <w:t xml:space="preserve">, while international visitation </w:t>
            </w:r>
            <w:r w:rsidR="000F7863" w:rsidRPr="00CB1C9D">
              <w:rPr>
                <w:noProof/>
                <w:spacing w:val="-2"/>
                <w:sz w:val="20"/>
                <w:szCs w:val="20"/>
                <w:lang w:eastAsia="en-AU"/>
              </w:rPr>
              <w:t xml:space="preserve">is </w:t>
            </w:r>
            <w:r w:rsidR="00C45983">
              <w:rPr>
                <w:noProof/>
                <w:spacing w:val="-2"/>
                <w:sz w:val="20"/>
                <w:szCs w:val="20"/>
                <w:lang w:eastAsia="en-AU"/>
              </w:rPr>
              <w:t xml:space="preserve">at </w:t>
            </w:r>
            <w:r w:rsidR="000F7863" w:rsidRPr="00CB1C9D">
              <w:rPr>
                <w:noProof/>
                <w:spacing w:val="-2"/>
                <w:sz w:val="20"/>
                <w:szCs w:val="20"/>
                <w:lang w:eastAsia="en-AU"/>
              </w:rPr>
              <w:t>around</w:t>
            </w:r>
            <w:r w:rsidR="00196053">
              <w:rPr>
                <w:noProof/>
                <w:spacing w:val="-2"/>
                <w:sz w:val="20"/>
                <w:szCs w:val="20"/>
                <w:lang w:eastAsia="en-AU"/>
              </w:rPr>
              <w:t xml:space="preserve"> </w:t>
            </w:r>
            <w:r w:rsidR="00FD5ABC" w:rsidRPr="00CB1C9D">
              <w:rPr>
                <w:noProof/>
                <w:spacing w:val="-2"/>
                <w:sz w:val="20"/>
                <w:szCs w:val="20"/>
                <w:lang w:eastAsia="en-AU"/>
              </w:rPr>
              <w:t>4</w:t>
            </w:r>
            <w:r w:rsidR="000F7863" w:rsidRPr="00CB1C9D">
              <w:rPr>
                <w:noProof/>
                <w:spacing w:val="-2"/>
                <w:sz w:val="20"/>
                <w:szCs w:val="20"/>
                <w:lang w:eastAsia="en-AU"/>
              </w:rPr>
              <w:t>0</w:t>
            </w:r>
            <w:r w:rsidR="00FD5ABC" w:rsidRPr="00CB1C9D">
              <w:rPr>
                <w:noProof/>
                <w:spacing w:val="-2"/>
                <w:sz w:val="20"/>
                <w:szCs w:val="20"/>
                <w:lang w:eastAsia="en-AU"/>
              </w:rPr>
              <w:t>%.</w:t>
            </w:r>
            <w:r w:rsidR="00CA6BAF" w:rsidRPr="00CB1C9D">
              <w:rPr>
                <w:noProof/>
                <w:spacing w:val="-2"/>
                <w:sz w:val="20"/>
                <w:szCs w:val="20"/>
                <w:lang w:eastAsia="en-AU"/>
              </w:rPr>
              <w:t xml:space="preserve"> </w:t>
            </w:r>
            <w:r w:rsidR="00196053">
              <w:rPr>
                <w:noProof/>
                <w:spacing w:val="-2"/>
                <w:sz w:val="20"/>
                <w:szCs w:val="20"/>
                <w:lang w:eastAsia="en-AU"/>
              </w:rPr>
              <w:t>A t</w:t>
            </w:r>
            <w:r w:rsidR="00CA6BAF" w:rsidRPr="00CB1C9D">
              <w:rPr>
                <w:noProof/>
                <w:spacing w:val="-2"/>
                <w:sz w:val="20"/>
                <w:szCs w:val="20"/>
                <w:lang w:eastAsia="en-AU"/>
              </w:rPr>
              <w:t xml:space="preserve">otal </w:t>
            </w:r>
            <w:r w:rsidR="00196053">
              <w:rPr>
                <w:noProof/>
                <w:spacing w:val="-2"/>
                <w:sz w:val="20"/>
                <w:szCs w:val="20"/>
                <w:lang w:eastAsia="en-AU"/>
              </w:rPr>
              <w:t xml:space="preserve">of 1.7 million </w:t>
            </w:r>
            <w:r w:rsidR="00CA6BAF" w:rsidRPr="00CB1C9D">
              <w:rPr>
                <w:noProof/>
                <w:spacing w:val="-2"/>
                <w:sz w:val="20"/>
                <w:szCs w:val="20"/>
                <w:lang w:eastAsia="en-AU"/>
              </w:rPr>
              <w:t>visitors spent $3.1 billion</w:t>
            </w:r>
            <w:r w:rsidR="00196053">
              <w:rPr>
                <w:noProof/>
                <w:spacing w:val="-2"/>
                <w:sz w:val="20"/>
                <w:szCs w:val="20"/>
                <w:lang w:eastAsia="en-AU"/>
              </w:rPr>
              <w:t xml:space="preserve"> in the year</w:t>
            </w:r>
            <w:r w:rsidR="00CA6BAF" w:rsidRPr="00CB1C9D">
              <w:rPr>
                <w:noProof/>
                <w:spacing w:val="-2"/>
                <w:sz w:val="20"/>
                <w:szCs w:val="20"/>
                <w:lang w:eastAsia="en-AU"/>
              </w:rPr>
              <w:t xml:space="preserve"> </w:t>
            </w:r>
            <w:r w:rsidR="000F7863" w:rsidRPr="00CB1C9D">
              <w:rPr>
                <w:noProof/>
                <w:spacing w:val="-2"/>
                <w:sz w:val="20"/>
                <w:szCs w:val="20"/>
                <w:lang w:eastAsia="en-AU"/>
              </w:rPr>
              <w:t xml:space="preserve">at </w:t>
            </w:r>
            <w:r w:rsidR="00CA6BAF" w:rsidRPr="00CB1C9D">
              <w:rPr>
                <w:noProof/>
                <w:spacing w:val="-2"/>
                <w:sz w:val="20"/>
                <w:szCs w:val="20"/>
                <w:lang w:eastAsia="en-AU"/>
              </w:rPr>
              <w:t>an average spend of $1,821</w:t>
            </w:r>
            <w:r w:rsidR="00196053">
              <w:rPr>
                <w:noProof/>
                <w:spacing w:val="-2"/>
                <w:sz w:val="20"/>
                <w:szCs w:val="20"/>
                <w:lang w:eastAsia="en-AU"/>
              </w:rPr>
              <w:t xml:space="preserve"> </w:t>
            </w:r>
            <w:r w:rsidR="00196053" w:rsidRPr="00C5682C">
              <w:rPr>
                <w:noProof/>
                <w:spacing w:val="-2"/>
                <w:sz w:val="20"/>
                <w:szCs w:val="20"/>
                <w:lang w:eastAsia="en-AU"/>
              </w:rPr>
              <w:t xml:space="preserve">per </w:t>
            </w:r>
            <w:r w:rsidR="00745960">
              <w:rPr>
                <w:noProof/>
                <w:spacing w:val="-2"/>
                <w:sz w:val="20"/>
                <w:szCs w:val="20"/>
                <w:lang w:eastAsia="en-AU"/>
              </w:rPr>
              <w:t>visitor</w:t>
            </w:r>
            <w:r w:rsidR="00CA6BAF" w:rsidRPr="00CB1C9D">
              <w:rPr>
                <w:noProof/>
                <w:spacing w:val="-2"/>
                <w:sz w:val="20"/>
                <w:szCs w:val="20"/>
                <w:lang w:eastAsia="en-AU"/>
              </w:rPr>
              <w:t>.</w:t>
            </w:r>
          </w:p>
        </w:tc>
      </w:tr>
      <w:tr w:rsidR="001337CA" w:rsidRPr="00482D19" w14:paraId="53EF8C2D" w14:textId="77777777" w:rsidTr="0006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5985159C" w14:textId="4122F209" w:rsidR="001337CA" w:rsidRPr="00472E9F" w:rsidRDefault="001337CA" w:rsidP="001337CA">
            <w:pPr>
              <w:jc w:val="center"/>
              <w:rPr>
                <w:sz w:val="20"/>
                <w:szCs w:val="20"/>
              </w:rPr>
            </w:pPr>
            <w:r>
              <w:rPr>
                <w:sz w:val="20"/>
                <w:szCs w:val="20"/>
              </w:rPr>
              <w:t>Building Work Yet to be Done</w:t>
            </w:r>
            <w:r w:rsidRPr="00472E9F">
              <w:rPr>
                <w:sz w:val="20"/>
                <w:szCs w:val="20"/>
              </w:rPr>
              <w:t xml:space="preserve"> – NT</w:t>
            </w:r>
          </w:p>
          <w:p w14:paraId="619AE147" w14:textId="5F781919" w:rsidR="001337CA" w:rsidRDefault="001337CA" w:rsidP="001337CA">
            <w:pPr>
              <w:jc w:val="center"/>
              <w:rPr>
                <w:sz w:val="16"/>
                <w:szCs w:val="16"/>
              </w:rPr>
            </w:pPr>
            <w:r>
              <w:rPr>
                <w:sz w:val="16"/>
                <w:szCs w:val="16"/>
              </w:rPr>
              <w:t>Current prices ($M)</w:t>
            </w:r>
          </w:p>
          <w:p w14:paraId="193C87E6" w14:textId="1D67B531" w:rsidR="001337CA" w:rsidRPr="00032AFD" w:rsidRDefault="00F36949" w:rsidP="001337CA">
            <w:pPr>
              <w:jc w:val="center"/>
              <w:rPr>
                <w:b w:val="0"/>
                <w:noProof/>
                <w:sz w:val="10"/>
                <w:szCs w:val="10"/>
                <w:lang w:eastAsia="en-AU"/>
              </w:rPr>
            </w:pPr>
            <w:r>
              <w:rPr>
                <w:noProof/>
                <w:sz w:val="10"/>
                <w:szCs w:val="10"/>
                <w:lang w:eastAsia="en-AU"/>
              </w:rPr>
              <w:drawing>
                <wp:inline distT="0" distB="0" distL="0" distR="0" wp14:anchorId="0167CFE9" wp14:editId="0F694C37">
                  <wp:extent cx="2923200" cy="26028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3200" cy="2602800"/>
                          </a:xfrm>
                          <a:prstGeom prst="rect">
                            <a:avLst/>
                          </a:prstGeom>
                          <a:noFill/>
                        </pic:spPr>
                      </pic:pic>
                    </a:graphicData>
                  </a:graphic>
                </wp:inline>
              </w:drawing>
            </w:r>
          </w:p>
        </w:tc>
        <w:tc>
          <w:tcPr>
            <w:tcW w:w="5154" w:type="dxa"/>
            <w:shd w:val="clear" w:color="auto" w:fill="auto"/>
          </w:tcPr>
          <w:p w14:paraId="511802CF" w14:textId="4DCB0F32" w:rsidR="001337CA" w:rsidRPr="00E11070" w:rsidRDefault="00032B0B" w:rsidP="001337CA">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Tourism </w:t>
            </w:r>
            <w:r w:rsidR="007A101C">
              <w:rPr>
                <w:b/>
                <w:sz w:val="20"/>
                <w:szCs w:val="20"/>
              </w:rPr>
              <w:t xml:space="preserve">Visitor </w:t>
            </w:r>
            <w:r>
              <w:rPr>
                <w:b/>
                <w:sz w:val="20"/>
                <w:szCs w:val="20"/>
              </w:rPr>
              <w:t>Statistics</w:t>
            </w:r>
            <w:r w:rsidR="001337CA" w:rsidRPr="00E11070">
              <w:rPr>
                <w:b/>
                <w:sz w:val="20"/>
                <w:szCs w:val="20"/>
              </w:rPr>
              <w:t xml:space="preserve"> – NT</w:t>
            </w:r>
          </w:p>
          <w:p w14:paraId="2130949F" w14:textId="2D3D583D" w:rsidR="001337CA" w:rsidRPr="00E11070" w:rsidRDefault="00032B0B" w:rsidP="001337CA">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Visitor numbers (000)</w:t>
            </w:r>
            <w:r w:rsidR="00611029">
              <w:rPr>
                <w:b/>
                <w:sz w:val="16"/>
                <w:szCs w:val="16"/>
              </w:rPr>
              <w:t>; a</w:t>
            </w:r>
            <w:r>
              <w:rPr>
                <w:b/>
                <w:sz w:val="16"/>
                <w:szCs w:val="16"/>
              </w:rPr>
              <w:t>verage spend per person ($</w:t>
            </w:r>
            <w:r w:rsidR="001337CA" w:rsidRPr="00E11070">
              <w:rPr>
                <w:b/>
                <w:sz w:val="16"/>
                <w:szCs w:val="16"/>
              </w:rPr>
              <w:t>)</w:t>
            </w:r>
          </w:p>
          <w:p w14:paraId="364D70DD" w14:textId="3753F628" w:rsidR="001337CA" w:rsidRPr="00032AFD" w:rsidRDefault="00671F95" w:rsidP="001337CA">
            <w:pPr>
              <w:jc w:val="center"/>
              <w:cnfStyle w:val="000000100000" w:firstRow="0" w:lastRow="0" w:firstColumn="0" w:lastColumn="0" w:oddVBand="0" w:evenVBand="0" w:oddHBand="1" w:evenHBand="0" w:firstRowFirstColumn="0" w:firstRowLastColumn="0" w:lastRowFirstColumn="0" w:lastRowLastColumn="0"/>
              <w:rPr>
                <w:noProof/>
                <w:sz w:val="10"/>
                <w:szCs w:val="10"/>
                <w:lang w:eastAsia="en-AU"/>
              </w:rPr>
            </w:pPr>
            <w:r>
              <w:rPr>
                <w:noProof/>
                <w:sz w:val="10"/>
                <w:szCs w:val="10"/>
                <w:lang w:eastAsia="en-AU"/>
              </w:rPr>
              <w:drawing>
                <wp:inline distT="0" distB="0" distL="0" distR="0" wp14:anchorId="6D593F4D" wp14:editId="20AC55E4">
                  <wp:extent cx="2926800" cy="260280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800" cy="2602800"/>
                          </a:xfrm>
                          <a:prstGeom prst="rect">
                            <a:avLst/>
                          </a:prstGeom>
                          <a:noFill/>
                        </pic:spPr>
                      </pic:pic>
                    </a:graphicData>
                  </a:graphic>
                </wp:inline>
              </w:drawing>
            </w:r>
          </w:p>
        </w:tc>
      </w:tr>
    </w:tbl>
    <w:p w14:paraId="27E1758A" w14:textId="1AD715AB" w:rsidR="0008691E" w:rsidRPr="00B8103F" w:rsidRDefault="00B8103F" w:rsidP="0055202C">
      <w:pPr>
        <w:spacing w:before="240" w:after="120"/>
        <w:jc w:val="both"/>
        <w:rPr>
          <w:rFonts w:ascii="Calibri" w:hAnsi="Calibri"/>
          <w:i/>
          <w:iCs/>
          <w:sz w:val="20"/>
          <w:szCs w:val="20"/>
        </w:rPr>
      </w:pPr>
      <w:r w:rsidRPr="00B8103F">
        <w:rPr>
          <w:i/>
          <w:iCs/>
          <w:color w:val="808080" w:themeColor="background1" w:themeShade="80"/>
          <w:sz w:val="20"/>
          <w:szCs w:val="20"/>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Pr="00B8103F">
        <w:rPr>
          <w:i/>
          <w:iCs/>
          <w:sz w:val="20"/>
          <w:szCs w:val="20"/>
        </w:rPr>
        <w:t>.</w:t>
      </w:r>
    </w:p>
    <w:sectPr w:rsidR="0008691E" w:rsidRPr="00B8103F" w:rsidSect="006727B6">
      <w:headerReference w:type="default" r:id="rId13"/>
      <w:footerReference w:type="default" r:id="rId14"/>
      <w:headerReference w:type="first" r:id="rId15"/>
      <w:footerReference w:type="first" r:id="rId16"/>
      <w:pgSz w:w="11906" w:h="16838" w:code="9"/>
      <w:pgMar w:top="426" w:right="794" w:bottom="142" w:left="794" w:header="680"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F8C4" w14:textId="77777777" w:rsidR="00EB7ACC" w:rsidRDefault="00EB7ACC" w:rsidP="007332FF">
      <w:r>
        <w:separator/>
      </w:r>
    </w:p>
  </w:endnote>
  <w:endnote w:type="continuationSeparator" w:id="0">
    <w:p w14:paraId="5A0C1365" w14:textId="77777777" w:rsidR="00EB7ACC" w:rsidRDefault="00EB7AC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EB7ACC" w:rsidRPr="00DD607E" w:rsidRDefault="00EB7ACC"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B7ACC" w:rsidRPr="00132658" w14:paraId="76144F35" w14:textId="77777777" w:rsidTr="00DD607E">
      <w:trPr>
        <w:cantSplit/>
        <w:trHeight w:hRule="exact" w:val="850"/>
      </w:trPr>
      <w:tc>
        <w:tcPr>
          <w:tcW w:w="10318" w:type="dxa"/>
          <w:vAlign w:val="center"/>
        </w:tcPr>
        <w:p w14:paraId="47143647" w14:textId="31EFF08C" w:rsidR="00EB7ACC" w:rsidRDefault="00EB7ACC"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6D7329B7" w14:textId="20DF0E56" w:rsidR="00EB7ACC" w:rsidRPr="00AC4488" w:rsidRDefault="00B626AB"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7-06T00:00:00Z">
                <w:dateFormat w:val="d MMMM yyyy"/>
                <w:lid w:val="en-AU"/>
                <w:storeMappedDataAs w:val="dateTime"/>
                <w:calendar w:val="gregorian"/>
              </w:date>
            </w:sdtPr>
            <w:sdtEndPr>
              <w:rPr>
                <w:rStyle w:val="PageNumber"/>
              </w:rPr>
            </w:sdtEndPr>
            <w:sdtContent>
              <w:r w:rsidR="00632449">
                <w:rPr>
                  <w:rStyle w:val="PageNumber"/>
                </w:rPr>
                <w:t>6 July 2023</w:t>
              </w:r>
            </w:sdtContent>
          </w:sdt>
          <w:r w:rsidR="00EB7ACC" w:rsidRPr="00CE6614">
            <w:rPr>
              <w:rStyle w:val="PageNumber"/>
            </w:rPr>
            <w:t xml:space="preserve"> | </w:t>
          </w:r>
          <w:r w:rsidR="00EB7ACC" w:rsidRPr="00AC4488">
            <w:rPr>
              <w:rStyle w:val="PageNumber"/>
            </w:rPr>
            <w:t xml:space="preserve">Page </w:t>
          </w:r>
          <w:r w:rsidR="00EB7ACC" w:rsidRPr="00AC4488">
            <w:rPr>
              <w:rStyle w:val="PageNumber"/>
            </w:rPr>
            <w:fldChar w:fldCharType="begin"/>
          </w:r>
          <w:r w:rsidR="00EB7ACC" w:rsidRPr="00AC4488">
            <w:rPr>
              <w:rStyle w:val="PageNumber"/>
            </w:rPr>
            <w:instrText xml:space="preserve"> PAGE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r w:rsidR="00EB7ACC" w:rsidRPr="00AC4488">
            <w:rPr>
              <w:rStyle w:val="PageNumber"/>
            </w:rPr>
            <w:t xml:space="preserve"> of </w:t>
          </w:r>
          <w:r w:rsidR="00EB7ACC" w:rsidRPr="00AC4488">
            <w:rPr>
              <w:rStyle w:val="PageNumber"/>
            </w:rPr>
            <w:fldChar w:fldCharType="begin"/>
          </w:r>
          <w:r w:rsidR="00EB7ACC" w:rsidRPr="00AC4488">
            <w:rPr>
              <w:rStyle w:val="PageNumber"/>
            </w:rPr>
            <w:instrText xml:space="preserve"> NUMPAGES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p>
      </w:tc>
    </w:tr>
  </w:tbl>
  <w:p w14:paraId="042F9CAB" w14:textId="77777777" w:rsidR="00EB7ACC" w:rsidRPr="00B11C67" w:rsidRDefault="00EB7ACC"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EB7ACC" w:rsidRPr="00DD607E" w:rsidRDefault="00EB7ACC"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EB7ACC" w:rsidRPr="00132658" w14:paraId="06641354" w14:textId="77777777" w:rsidTr="00DD607E">
      <w:trPr>
        <w:cantSplit/>
        <w:trHeight w:hRule="exact" w:val="1134"/>
      </w:trPr>
      <w:tc>
        <w:tcPr>
          <w:tcW w:w="7767" w:type="dxa"/>
          <w:vAlign w:val="center"/>
        </w:tcPr>
        <w:p w14:paraId="53DBAA4A" w14:textId="7BDEE23F" w:rsidR="00EB7ACC" w:rsidRDefault="00EB7ACC"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2D20C468" w14:textId="06E353FE" w:rsidR="00EB7ACC" w:rsidRPr="00CE30CF" w:rsidRDefault="00B626AB"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7-06T00:00:00Z">
                <w:dateFormat w:val="d MMMM yyyy"/>
                <w:lid w:val="en-AU"/>
                <w:storeMappedDataAs w:val="dateTime"/>
                <w:calendar w:val="gregorian"/>
              </w:date>
            </w:sdtPr>
            <w:sdtEndPr>
              <w:rPr>
                <w:rStyle w:val="PageNumber"/>
              </w:rPr>
            </w:sdtEndPr>
            <w:sdtContent>
              <w:r w:rsidR="00632449">
                <w:rPr>
                  <w:rStyle w:val="PageNumber"/>
                </w:rPr>
                <w:t>6 July 2023</w:t>
              </w:r>
            </w:sdtContent>
          </w:sdt>
          <w:r w:rsidR="00EB7ACC" w:rsidRPr="00CE6614">
            <w:rPr>
              <w:rStyle w:val="PageNumber"/>
            </w:rPr>
            <w:t xml:space="preserve"> </w:t>
          </w:r>
          <w:r w:rsidR="00EB7ACC">
            <w:rPr>
              <w:rStyle w:val="PageNumber"/>
            </w:rPr>
            <w:t xml:space="preserve">| </w:t>
          </w:r>
          <w:r w:rsidR="00EB7ACC" w:rsidRPr="00AC4488">
            <w:rPr>
              <w:rStyle w:val="PageNumber"/>
            </w:rPr>
            <w:t xml:space="preserve">Page </w:t>
          </w:r>
          <w:r w:rsidR="00EB7ACC" w:rsidRPr="00AC4488">
            <w:rPr>
              <w:rStyle w:val="PageNumber"/>
            </w:rPr>
            <w:fldChar w:fldCharType="begin"/>
          </w:r>
          <w:r w:rsidR="00EB7ACC" w:rsidRPr="00AC4488">
            <w:rPr>
              <w:rStyle w:val="PageNumber"/>
            </w:rPr>
            <w:instrText xml:space="preserve"> PAGE  \* Arabic  \* MERGEFORMAT </w:instrText>
          </w:r>
          <w:r w:rsidR="00EB7ACC" w:rsidRPr="00AC4488">
            <w:rPr>
              <w:rStyle w:val="PageNumber"/>
            </w:rPr>
            <w:fldChar w:fldCharType="separate"/>
          </w:r>
          <w:r>
            <w:rPr>
              <w:rStyle w:val="PageNumber"/>
              <w:noProof/>
            </w:rPr>
            <w:t>1</w:t>
          </w:r>
          <w:r w:rsidR="00EB7ACC" w:rsidRPr="00AC4488">
            <w:rPr>
              <w:rStyle w:val="PageNumber"/>
            </w:rPr>
            <w:fldChar w:fldCharType="end"/>
          </w:r>
          <w:r w:rsidR="00EB7ACC" w:rsidRPr="00AC4488">
            <w:rPr>
              <w:rStyle w:val="PageNumber"/>
            </w:rPr>
            <w:t xml:space="preserve"> of </w:t>
          </w:r>
          <w:r w:rsidR="00EB7ACC" w:rsidRPr="00AC4488">
            <w:rPr>
              <w:rStyle w:val="PageNumber"/>
            </w:rPr>
            <w:fldChar w:fldCharType="begin"/>
          </w:r>
          <w:r w:rsidR="00EB7ACC" w:rsidRPr="00AC4488">
            <w:rPr>
              <w:rStyle w:val="PageNumber"/>
            </w:rPr>
            <w:instrText xml:space="preserve"> NUMPAGES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p>
      </w:tc>
      <w:tc>
        <w:tcPr>
          <w:tcW w:w="2551" w:type="dxa"/>
          <w:vAlign w:val="bottom"/>
        </w:tcPr>
        <w:p w14:paraId="5D1B965B" w14:textId="77777777" w:rsidR="00EB7ACC" w:rsidRPr="001E14EB" w:rsidRDefault="00EB7ACC" w:rsidP="0071700C">
          <w:pPr>
            <w:spacing w:after="0"/>
            <w:jc w:val="right"/>
          </w:pPr>
          <w:r>
            <w:rPr>
              <w:noProof/>
              <w:lang w:eastAsia="en-AU"/>
            </w:rPr>
            <w:drawing>
              <wp:inline distT="0" distB="0" distL="0" distR="0" wp14:anchorId="6278F0C3" wp14:editId="54B9576F">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EB7ACC" w:rsidRPr="00661BE1" w:rsidRDefault="00EB7ACC"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B723" w14:textId="77777777" w:rsidR="00EB7ACC" w:rsidRDefault="00EB7ACC" w:rsidP="007332FF">
      <w:r>
        <w:separator/>
      </w:r>
    </w:p>
  </w:footnote>
  <w:footnote w:type="continuationSeparator" w:id="0">
    <w:p w14:paraId="3DEC5E53" w14:textId="77777777" w:rsidR="00EB7ACC" w:rsidRDefault="00EB7AC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61D424C2" w:rsidR="00EB7ACC" w:rsidRPr="00162207" w:rsidRDefault="00B626A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EB7ACC">
          <w:t>State of the economy – March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2EB5719F" w:rsidR="00EB7ACC" w:rsidRDefault="00EB7ACC" w:rsidP="0008691E">
        <w:pPr>
          <w:pStyle w:val="Title"/>
          <w:spacing w:after="120"/>
        </w:pPr>
        <w:r w:rsidRPr="00B70BEA">
          <w:rPr>
            <w:rStyle w:val="TitleChar"/>
            <w:sz w:val="56"/>
            <w:szCs w:val="56"/>
          </w:rPr>
          <w:t xml:space="preserve">State of the economy – </w:t>
        </w:r>
        <w:r>
          <w:rPr>
            <w:rStyle w:val="TitleChar"/>
            <w:sz w:val="56"/>
            <w:szCs w:val="56"/>
          </w:rPr>
          <w:t>March</w:t>
        </w:r>
        <w:r w:rsidRPr="00B70BEA">
          <w:rPr>
            <w:rStyle w:val="TitleChar"/>
            <w:sz w:val="56"/>
            <w:szCs w:val="56"/>
          </w:rPr>
          <w:t xml:space="preserve"> 202</w:t>
        </w:r>
        <w:r>
          <w:rPr>
            <w:rStyle w:val="TitleChar"/>
            <w:sz w:val="56"/>
            <w:szCs w:val="56"/>
          </w:rPr>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0AF0"/>
    <w:rsid w:val="00001C92"/>
    <w:rsid w:val="00001D51"/>
    <w:rsid w:val="00001DDF"/>
    <w:rsid w:val="0000322D"/>
    <w:rsid w:val="00007670"/>
    <w:rsid w:val="00010665"/>
    <w:rsid w:val="00017A14"/>
    <w:rsid w:val="000204DB"/>
    <w:rsid w:val="0002393A"/>
    <w:rsid w:val="0002438A"/>
    <w:rsid w:val="000246C7"/>
    <w:rsid w:val="00027DB8"/>
    <w:rsid w:val="00031A96"/>
    <w:rsid w:val="00032AFD"/>
    <w:rsid w:val="00032B0B"/>
    <w:rsid w:val="0003465A"/>
    <w:rsid w:val="00040BF3"/>
    <w:rsid w:val="0004211C"/>
    <w:rsid w:val="00042768"/>
    <w:rsid w:val="00042E05"/>
    <w:rsid w:val="00046C59"/>
    <w:rsid w:val="00051362"/>
    <w:rsid w:val="00051BFD"/>
    <w:rsid w:val="00051F45"/>
    <w:rsid w:val="00052953"/>
    <w:rsid w:val="00053312"/>
    <w:rsid w:val="00053336"/>
    <w:rsid w:val="0005341A"/>
    <w:rsid w:val="0005591A"/>
    <w:rsid w:val="00056DEF"/>
    <w:rsid w:val="00056EDC"/>
    <w:rsid w:val="000576D2"/>
    <w:rsid w:val="00060C85"/>
    <w:rsid w:val="00062862"/>
    <w:rsid w:val="0006635A"/>
    <w:rsid w:val="000669A1"/>
    <w:rsid w:val="00067C3D"/>
    <w:rsid w:val="000720BE"/>
    <w:rsid w:val="0007259C"/>
    <w:rsid w:val="00073494"/>
    <w:rsid w:val="0007388D"/>
    <w:rsid w:val="0007719F"/>
    <w:rsid w:val="000775CB"/>
    <w:rsid w:val="000801B3"/>
    <w:rsid w:val="00080202"/>
    <w:rsid w:val="00080DCD"/>
    <w:rsid w:val="00080E22"/>
    <w:rsid w:val="00082573"/>
    <w:rsid w:val="000840A3"/>
    <w:rsid w:val="00085062"/>
    <w:rsid w:val="00085B4D"/>
    <w:rsid w:val="0008691E"/>
    <w:rsid w:val="00086A5F"/>
    <w:rsid w:val="0008798A"/>
    <w:rsid w:val="000911EF"/>
    <w:rsid w:val="000962C5"/>
    <w:rsid w:val="00097865"/>
    <w:rsid w:val="000A24B2"/>
    <w:rsid w:val="000A4317"/>
    <w:rsid w:val="000A559C"/>
    <w:rsid w:val="000A57C7"/>
    <w:rsid w:val="000B2CA1"/>
    <w:rsid w:val="000C1538"/>
    <w:rsid w:val="000C1A5B"/>
    <w:rsid w:val="000D04AF"/>
    <w:rsid w:val="000D0C98"/>
    <w:rsid w:val="000D1F29"/>
    <w:rsid w:val="000D4503"/>
    <w:rsid w:val="000D4C48"/>
    <w:rsid w:val="000D633D"/>
    <w:rsid w:val="000D63B5"/>
    <w:rsid w:val="000E2753"/>
    <w:rsid w:val="000E342B"/>
    <w:rsid w:val="000E3847"/>
    <w:rsid w:val="000E3ED2"/>
    <w:rsid w:val="000E5DD2"/>
    <w:rsid w:val="000F00A7"/>
    <w:rsid w:val="000F2958"/>
    <w:rsid w:val="000F3850"/>
    <w:rsid w:val="000F604F"/>
    <w:rsid w:val="000F7863"/>
    <w:rsid w:val="00102EC4"/>
    <w:rsid w:val="001034F8"/>
    <w:rsid w:val="00104E7F"/>
    <w:rsid w:val="001070D5"/>
    <w:rsid w:val="001137EC"/>
    <w:rsid w:val="001152F5"/>
    <w:rsid w:val="00117743"/>
    <w:rsid w:val="00117F5B"/>
    <w:rsid w:val="00120E95"/>
    <w:rsid w:val="00121EF2"/>
    <w:rsid w:val="001319FB"/>
    <w:rsid w:val="00132658"/>
    <w:rsid w:val="001330EE"/>
    <w:rsid w:val="001337CA"/>
    <w:rsid w:val="00141DA4"/>
    <w:rsid w:val="00150DC0"/>
    <w:rsid w:val="0015394D"/>
    <w:rsid w:val="00156CD4"/>
    <w:rsid w:val="00157B87"/>
    <w:rsid w:val="0016153B"/>
    <w:rsid w:val="00162207"/>
    <w:rsid w:val="00164A3E"/>
    <w:rsid w:val="00165169"/>
    <w:rsid w:val="00166FF6"/>
    <w:rsid w:val="001713EA"/>
    <w:rsid w:val="001717BC"/>
    <w:rsid w:val="00173D4E"/>
    <w:rsid w:val="00176123"/>
    <w:rsid w:val="00181620"/>
    <w:rsid w:val="001823F3"/>
    <w:rsid w:val="00186D0A"/>
    <w:rsid w:val="00186E76"/>
    <w:rsid w:val="00187130"/>
    <w:rsid w:val="001957AD"/>
    <w:rsid w:val="00196053"/>
    <w:rsid w:val="00196F8E"/>
    <w:rsid w:val="001A2B7F"/>
    <w:rsid w:val="001A3AFD"/>
    <w:rsid w:val="001A496C"/>
    <w:rsid w:val="001A576A"/>
    <w:rsid w:val="001A5CF0"/>
    <w:rsid w:val="001B25F5"/>
    <w:rsid w:val="001B28DA"/>
    <w:rsid w:val="001B2B6C"/>
    <w:rsid w:val="001D01C4"/>
    <w:rsid w:val="001D13F9"/>
    <w:rsid w:val="001D4F99"/>
    <w:rsid w:val="001D52B0"/>
    <w:rsid w:val="001D5A18"/>
    <w:rsid w:val="001D5FAC"/>
    <w:rsid w:val="001D7CA4"/>
    <w:rsid w:val="001E057F"/>
    <w:rsid w:val="001E14EB"/>
    <w:rsid w:val="001E48F1"/>
    <w:rsid w:val="001E6821"/>
    <w:rsid w:val="001F2C24"/>
    <w:rsid w:val="001F59E6"/>
    <w:rsid w:val="001F5EDA"/>
    <w:rsid w:val="00200EFE"/>
    <w:rsid w:val="00201A37"/>
    <w:rsid w:val="00203F1C"/>
    <w:rsid w:val="002054D0"/>
    <w:rsid w:val="00206936"/>
    <w:rsid w:val="00206C6F"/>
    <w:rsid w:val="00206FBD"/>
    <w:rsid w:val="00207746"/>
    <w:rsid w:val="002102E5"/>
    <w:rsid w:val="00210C9C"/>
    <w:rsid w:val="00215B99"/>
    <w:rsid w:val="00220CAC"/>
    <w:rsid w:val="00223374"/>
    <w:rsid w:val="0022537F"/>
    <w:rsid w:val="00230031"/>
    <w:rsid w:val="00235C01"/>
    <w:rsid w:val="00240BD3"/>
    <w:rsid w:val="002456A4"/>
    <w:rsid w:val="00247343"/>
    <w:rsid w:val="00257981"/>
    <w:rsid w:val="00260660"/>
    <w:rsid w:val="0026162A"/>
    <w:rsid w:val="002644AF"/>
    <w:rsid w:val="00265C56"/>
    <w:rsid w:val="00265E14"/>
    <w:rsid w:val="002716CD"/>
    <w:rsid w:val="0027337A"/>
    <w:rsid w:val="00274D4B"/>
    <w:rsid w:val="002806F5"/>
    <w:rsid w:val="00281577"/>
    <w:rsid w:val="00284024"/>
    <w:rsid w:val="00287D73"/>
    <w:rsid w:val="002926BC"/>
    <w:rsid w:val="00292F85"/>
    <w:rsid w:val="00293A72"/>
    <w:rsid w:val="002A0160"/>
    <w:rsid w:val="002A0924"/>
    <w:rsid w:val="002A30C3"/>
    <w:rsid w:val="002A6F6A"/>
    <w:rsid w:val="002A7712"/>
    <w:rsid w:val="002B0BD5"/>
    <w:rsid w:val="002B38F7"/>
    <w:rsid w:val="002B4F50"/>
    <w:rsid w:val="002B5591"/>
    <w:rsid w:val="002B6AA4"/>
    <w:rsid w:val="002C1FE9"/>
    <w:rsid w:val="002C5B87"/>
    <w:rsid w:val="002C64A8"/>
    <w:rsid w:val="002D3A57"/>
    <w:rsid w:val="002D6524"/>
    <w:rsid w:val="002D6B5C"/>
    <w:rsid w:val="002D7D05"/>
    <w:rsid w:val="002E20C8"/>
    <w:rsid w:val="002E4290"/>
    <w:rsid w:val="002E66A6"/>
    <w:rsid w:val="002F0DB1"/>
    <w:rsid w:val="002F2885"/>
    <w:rsid w:val="002F45A1"/>
    <w:rsid w:val="002F5C9A"/>
    <w:rsid w:val="002F648D"/>
    <w:rsid w:val="002F70A5"/>
    <w:rsid w:val="0030203D"/>
    <w:rsid w:val="00302AB6"/>
    <w:rsid w:val="003037F9"/>
    <w:rsid w:val="0030583E"/>
    <w:rsid w:val="00307FE1"/>
    <w:rsid w:val="003164BA"/>
    <w:rsid w:val="003258E6"/>
    <w:rsid w:val="00331475"/>
    <w:rsid w:val="0033687A"/>
    <w:rsid w:val="00342283"/>
    <w:rsid w:val="00343A87"/>
    <w:rsid w:val="00344A36"/>
    <w:rsid w:val="003456F4"/>
    <w:rsid w:val="003479FA"/>
    <w:rsid w:val="00347ECC"/>
    <w:rsid w:val="00347FB6"/>
    <w:rsid w:val="003504FD"/>
    <w:rsid w:val="00350881"/>
    <w:rsid w:val="00350C94"/>
    <w:rsid w:val="00354B8C"/>
    <w:rsid w:val="003568EE"/>
    <w:rsid w:val="00357D55"/>
    <w:rsid w:val="00361BB3"/>
    <w:rsid w:val="00363513"/>
    <w:rsid w:val="003657E5"/>
    <w:rsid w:val="0036589C"/>
    <w:rsid w:val="00367196"/>
    <w:rsid w:val="00371312"/>
    <w:rsid w:val="00371DC7"/>
    <w:rsid w:val="003763FC"/>
    <w:rsid w:val="00377B21"/>
    <w:rsid w:val="00382A7F"/>
    <w:rsid w:val="003849BD"/>
    <w:rsid w:val="0038616F"/>
    <w:rsid w:val="00390862"/>
    <w:rsid w:val="0039092C"/>
    <w:rsid w:val="00390CE3"/>
    <w:rsid w:val="00392EA0"/>
    <w:rsid w:val="00394876"/>
    <w:rsid w:val="00394AAF"/>
    <w:rsid w:val="00394CE5"/>
    <w:rsid w:val="003954DD"/>
    <w:rsid w:val="00397C41"/>
    <w:rsid w:val="003A049C"/>
    <w:rsid w:val="003A5A25"/>
    <w:rsid w:val="003A6341"/>
    <w:rsid w:val="003A707E"/>
    <w:rsid w:val="003B0FF0"/>
    <w:rsid w:val="003B67FD"/>
    <w:rsid w:val="003B6A61"/>
    <w:rsid w:val="003C2198"/>
    <w:rsid w:val="003C4941"/>
    <w:rsid w:val="003C4DAA"/>
    <w:rsid w:val="003D0F63"/>
    <w:rsid w:val="003D10AB"/>
    <w:rsid w:val="003D42C0"/>
    <w:rsid w:val="003D4A8F"/>
    <w:rsid w:val="003D5B29"/>
    <w:rsid w:val="003D7818"/>
    <w:rsid w:val="003E2445"/>
    <w:rsid w:val="003E3BB2"/>
    <w:rsid w:val="003F56CB"/>
    <w:rsid w:val="003F5B58"/>
    <w:rsid w:val="004018E0"/>
    <w:rsid w:val="0040222A"/>
    <w:rsid w:val="00403E1F"/>
    <w:rsid w:val="004047BC"/>
    <w:rsid w:val="004067D0"/>
    <w:rsid w:val="004100F7"/>
    <w:rsid w:val="00414CB3"/>
    <w:rsid w:val="0041563D"/>
    <w:rsid w:val="00420059"/>
    <w:rsid w:val="00420F71"/>
    <w:rsid w:val="00426E25"/>
    <w:rsid w:val="00427D9C"/>
    <w:rsid w:val="00427E7E"/>
    <w:rsid w:val="00430711"/>
    <w:rsid w:val="00430816"/>
    <w:rsid w:val="0043465D"/>
    <w:rsid w:val="00435082"/>
    <w:rsid w:val="00443B6E"/>
    <w:rsid w:val="00444DBF"/>
    <w:rsid w:val="00446444"/>
    <w:rsid w:val="00447AB3"/>
    <w:rsid w:val="00450636"/>
    <w:rsid w:val="0045420A"/>
    <w:rsid w:val="004554D4"/>
    <w:rsid w:val="00456B4C"/>
    <w:rsid w:val="00461158"/>
    <w:rsid w:val="00461744"/>
    <w:rsid w:val="00462E61"/>
    <w:rsid w:val="00464495"/>
    <w:rsid w:val="00466185"/>
    <w:rsid w:val="00466303"/>
    <w:rsid w:val="004668A7"/>
    <w:rsid w:val="00466D96"/>
    <w:rsid w:val="00467747"/>
    <w:rsid w:val="00470017"/>
    <w:rsid w:val="0047105A"/>
    <w:rsid w:val="004713C1"/>
    <w:rsid w:val="00473C98"/>
    <w:rsid w:val="00474965"/>
    <w:rsid w:val="00475C20"/>
    <w:rsid w:val="00481C23"/>
    <w:rsid w:val="00482D19"/>
    <w:rsid w:val="00482DF8"/>
    <w:rsid w:val="004864DE"/>
    <w:rsid w:val="00486739"/>
    <w:rsid w:val="00492543"/>
    <w:rsid w:val="00492C34"/>
    <w:rsid w:val="00493695"/>
    <w:rsid w:val="004940BF"/>
    <w:rsid w:val="00494BE5"/>
    <w:rsid w:val="004A0EBA"/>
    <w:rsid w:val="004A2538"/>
    <w:rsid w:val="004A331E"/>
    <w:rsid w:val="004A6912"/>
    <w:rsid w:val="004B0C15"/>
    <w:rsid w:val="004B35EA"/>
    <w:rsid w:val="004B69E4"/>
    <w:rsid w:val="004C6C39"/>
    <w:rsid w:val="004D075F"/>
    <w:rsid w:val="004D1B76"/>
    <w:rsid w:val="004D344E"/>
    <w:rsid w:val="004D3E5A"/>
    <w:rsid w:val="004D464A"/>
    <w:rsid w:val="004D6986"/>
    <w:rsid w:val="004E019E"/>
    <w:rsid w:val="004E06EC"/>
    <w:rsid w:val="004E0A3F"/>
    <w:rsid w:val="004E142F"/>
    <w:rsid w:val="004E1497"/>
    <w:rsid w:val="004E2CB7"/>
    <w:rsid w:val="004E6014"/>
    <w:rsid w:val="004F016A"/>
    <w:rsid w:val="004F7E54"/>
    <w:rsid w:val="005006F9"/>
    <w:rsid w:val="00500B2E"/>
    <w:rsid w:val="00500F94"/>
    <w:rsid w:val="00501666"/>
    <w:rsid w:val="00502FB3"/>
    <w:rsid w:val="00503DE9"/>
    <w:rsid w:val="0050530C"/>
    <w:rsid w:val="00505344"/>
    <w:rsid w:val="00505DEA"/>
    <w:rsid w:val="00507782"/>
    <w:rsid w:val="00512A04"/>
    <w:rsid w:val="00514CF2"/>
    <w:rsid w:val="00520499"/>
    <w:rsid w:val="005249F5"/>
    <w:rsid w:val="005260F7"/>
    <w:rsid w:val="0053333F"/>
    <w:rsid w:val="00533995"/>
    <w:rsid w:val="00542A1B"/>
    <w:rsid w:val="00543B8F"/>
    <w:rsid w:val="00543BD1"/>
    <w:rsid w:val="00544A9A"/>
    <w:rsid w:val="00550306"/>
    <w:rsid w:val="005509A7"/>
    <w:rsid w:val="00551BCC"/>
    <w:rsid w:val="00551DD1"/>
    <w:rsid w:val="0055202C"/>
    <w:rsid w:val="00553BF7"/>
    <w:rsid w:val="00553CE3"/>
    <w:rsid w:val="0055521C"/>
    <w:rsid w:val="00556113"/>
    <w:rsid w:val="0055662D"/>
    <w:rsid w:val="00564C12"/>
    <w:rsid w:val="005654B8"/>
    <w:rsid w:val="0056590F"/>
    <w:rsid w:val="005701E4"/>
    <w:rsid w:val="00570D94"/>
    <w:rsid w:val="005762CC"/>
    <w:rsid w:val="00581F22"/>
    <w:rsid w:val="00582D3D"/>
    <w:rsid w:val="0058401C"/>
    <w:rsid w:val="00590040"/>
    <w:rsid w:val="00590057"/>
    <w:rsid w:val="00595386"/>
    <w:rsid w:val="00597234"/>
    <w:rsid w:val="00597ACE"/>
    <w:rsid w:val="005A0B99"/>
    <w:rsid w:val="005A2B7E"/>
    <w:rsid w:val="005A2D03"/>
    <w:rsid w:val="005A4AC0"/>
    <w:rsid w:val="005A539B"/>
    <w:rsid w:val="005A5FDF"/>
    <w:rsid w:val="005B0FB7"/>
    <w:rsid w:val="005B122A"/>
    <w:rsid w:val="005B1FCB"/>
    <w:rsid w:val="005B5AC2"/>
    <w:rsid w:val="005C2833"/>
    <w:rsid w:val="005C5C82"/>
    <w:rsid w:val="005D00F6"/>
    <w:rsid w:val="005D4EDF"/>
    <w:rsid w:val="005E144D"/>
    <w:rsid w:val="005E1500"/>
    <w:rsid w:val="005E3A43"/>
    <w:rsid w:val="005E7A46"/>
    <w:rsid w:val="005F0B17"/>
    <w:rsid w:val="005F3818"/>
    <w:rsid w:val="005F6602"/>
    <w:rsid w:val="005F77C7"/>
    <w:rsid w:val="006051CD"/>
    <w:rsid w:val="00606F0C"/>
    <w:rsid w:val="00611029"/>
    <w:rsid w:val="006177CB"/>
    <w:rsid w:val="00620675"/>
    <w:rsid w:val="00622910"/>
    <w:rsid w:val="006254B6"/>
    <w:rsid w:val="0062608A"/>
    <w:rsid w:val="00627FC8"/>
    <w:rsid w:val="00632449"/>
    <w:rsid w:val="00633ABB"/>
    <w:rsid w:val="006433C3"/>
    <w:rsid w:val="00650094"/>
    <w:rsid w:val="00650F5B"/>
    <w:rsid w:val="006536A6"/>
    <w:rsid w:val="006609AE"/>
    <w:rsid w:val="00660CC9"/>
    <w:rsid w:val="00664465"/>
    <w:rsid w:val="006670D7"/>
    <w:rsid w:val="00667D94"/>
    <w:rsid w:val="006719EA"/>
    <w:rsid w:val="00671F13"/>
    <w:rsid w:val="00671F95"/>
    <w:rsid w:val="006727B6"/>
    <w:rsid w:val="0067400A"/>
    <w:rsid w:val="006761B5"/>
    <w:rsid w:val="006805D6"/>
    <w:rsid w:val="006847AD"/>
    <w:rsid w:val="00684BC6"/>
    <w:rsid w:val="00684CDF"/>
    <w:rsid w:val="0069114B"/>
    <w:rsid w:val="0069296E"/>
    <w:rsid w:val="006944C1"/>
    <w:rsid w:val="00695F2D"/>
    <w:rsid w:val="006A756A"/>
    <w:rsid w:val="006B1BF9"/>
    <w:rsid w:val="006B5FE6"/>
    <w:rsid w:val="006B7D4C"/>
    <w:rsid w:val="006C0EC2"/>
    <w:rsid w:val="006C168B"/>
    <w:rsid w:val="006D4037"/>
    <w:rsid w:val="006D66F7"/>
    <w:rsid w:val="006E31A4"/>
    <w:rsid w:val="006E4B98"/>
    <w:rsid w:val="006F5DE3"/>
    <w:rsid w:val="00703172"/>
    <w:rsid w:val="00705C9D"/>
    <w:rsid w:val="00705F13"/>
    <w:rsid w:val="0070624C"/>
    <w:rsid w:val="007130D5"/>
    <w:rsid w:val="00714F1D"/>
    <w:rsid w:val="00715225"/>
    <w:rsid w:val="0071566E"/>
    <w:rsid w:val="0071700C"/>
    <w:rsid w:val="00720662"/>
    <w:rsid w:val="00720CC6"/>
    <w:rsid w:val="00720F41"/>
    <w:rsid w:val="00722DDB"/>
    <w:rsid w:val="00723B37"/>
    <w:rsid w:val="00723FFB"/>
    <w:rsid w:val="00724728"/>
    <w:rsid w:val="00724F98"/>
    <w:rsid w:val="00726D30"/>
    <w:rsid w:val="00730B9B"/>
    <w:rsid w:val="0073182E"/>
    <w:rsid w:val="007332FF"/>
    <w:rsid w:val="007340CD"/>
    <w:rsid w:val="00735A05"/>
    <w:rsid w:val="007408F5"/>
    <w:rsid w:val="00741EAE"/>
    <w:rsid w:val="00745960"/>
    <w:rsid w:val="00747270"/>
    <w:rsid w:val="00755248"/>
    <w:rsid w:val="0076190B"/>
    <w:rsid w:val="007620D1"/>
    <w:rsid w:val="007632F1"/>
    <w:rsid w:val="0076355D"/>
    <w:rsid w:val="00763A2D"/>
    <w:rsid w:val="00765B4A"/>
    <w:rsid w:val="007676A4"/>
    <w:rsid w:val="00775041"/>
    <w:rsid w:val="00777795"/>
    <w:rsid w:val="00777D34"/>
    <w:rsid w:val="00782AF4"/>
    <w:rsid w:val="00783A57"/>
    <w:rsid w:val="00784C92"/>
    <w:rsid w:val="007859CD"/>
    <w:rsid w:val="00785C24"/>
    <w:rsid w:val="0079059C"/>
    <w:rsid w:val="007907E4"/>
    <w:rsid w:val="00796461"/>
    <w:rsid w:val="00797CA2"/>
    <w:rsid w:val="007A101C"/>
    <w:rsid w:val="007A6A4F"/>
    <w:rsid w:val="007B03F5"/>
    <w:rsid w:val="007B5C09"/>
    <w:rsid w:val="007B5DA2"/>
    <w:rsid w:val="007C0966"/>
    <w:rsid w:val="007C19E7"/>
    <w:rsid w:val="007C2BFF"/>
    <w:rsid w:val="007C5CFD"/>
    <w:rsid w:val="007C6D9F"/>
    <w:rsid w:val="007D0C1A"/>
    <w:rsid w:val="007D4893"/>
    <w:rsid w:val="007E1C62"/>
    <w:rsid w:val="007E20C7"/>
    <w:rsid w:val="007E70CF"/>
    <w:rsid w:val="007E74A4"/>
    <w:rsid w:val="007F07C4"/>
    <w:rsid w:val="007F1B6F"/>
    <w:rsid w:val="007F263F"/>
    <w:rsid w:val="007F4A68"/>
    <w:rsid w:val="008015A8"/>
    <w:rsid w:val="00801B1A"/>
    <w:rsid w:val="0080766E"/>
    <w:rsid w:val="008077D2"/>
    <w:rsid w:val="00811169"/>
    <w:rsid w:val="00813916"/>
    <w:rsid w:val="00814B2A"/>
    <w:rsid w:val="00815297"/>
    <w:rsid w:val="008170DB"/>
    <w:rsid w:val="00817BA1"/>
    <w:rsid w:val="00823022"/>
    <w:rsid w:val="00824357"/>
    <w:rsid w:val="0082634E"/>
    <w:rsid w:val="00826B71"/>
    <w:rsid w:val="008313C4"/>
    <w:rsid w:val="0083433C"/>
    <w:rsid w:val="00835434"/>
    <w:rsid w:val="008358C0"/>
    <w:rsid w:val="00840B7F"/>
    <w:rsid w:val="00842838"/>
    <w:rsid w:val="00854EC1"/>
    <w:rsid w:val="0085593E"/>
    <w:rsid w:val="0085797F"/>
    <w:rsid w:val="00861DC3"/>
    <w:rsid w:val="00867019"/>
    <w:rsid w:val="00872EF1"/>
    <w:rsid w:val="008735A9"/>
    <w:rsid w:val="0087446D"/>
    <w:rsid w:val="00877BC5"/>
    <w:rsid w:val="00877D20"/>
    <w:rsid w:val="00881C48"/>
    <w:rsid w:val="00885B80"/>
    <w:rsid w:val="00885C30"/>
    <w:rsid w:val="00885E9B"/>
    <w:rsid w:val="00887C50"/>
    <w:rsid w:val="008925B6"/>
    <w:rsid w:val="0089368E"/>
    <w:rsid w:val="00893C96"/>
    <w:rsid w:val="0089500A"/>
    <w:rsid w:val="00895561"/>
    <w:rsid w:val="00895F64"/>
    <w:rsid w:val="00897C94"/>
    <w:rsid w:val="008A4B30"/>
    <w:rsid w:val="008A7C12"/>
    <w:rsid w:val="008B03CE"/>
    <w:rsid w:val="008B0AA7"/>
    <w:rsid w:val="008B529E"/>
    <w:rsid w:val="008C17FB"/>
    <w:rsid w:val="008C70BB"/>
    <w:rsid w:val="008D1B00"/>
    <w:rsid w:val="008D57B8"/>
    <w:rsid w:val="008E03FC"/>
    <w:rsid w:val="008E510B"/>
    <w:rsid w:val="008E6907"/>
    <w:rsid w:val="008E7A3E"/>
    <w:rsid w:val="008F4E8E"/>
    <w:rsid w:val="00901EF5"/>
    <w:rsid w:val="00902B13"/>
    <w:rsid w:val="00905CB7"/>
    <w:rsid w:val="00911941"/>
    <w:rsid w:val="0092024D"/>
    <w:rsid w:val="00925146"/>
    <w:rsid w:val="00925F0F"/>
    <w:rsid w:val="00932F6B"/>
    <w:rsid w:val="009353F0"/>
    <w:rsid w:val="009363D9"/>
    <w:rsid w:val="00937C11"/>
    <w:rsid w:val="009444F0"/>
    <w:rsid w:val="009459D4"/>
    <w:rsid w:val="009468BC"/>
    <w:rsid w:val="00947FAE"/>
    <w:rsid w:val="009511E0"/>
    <w:rsid w:val="009616DF"/>
    <w:rsid w:val="0096542F"/>
    <w:rsid w:val="00967FA7"/>
    <w:rsid w:val="009707F5"/>
    <w:rsid w:val="00971645"/>
    <w:rsid w:val="00971767"/>
    <w:rsid w:val="00971DBB"/>
    <w:rsid w:val="00972BF6"/>
    <w:rsid w:val="00977919"/>
    <w:rsid w:val="00981DAD"/>
    <w:rsid w:val="00983000"/>
    <w:rsid w:val="009870FA"/>
    <w:rsid w:val="00987CD2"/>
    <w:rsid w:val="009921C3"/>
    <w:rsid w:val="00992EBB"/>
    <w:rsid w:val="0099551D"/>
    <w:rsid w:val="00995976"/>
    <w:rsid w:val="009A107C"/>
    <w:rsid w:val="009A5334"/>
    <w:rsid w:val="009A5897"/>
    <w:rsid w:val="009A5F24"/>
    <w:rsid w:val="009B0882"/>
    <w:rsid w:val="009B0992"/>
    <w:rsid w:val="009B0B3E"/>
    <w:rsid w:val="009B1913"/>
    <w:rsid w:val="009B196F"/>
    <w:rsid w:val="009B24CD"/>
    <w:rsid w:val="009B6657"/>
    <w:rsid w:val="009B6966"/>
    <w:rsid w:val="009B6FC6"/>
    <w:rsid w:val="009B7E6A"/>
    <w:rsid w:val="009C5A3E"/>
    <w:rsid w:val="009D0EB5"/>
    <w:rsid w:val="009D14F9"/>
    <w:rsid w:val="009D2B74"/>
    <w:rsid w:val="009D414F"/>
    <w:rsid w:val="009D4CB4"/>
    <w:rsid w:val="009D63FF"/>
    <w:rsid w:val="009E0874"/>
    <w:rsid w:val="009E175D"/>
    <w:rsid w:val="009E30C4"/>
    <w:rsid w:val="009E3CC2"/>
    <w:rsid w:val="009F06BD"/>
    <w:rsid w:val="009F1144"/>
    <w:rsid w:val="009F2A4D"/>
    <w:rsid w:val="00A00828"/>
    <w:rsid w:val="00A03290"/>
    <w:rsid w:val="00A0387E"/>
    <w:rsid w:val="00A05BFD"/>
    <w:rsid w:val="00A07490"/>
    <w:rsid w:val="00A10655"/>
    <w:rsid w:val="00A12B64"/>
    <w:rsid w:val="00A1566E"/>
    <w:rsid w:val="00A16D7E"/>
    <w:rsid w:val="00A16E91"/>
    <w:rsid w:val="00A22C38"/>
    <w:rsid w:val="00A25193"/>
    <w:rsid w:val="00A26E80"/>
    <w:rsid w:val="00A277A8"/>
    <w:rsid w:val="00A31AE8"/>
    <w:rsid w:val="00A33A52"/>
    <w:rsid w:val="00A37282"/>
    <w:rsid w:val="00A3739D"/>
    <w:rsid w:val="00A37DDA"/>
    <w:rsid w:val="00A41298"/>
    <w:rsid w:val="00A44502"/>
    <w:rsid w:val="00A45005"/>
    <w:rsid w:val="00A456D3"/>
    <w:rsid w:val="00A4639A"/>
    <w:rsid w:val="00A46B93"/>
    <w:rsid w:val="00A55815"/>
    <w:rsid w:val="00A567EE"/>
    <w:rsid w:val="00A57AC8"/>
    <w:rsid w:val="00A70DD8"/>
    <w:rsid w:val="00A7279C"/>
    <w:rsid w:val="00A76790"/>
    <w:rsid w:val="00A85D0C"/>
    <w:rsid w:val="00A922F0"/>
    <w:rsid w:val="00A925EC"/>
    <w:rsid w:val="00A929AA"/>
    <w:rsid w:val="00A92B6B"/>
    <w:rsid w:val="00A963A7"/>
    <w:rsid w:val="00AA4A64"/>
    <w:rsid w:val="00AA541E"/>
    <w:rsid w:val="00AB6AAC"/>
    <w:rsid w:val="00AB7E95"/>
    <w:rsid w:val="00AC04CF"/>
    <w:rsid w:val="00AC1B5D"/>
    <w:rsid w:val="00AD0DA4"/>
    <w:rsid w:val="00AD3B51"/>
    <w:rsid w:val="00AD4169"/>
    <w:rsid w:val="00AD78C8"/>
    <w:rsid w:val="00AE2207"/>
    <w:rsid w:val="00AE25C6"/>
    <w:rsid w:val="00AE306C"/>
    <w:rsid w:val="00AE689F"/>
    <w:rsid w:val="00AF28C1"/>
    <w:rsid w:val="00AF7ACC"/>
    <w:rsid w:val="00B01CB2"/>
    <w:rsid w:val="00B02EF1"/>
    <w:rsid w:val="00B02FC5"/>
    <w:rsid w:val="00B04B66"/>
    <w:rsid w:val="00B071F2"/>
    <w:rsid w:val="00B07C97"/>
    <w:rsid w:val="00B11C67"/>
    <w:rsid w:val="00B134F9"/>
    <w:rsid w:val="00B14257"/>
    <w:rsid w:val="00B15754"/>
    <w:rsid w:val="00B16002"/>
    <w:rsid w:val="00B2046E"/>
    <w:rsid w:val="00B20E8B"/>
    <w:rsid w:val="00B2303E"/>
    <w:rsid w:val="00B243D8"/>
    <w:rsid w:val="00B257E1"/>
    <w:rsid w:val="00B2599A"/>
    <w:rsid w:val="00B27AC4"/>
    <w:rsid w:val="00B30CCE"/>
    <w:rsid w:val="00B329E8"/>
    <w:rsid w:val="00B343CC"/>
    <w:rsid w:val="00B42993"/>
    <w:rsid w:val="00B42F39"/>
    <w:rsid w:val="00B45E33"/>
    <w:rsid w:val="00B46FCD"/>
    <w:rsid w:val="00B5084A"/>
    <w:rsid w:val="00B5288E"/>
    <w:rsid w:val="00B55B64"/>
    <w:rsid w:val="00B55F93"/>
    <w:rsid w:val="00B55F96"/>
    <w:rsid w:val="00B606A1"/>
    <w:rsid w:val="00B614F7"/>
    <w:rsid w:val="00B61B26"/>
    <w:rsid w:val="00B626AB"/>
    <w:rsid w:val="00B63F0C"/>
    <w:rsid w:val="00B6427B"/>
    <w:rsid w:val="00B64D7A"/>
    <w:rsid w:val="00B65E6B"/>
    <w:rsid w:val="00B675B2"/>
    <w:rsid w:val="00B70BEA"/>
    <w:rsid w:val="00B7450C"/>
    <w:rsid w:val="00B74CA2"/>
    <w:rsid w:val="00B7660D"/>
    <w:rsid w:val="00B8103F"/>
    <w:rsid w:val="00B81261"/>
    <w:rsid w:val="00B8223E"/>
    <w:rsid w:val="00B832AE"/>
    <w:rsid w:val="00B83FA9"/>
    <w:rsid w:val="00B86678"/>
    <w:rsid w:val="00B90D29"/>
    <w:rsid w:val="00B92F9B"/>
    <w:rsid w:val="00B941B3"/>
    <w:rsid w:val="00B96513"/>
    <w:rsid w:val="00B96CD4"/>
    <w:rsid w:val="00BA1D47"/>
    <w:rsid w:val="00BA66F0"/>
    <w:rsid w:val="00BB15DE"/>
    <w:rsid w:val="00BB2239"/>
    <w:rsid w:val="00BB2AE7"/>
    <w:rsid w:val="00BB6464"/>
    <w:rsid w:val="00BB6AE4"/>
    <w:rsid w:val="00BC1BB8"/>
    <w:rsid w:val="00BD6C72"/>
    <w:rsid w:val="00BD7FE1"/>
    <w:rsid w:val="00BE2895"/>
    <w:rsid w:val="00BE37CA"/>
    <w:rsid w:val="00BE5E3F"/>
    <w:rsid w:val="00BE6144"/>
    <w:rsid w:val="00BE635A"/>
    <w:rsid w:val="00BE750C"/>
    <w:rsid w:val="00BF17E9"/>
    <w:rsid w:val="00BF26A2"/>
    <w:rsid w:val="00BF2ABB"/>
    <w:rsid w:val="00BF4957"/>
    <w:rsid w:val="00BF4EC6"/>
    <w:rsid w:val="00BF5099"/>
    <w:rsid w:val="00C00A8B"/>
    <w:rsid w:val="00C06FE9"/>
    <w:rsid w:val="00C10B5E"/>
    <w:rsid w:val="00C10F10"/>
    <w:rsid w:val="00C1353F"/>
    <w:rsid w:val="00C15D4D"/>
    <w:rsid w:val="00C175DC"/>
    <w:rsid w:val="00C30171"/>
    <w:rsid w:val="00C309D8"/>
    <w:rsid w:val="00C36C35"/>
    <w:rsid w:val="00C43519"/>
    <w:rsid w:val="00C45263"/>
    <w:rsid w:val="00C458E2"/>
    <w:rsid w:val="00C45983"/>
    <w:rsid w:val="00C51537"/>
    <w:rsid w:val="00C52BC3"/>
    <w:rsid w:val="00C54091"/>
    <w:rsid w:val="00C54EB6"/>
    <w:rsid w:val="00C61AFA"/>
    <w:rsid w:val="00C61D64"/>
    <w:rsid w:val="00C62099"/>
    <w:rsid w:val="00C62A34"/>
    <w:rsid w:val="00C64EA3"/>
    <w:rsid w:val="00C65243"/>
    <w:rsid w:val="00C71648"/>
    <w:rsid w:val="00C72867"/>
    <w:rsid w:val="00C72BA2"/>
    <w:rsid w:val="00C75E81"/>
    <w:rsid w:val="00C811AE"/>
    <w:rsid w:val="00C814B0"/>
    <w:rsid w:val="00C81F19"/>
    <w:rsid w:val="00C83BB6"/>
    <w:rsid w:val="00C86609"/>
    <w:rsid w:val="00C9051A"/>
    <w:rsid w:val="00C90A1F"/>
    <w:rsid w:val="00C92B4C"/>
    <w:rsid w:val="00C954F6"/>
    <w:rsid w:val="00CA2FB0"/>
    <w:rsid w:val="00CA36A0"/>
    <w:rsid w:val="00CA5C87"/>
    <w:rsid w:val="00CA6BAF"/>
    <w:rsid w:val="00CA6BC5"/>
    <w:rsid w:val="00CB02D5"/>
    <w:rsid w:val="00CB1326"/>
    <w:rsid w:val="00CB1C9D"/>
    <w:rsid w:val="00CB2A79"/>
    <w:rsid w:val="00CC2FF8"/>
    <w:rsid w:val="00CC571B"/>
    <w:rsid w:val="00CC5ABA"/>
    <w:rsid w:val="00CC61CD"/>
    <w:rsid w:val="00CC6C02"/>
    <w:rsid w:val="00CC737B"/>
    <w:rsid w:val="00CD2BA2"/>
    <w:rsid w:val="00CD5011"/>
    <w:rsid w:val="00CD718C"/>
    <w:rsid w:val="00CD7E47"/>
    <w:rsid w:val="00CE0800"/>
    <w:rsid w:val="00CE0930"/>
    <w:rsid w:val="00CE0C8A"/>
    <w:rsid w:val="00CE5C8D"/>
    <w:rsid w:val="00CE640F"/>
    <w:rsid w:val="00CE76BC"/>
    <w:rsid w:val="00CF410A"/>
    <w:rsid w:val="00CF540E"/>
    <w:rsid w:val="00CF609D"/>
    <w:rsid w:val="00D02D65"/>
    <w:rsid w:val="00D02F07"/>
    <w:rsid w:val="00D05CB8"/>
    <w:rsid w:val="00D11970"/>
    <w:rsid w:val="00D12729"/>
    <w:rsid w:val="00D15D88"/>
    <w:rsid w:val="00D245A8"/>
    <w:rsid w:val="00D2699B"/>
    <w:rsid w:val="00D27D49"/>
    <w:rsid w:val="00D27EBE"/>
    <w:rsid w:val="00D36A49"/>
    <w:rsid w:val="00D45A1C"/>
    <w:rsid w:val="00D46F91"/>
    <w:rsid w:val="00D47DC7"/>
    <w:rsid w:val="00D517C6"/>
    <w:rsid w:val="00D532F2"/>
    <w:rsid w:val="00D57073"/>
    <w:rsid w:val="00D66CA6"/>
    <w:rsid w:val="00D71935"/>
    <w:rsid w:val="00D71D84"/>
    <w:rsid w:val="00D72464"/>
    <w:rsid w:val="00D72A57"/>
    <w:rsid w:val="00D7371A"/>
    <w:rsid w:val="00D74CD4"/>
    <w:rsid w:val="00D75EAA"/>
    <w:rsid w:val="00D768EB"/>
    <w:rsid w:val="00D76F16"/>
    <w:rsid w:val="00D77B60"/>
    <w:rsid w:val="00D80594"/>
    <w:rsid w:val="00D81BB1"/>
    <w:rsid w:val="00D81E17"/>
    <w:rsid w:val="00D82D1E"/>
    <w:rsid w:val="00D82E4B"/>
    <w:rsid w:val="00D832D9"/>
    <w:rsid w:val="00D90F00"/>
    <w:rsid w:val="00D96804"/>
    <w:rsid w:val="00D975C0"/>
    <w:rsid w:val="00DA5285"/>
    <w:rsid w:val="00DA7C9C"/>
    <w:rsid w:val="00DB10D0"/>
    <w:rsid w:val="00DB191D"/>
    <w:rsid w:val="00DB3036"/>
    <w:rsid w:val="00DB4F91"/>
    <w:rsid w:val="00DB6D0A"/>
    <w:rsid w:val="00DB7B0C"/>
    <w:rsid w:val="00DC06BE"/>
    <w:rsid w:val="00DC1968"/>
    <w:rsid w:val="00DC1F0F"/>
    <w:rsid w:val="00DC262B"/>
    <w:rsid w:val="00DC3117"/>
    <w:rsid w:val="00DC4E2A"/>
    <w:rsid w:val="00DC5DD9"/>
    <w:rsid w:val="00DC6D2D"/>
    <w:rsid w:val="00DD0E9F"/>
    <w:rsid w:val="00DD37D4"/>
    <w:rsid w:val="00DD4E59"/>
    <w:rsid w:val="00DD52DD"/>
    <w:rsid w:val="00DD542C"/>
    <w:rsid w:val="00DD607E"/>
    <w:rsid w:val="00DD6D79"/>
    <w:rsid w:val="00DE0A02"/>
    <w:rsid w:val="00DE33B5"/>
    <w:rsid w:val="00DE3710"/>
    <w:rsid w:val="00DE5477"/>
    <w:rsid w:val="00DE5E18"/>
    <w:rsid w:val="00DF0487"/>
    <w:rsid w:val="00DF0517"/>
    <w:rsid w:val="00DF5EA4"/>
    <w:rsid w:val="00DF7C55"/>
    <w:rsid w:val="00E00109"/>
    <w:rsid w:val="00E01998"/>
    <w:rsid w:val="00E02681"/>
    <w:rsid w:val="00E02792"/>
    <w:rsid w:val="00E028C5"/>
    <w:rsid w:val="00E034D8"/>
    <w:rsid w:val="00E04072"/>
    <w:rsid w:val="00E04CC0"/>
    <w:rsid w:val="00E11070"/>
    <w:rsid w:val="00E11135"/>
    <w:rsid w:val="00E14D55"/>
    <w:rsid w:val="00E152A4"/>
    <w:rsid w:val="00E15816"/>
    <w:rsid w:val="00E160D5"/>
    <w:rsid w:val="00E239FF"/>
    <w:rsid w:val="00E24FCF"/>
    <w:rsid w:val="00E27D7B"/>
    <w:rsid w:val="00E30556"/>
    <w:rsid w:val="00E30981"/>
    <w:rsid w:val="00E33136"/>
    <w:rsid w:val="00E34A55"/>
    <w:rsid w:val="00E34D7C"/>
    <w:rsid w:val="00E34DEA"/>
    <w:rsid w:val="00E3723D"/>
    <w:rsid w:val="00E42A06"/>
    <w:rsid w:val="00E44C89"/>
    <w:rsid w:val="00E457A6"/>
    <w:rsid w:val="00E473C5"/>
    <w:rsid w:val="00E53490"/>
    <w:rsid w:val="00E548EA"/>
    <w:rsid w:val="00E54F9E"/>
    <w:rsid w:val="00E60B24"/>
    <w:rsid w:val="00E61BA2"/>
    <w:rsid w:val="00E63864"/>
    <w:rsid w:val="00E63E0A"/>
    <w:rsid w:val="00E6403F"/>
    <w:rsid w:val="00E67E03"/>
    <w:rsid w:val="00E70F60"/>
    <w:rsid w:val="00E74C27"/>
    <w:rsid w:val="00E75451"/>
    <w:rsid w:val="00E75EA9"/>
    <w:rsid w:val="00E76AD6"/>
    <w:rsid w:val="00E770C4"/>
    <w:rsid w:val="00E84C5A"/>
    <w:rsid w:val="00E861DB"/>
    <w:rsid w:val="00E908F1"/>
    <w:rsid w:val="00E9198F"/>
    <w:rsid w:val="00E93406"/>
    <w:rsid w:val="00E956C5"/>
    <w:rsid w:val="00E95C39"/>
    <w:rsid w:val="00EA2C39"/>
    <w:rsid w:val="00EA350D"/>
    <w:rsid w:val="00EA46DB"/>
    <w:rsid w:val="00EB0A3C"/>
    <w:rsid w:val="00EB0A96"/>
    <w:rsid w:val="00EB77F9"/>
    <w:rsid w:val="00EB7ACC"/>
    <w:rsid w:val="00EC4F5D"/>
    <w:rsid w:val="00EC5769"/>
    <w:rsid w:val="00EC772C"/>
    <w:rsid w:val="00EC787C"/>
    <w:rsid w:val="00EC7D00"/>
    <w:rsid w:val="00EC7EDC"/>
    <w:rsid w:val="00ED0304"/>
    <w:rsid w:val="00ED0D3F"/>
    <w:rsid w:val="00ED406B"/>
    <w:rsid w:val="00ED4FF7"/>
    <w:rsid w:val="00ED5B7B"/>
    <w:rsid w:val="00EE38FA"/>
    <w:rsid w:val="00EE3E2C"/>
    <w:rsid w:val="00EE4055"/>
    <w:rsid w:val="00EE462B"/>
    <w:rsid w:val="00EE5D23"/>
    <w:rsid w:val="00EE750D"/>
    <w:rsid w:val="00EE7953"/>
    <w:rsid w:val="00EF34C4"/>
    <w:rsid w:val="00EF3CA4"/>
    <w:rsid w:val="00EF49A8"/>
    <w:rsid w:val="00EF7859"/>
    <w:rsid w:val="00F014DA"/>
    <w:rsid w:val="00F02591"/>
    <w:rsid w:val="00F07B65"/>
    <w:rsid w:val="00F10638"/>
    <w:rsid w:val="00F12F1A"/>
    <w:rsid w:val="00F149EE"/>
    <w:rsid w:val="00F30AE1"/>
    <w:rsid w:val="00F36949"/>
    <w:rsid w:val="00F422C1"/>
    <w:rsid w:val="00F43199"/>
    <w:rsid w:val="00F45E4E"/>
    <w:rsid w:val="00F461A7"/>
    <w:rsid w:val="00F47A1F"/>
    <w:rsid w:val="00F53D8B"/>
    <w:rsid w:val="00F546CA"/>
    <w:rsid w:val="00F5696E"/>
    <w:rsid w:val="00F57348"/>
    <w:rsid w:val="00F60EFF"/>
    <w:rsid w:val="00F65586"/>
    <w:rsid w:val="00F67D2D"/>
    <w:rsid w:val="00F70EFC"/>
    <w:rsid w:val="00F7425D"/>
    <w:rsid w:val="00F858F2"/>
    <w:rsid w:val="00F860CC"/>
    <w:rsid w:val="00F94398"/>
    <w:rsid w:val="00FA579F"/>
    <w:rsid w:val="00FA62F5"/>
    <w:rsid w:val="00FA65D0"/>
    <w:rsid w:val="00FB2B56"/>
    <w:rsid w:val="00FB3597"/>
    <w:rsid w:val="00FB55D5"/>
    <w:rsid w:val="00FB56FB"/>
    <w:rsid w:val="00FC12BF"/>
    <w:rsid w:val="00FC14AF"/>
    <w:rsid w:val="00FC2C60"/>
    <w:rsid w:val="00FD2204"/>
    <w:rsid w:val="00FD3E6F"/>
    <w:rsid w:val="00FD51B9"/>
    <w:rsid w:val="00FD5849"/>
    <w:rsid w:val="00FD5ABC"/>
    <w:rsid w:val="00FE03E4"/>
    <w:rsid w:val="00FE23AD"/>
    <w:rsid w:val="00FE2A39"/>
    <w:rsid w:val="00FE4F68"/>
    <w:rsid w:val="00FE73C2"/>
    <w:rsid w:val="00FF2916"/>
    <w:rsid w:val="00FF39CF"/>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B602F1-2568-43E1-A1A5-891214B9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332</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the economy – March 2023</vt:lpstr>
    </vt:vector>
  </TitlesOfParts>
  <Company>Industry, Tourism and Trade</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March 2023</dc:title>
  <dc:creator>Northern Territory Government</dc:creator>
  <cp:lastModifiedBy>Dinh Gia Bao Hoang</cp:lastModifiedBy>
  <cp:revision>26</cp:revision>
  <cp:lastPrinted>2023-07-06T06:30:00Z</cp:lastPrinted>
  <dcterms:created xsi:type="dcterms:W3CDTF">2023-07-06T00:36:00Z</dcterms:created>
  <dcterms:modified xsi:type="dcterms:W3CDTF">2023-07-07T00:55:00Z</dcterms:modified>
</cp:coreProperties>
</file>