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33B2" w14:textId="77777777" w:rsidR="003C4941" w:rsidRDefault="00A7279C" w:rsidP="00E14D55">
      <w:pPr>
        <w:pStyle w:val="Heading1"/>
        <w:spacing w:before="0" w:after="60"/>
        <w:rPr>
          <w:noProof/>
          <w:lang w:eastAsia="en-AU"/>
        </w:rPr>
      </w:pPr>
      <w:r>
        <w:rPr>
          <w:noProof/>
          <w:lang w:eastAsia="en-AU"/>
        </w:rPr>
        <w:t>Overview</w:t>
      </w:r>
    </w:p>
    <w:p w14:paraId="751A80CD" w14:textId="37CF7635" w:rsidR="00E849A7" w:rsidRPr="00821A8D" w:rsidRDefault="002C5A67" w:rsidP="00B5455B">
      <w:pPr>
        <w:spacing w:after="120"/>
        <w:rPr>
          <w:spacing w:val="-2"/>
          <w:sz w:val="20"/>
          <w:szCs w:val="20"/>
        </w:rPr>
      </w:pPr>
      <w:r w:rsidRPr="00821A8D">
        <w:rPr>
          <w:spacing w:val="-2"/>
          <w:sz w:val="20"/>
          <w:szCs w:val="20"/>
        </w:rPr>
        <w:t>State fin</w:t>
      </w:r>
      <w:r w:rsidR="005A3021" w:rsidRPr="00821A8D">
        <w:rPr>
          <w:spacing w:val="-2"/>
          <w:sz w:val="20"/>
          <w:szCs w:val="20"/>
        </w:rPr>
        <w:t xml:space="preserve">al demand (SFD) </w:t>
      </w:r>
      <w:r w:rsidR="005D1D99" w:rsidRPr="00821A8D">
        <w:rPr>
          <w:spacing w:val="-2"/>
          <w:sz w:val="20"/>
          <w:szCs w:val="20"/>
        </w:rPr>
        <w:t>increased</w:t>
      </w:r>
      <w:r w:rsidR="005A3021" w:rsidRPr="00821A8D">
        <w:rPr>
          <w:spacing w:val="-2"/>
          <w:sz w:val="20"/>
          <w:szCs w:val="20"/>
        </w:rPr>
        <w:t xml:space="preserve"> by 3</w:t>
      </w:r>
      <w:r w:rsidRPr="00821A8D">
        <w:rPr>
          <w:spacing w:val="-2"/>
          <w:sz w:val="20"/>
          <w:szCs w:val="20"/>
        </w:rPr>
        <w:t xml:space="preserve">% in the </w:t>
      </w:r>
      <w:r w:rsidR="005A3021" w:rsidRPr="00821A8D">
        <w:rPr>
          <w:spacing w:val="-2"/>
          <w:sz w:val="20"/>
          <w:szCs w:val="20"/>
        </w:rPr>
        <w:t xml:space="preserve">December </w:t>
      </w:r>
      <w:r w:rsidR="00722EFE" w:rsidRPr="00821A8D">
        <w:rPr>
          <w:spacing w:val="-2"/>
          <w:sz w:val="20"/>
          <w:szCs w:val="20"/>
        </w:rPr>
        <w:t>quarter</w:t>
      </w:r>
      <w:r w:rsidR="00F74273" w:rsidRPr="00821A8D">
        <w:rPr>
          <w:spacing w:val="-2"/>
          <w:sz w:val="20"/>
          <w:szCs w:val="20"/>
        </w:rPr>
        <w:t>,</w:t>
      </w:r>
      <w:r w:rsidR="000037A6" w:rsidRPr="00821A8D">
        <w:rPr>
          <w:spacing w:val="-2"/>
          <w:sz w:val="20"/>
          <w:szCs w:val="20"/>
        </w:rPr>
        <w:t xml:space="preserve"> </w:t>
      </w:r>
      <w:r w:rsidR="00621680">
        <w:rPr>
          <w:spacing w:val="-2"/>
          <w:sz w:val="20"/>
          <w:szCs w:val="20"/>
        </w:rPr>
        <w:t xml:space="preserve">the </w:t>
      </w:r>
      <w:r w:rsidR="00E94C65">
        <w:rPr>
          <w:spacing w:val="-2"/>
          <w:sz w:val="20"/>
          <w:szCs w:val="20"/>
        </w:rPr>
        <w:t>strongest</w:t>
      </w:r>
      <w:r w:rsidR="00F74273" w:rsidRPr="00821A8D">
        <w:rPr>
          <w:spacing w:val="-2"/>
          <w:sz w:val="20"/>
          <w:szCs w:val="20"/>
        </w:rPr>
        <w:t xml:space="preserve"> growth</w:t>
      </w:r>
      <w:r w:rsidR="000037A6" w:rsidRPr="00821A8D">
        <w:rPr>
          <w:spacing w:val="-2"/>
          <w:sz w:val="20"/>
          <w:szCs w:val="20"/>
        </w:rPr>
        <w:t xml:space="preserve"> </w:t>
      </w:r>
      <w:r w:rsidR="0059621C">
        <w:rPr>
          <w:spacing w:val="-2"/>
          <w:sz w:val="20"/>
          <w:szCs w:val="20"/>
        </w:rPr>
        <w:t>of the</w:t>
      </w:r>
      <w:r w:rsidR="000037A6" w:rsidRPr="00821A8D">
        <w:rPr>
          <w:spacing w:val="-2"/>
          <w:sz w:val="20"/>
          <w:szCs w:val="20"/>
        </w:rPr>
        <w:t xml:space="preserve"> </w:t>
      </w:r>
      <w:r w:rsidR="00F74273" w:rsidRPr="00821A8D">
        <w:rPr>
          <w:spacing w:val="-2"/>
          <w:sz w:val="20"/>
          <w:szCs w:val="20"/>
        </w:rPr>
        <w:t>jurisdictions</w:t>
      </w:r>
      <w:r w:rsidR="00A250A4" w:rsidRPr="00821A8D">
        <w:rPr>
          <w:spacing w:val="-2"/>
          <w:sz w:val="20"/>
          <w:szCs w:val="20"/>
        </w:rPr>
        <w:t xml:space="preserve">. </w:t>
      </w:r>
      <w:r w:rsidR="0059621C">
        <w:rPr>
          <w:spacing w:val="-2"/>
          <w:sz w:val="20"/>
          <w:szCs w:val="20"/>
        </w:rPr>
        <w:t>The result was d</w:t>
      </w:r>
      <w:r w:rsidR="00A250A4" w:rsidRPr="00821A8D">
        <w:rPr>
          <w:spacing w:val="-2"/>
          <w:sz w:val="20"/>
          <w:szCs w:val="20"/>
        </w:rPr>
        <w:t>riv</w:t>
      </w:r>
      <w:r w:rsidR="0059621C">
        <w:rPr>
          <w:spacing w:val="-2"/>
          <w:sz w:val="20"/>
          <w:szCs w:val="20"/>
        </w:rPr>
        <w:t xml:space="preserve">en by a rebound in business investment, which </w:t>
      </w:r>
      <w:r w:rsidR="00D460CF">
        <w:rPr>
          <w:spacing w:val="-2"/>
          <w:sz w:val="20"/>
          <w:szCs w:val="20"/>
        </w:rPr>
        <w:t>increased</w:t>
      </w:r>
      <w:r w:rsidR="00C86A45">
        <w:rPr>
          <w:spacing w:val="-2"/>
          <w:sz w:val="20"/>
          <w:szCs w:val="20"/>
        </w:rPr>
        <w:t xml:space="preserve"> by $200 million in the quarter </w:t>
      </w:r>
      <w:r w:rsidR="00D460CF">
        <w:rPr>
          <w:spacing w:val="-2"/>
          <w:sz w:val="20"/>
          <w:szCs w:val="20"/>
        </w:rPr>
        <w:t>(</w:t>
      </w:r>
      <w:r w:rsidR="00C86A45">
        <w:rPr>
          <w:spacing w:val="-2"/>
          <w:sz w:val="20"/>
          <w:szCs w:val="20"/>
        </w:rPr>
        <w:t xml:space="preserve">and </w:t>
      </w:r>
      <w:r w:rsidR="0059621C">
        <w:rPr>
          <w:spacing w:val="-2"/>
          <w:sz w:val="20"/>
          <w:szCs w:val="20"/>
        </w:rPr>
        <w:t>account</w:t>
      </w:r>
      <w:r w:rsidR="00C86A45">
        <w:rPr>
          <w:spacing w:val="-2"/>
          <w:sz w:val="20"/>
          <w:szCs w:val="20"/>
        </w:rPr>
        <w:t>ed</w:t>
      </w:r>
      <w:r w:rsidR="00D460CF">
        <w:rPr>
          <w:spacing w:val="-2"/>
          <w:sz w:val="20"/>
          <w:szCs w:val="20"/>
        </w:rPr>
        <w:t xml:space="preserve"> for 90%</w:t>
      </w:r>
      <w:r w:rsidR="007A01E4">
        <w:rPr>
          <w:spacing w:val="-2"/>
          <w:sz w:val="20"/>
          <w:szCs w:val="20"/>
        </w:rPr>
        <w:t xml:space="preserve"> </w:t>
      </w:r>
      <w:r w:rsidR="00D460CF">
        <w:rPr>
          <w:spacing w:val="-2"/>
          <w:sz w:val="20"/>
          <w:szCs w:val="20"/>
        </w:rPr>
        <w:t>of</w:t>
      </w:r>
      <w:r w:rsidR="0059621C">
        <w:rPr>
          <w:spacing w:val="-2"/>
          <w:sz w:val="20"/>
          <w:szCs w:val="20"/>
        </w:rPr>
        <w:t xml:space="preserve"> growth</w:t>
      </w:r>
      <w:r w:rsidR="00D460CF">
        <w:rPr>
          <w:spacing w:val="-2"/>
          <w:sz w:val="20"/>
          <w:szCs w:val="20"/>
        </w:rPr>
        <w:t xml:space="preserve"> [</w:t>
      </w:r>
      <w:r w:rsidR="0059621C">
        <w:rPr>
          <w:spacing w:val="-2"/>
          <w:sz w:val="20"/>
          <w:szCs w:val="20"/>
        </w:rPr>
        <w:t>2.7 percentage points</w:t>
      </w:r>
      <w:r w:rsidR="0064519D">
        <w:rPr>
          <w:spacing w:val="-2"/>
          <w:sz w:val="20"/>
          <w:szCs w:val="20"/>
        </w:rPr>
        <w:t xml:space="preserve"> (ppt)</w:t>
      </w:r>
      <w:r w:rsidR="00D460CF">
        <w:rPr>
          <w:spacing w:val="-2"/>
          <w:sz w:val="20"/>
          <w:szCs w:val="20"/>
        </w:rPr>
        <w:t>]</w:t>
      </w:r>
      <w:r w:rsidR="0059621C">
        <w:rPr>
          <w:spacing w:val="-2"/>
          <w:sz w:val="20"/>
          <w:szCs w:val="20"/>
        </w:rPr>
        <w:t>)</w:t>
      </w:r>
      <w:r w:rsidR="00C86A45">
        <w:rPr>
          <w:spacing w:val="-2"/>
          <w:sz w:val="20"/>
          <w:szCs w:val="20"/>
        </w:rPr>
        <w:t>,</w:t>
      </w:r>
      <w:r w:rsidR="00D460CF">
        <w:rPr>
          <w:spacing w:val="-2"/>
          <w:sz w:val="20"/>
          <w:szCs w:val="20"/>
        </w:rPr>
        <w:t xml:space="preserve"> and was a post</w:t>
      </w:r>
      <w:r w:rsidR="00D460CF">
        <w:rPr>
          <w:spacing w:val="-2"/>
          <w:sz w:val="20"/>
          <w:szCs w:val="20"/>
        </w:rPr>
        <w:noBreakHyphen/>
        <w:t>Inpex record</w:t>
      </w:r>
      <w:r w:rsidR="00C86A45">
        <w:rPr>
          <w:spacing w:val="-2"/>
          <w:sz w:val="20"/>
          <w:szCs w:val="20"/>
        </w:rPr>
        <w:t xml:space="preserve"> supported by construction activity for the Barossa gas field</w:t>
      </w:r>
      <w:r w:rsidR="0059621C">
        <w:rPr>
          <w:spacing w:val="-2"/>
          <w:sz w:val="20"/>
          <w:szCs w:val="20"/>
        </w:rPr>
        <w:t xml:space="preserve">. </w:t>
      </w:r>
      <w:r w:rsidR="00EC4B17" w:rsidRPr="00821A8D">
        <w:rPr>
          <w:spacing w:val="-2"/>
          <w:sz w:val="20"/>
          <w:szCs w:val="20"/>
        </w:rPr>
        <w:t>Public investment</w:t>
      </w:r>
      <w:r w:rsidR="00621680">
        <w:rPr>
          <w:spacing w:val="-2"/>
          <w:sz w:val="20"/>
          <w:szCs w:val="20"/>
        </w:rPr>
        <w:t xml:space="preserve"> </w:t>
      </w:r>
      <w:r w:rsidR="00E550E1">
        <w:rPr>
          <w:spacing w:val="-2"/>
          <w:sz w:val="20"/>
          <w:szCs w:val="20"/>
        </w:rPr>
        <w:t>in</w:t>
      </w:r>
      <w:r w:rsidR="00BA5121">
        <w:rPr>
          <w:spacing w:val="-2"/>
          <w:sz w:val="20"/>
          <w:szCs w:val="20"/>
        </w:rPr>
        <w:t xml:space="preserve">creased by 3.4% in the quarter </w:t>
      </w:r>
      <w:r w:rsidR="00E550E1">
        <w:rPr>
          <w:spacing w:val="-2"/>
          <w:sz w:val="20"/>
          <w:szCs w:val="20"/>
        </w:rPr>
        <w:t>driven by Territory Government investment in community housing, roads and utilities projects.</w:t>
      </w:r>
    </w:p>
    <w:p w14:paraId="11DDA09A" w14:textId="17DE9D14" w:rsidR="004D5B87" w:rsidRPr="00821A8D" w:rsidRDefault="005D74C9" w:rsidP="005707AA">
      <w:pPr>
        <w:spacing w:after="120"/>
        <w:rPr>
          <w:spacing w:val="-2"/>
          <w:sz w:val="20"/>
          <w:szCs w:val="20"/>
        </w:rPr>
      </w:pPr>
      <w:r w:rsidRPr="00821A8D">
        <w:rPr>
          <w:spacing w:val="-2"/>
          <w:sz w:val="20"/>
          <w:szCs w:val="20"/>
        </w:rPr>
        <w:t xml:space="preserve">Household consumption fell </w:t>
      </w:r>
      <w:r w:rsidR="00402DC2" w:rsidRPr="00821A8D">
        <w:rPr>
          <w:spacing w:val="-2"/>
          <w:sz w:val="20"/>
          <w:szCs w:val="20"/>
        </w:rPr>
        <w:t xml:space="preserve">by </w:t>
      </w:r>
      <w:r w:rsidRPr="00821A8D">
        <w:rPr>
          <w:spacing w:val="-2"/>
          <w:sz w:val="20"/>
          <w:szCs w:val="20"/>
        </w:rPr>
        <w:t>0.7%</w:t>
      </w:r>
      <w:r w:rsidR="00CC3041" w:rsidRPr="00821A8D">
        <w:rPr>
          <w:spacing w:val="-2"/>
          <w:sz w:val="20"/>
          <w:szCs w:val="20"/>
        </w:rPr>
        <w:t xml:space="preserve"> </w:t>
      </w:r>
      <w:r w:rsidR="00E550E1">
        <w:rPr>
          <w:spacing w:val="-2"/>
          <w:sz w:val="20"/>
          <w:szCs w:val="20"/>
        </w:rPr>
        <w:t xml:space="preserve">in the quarter </w:t>
      </w:r>
      <w:r w:rsidR="00CC3041" w:rsidRPr="00821A8D">
        <w:rPr>
          <w:spacing w:val="-2"/>
          <w:sz w:val="20"/>
          <w:szCs w:val="20"/>
        </w:rPr>
        <w:t>as</w:t>
      </w:r>
      <w:r w:rsidR="00E550E1">
        <w:rPr>
          <w:spacing w:val="-2"/>
          <w:sz w:val="20"/>
          <w:szCs w:val="20"/>
        </w:rPr>
        <w:t xml:space="preserve"> Territory</w:t>
      </w:r>
      <w:r w:rsidR="00CC3041" w:rsidRPr="00821A8D">
        <w:rPr>
          <w:spacing w:val="-2"/>
          <w:sz w:val="20"/>
          <w:szCs w:val="20"/>
        </w:rPr>
        <w:t xml:space="preserve"> households </w:t>
      </w:r>
      <w:r w:rsidR="00E550E1">
        <w:rPr>
          <w:spacing w:val="-2"/>
          <w:sz w:val="20"/>
          <w:szCs w:val="20"/>
        </w:rPr>
        <w:t>continue to be concerned about interest rate</w:t>
      </w:r>
      <w:r w:rsidR="00076273">
        <w:rPr>
          <w:spacing w:val="-2"/>
          <w:sz w:val="20"/>
          <w:szCs w:val="20"/>
        </w:rPr>
        <w:t>s and cost of living pressures</w:t>
      </w:r>
      <w:r w:rsidR="00E550E1">
        <w:rPr>
          <w:spacing w:val="-2"/>
          <w:sz w:val="20"/>
          <w:szCs w:val="20"/>
        </w:rPr>
        <w:t xml:space="preserve">, with </w:t>
      </w:r>
      <w:r w:rsidR="00402DC2" w:rsidRPr="00821A8D">
        <w:rPr>
          <w:spacing w:val="-2"/>
          <w:sz w:val="20"/>
          <w:szCs w:val="20"/>
        </w:rPr>
        <w:t>reduced</w:t>
      </w:r>
      <w:r w:rsidR="008B45D0" w:rsidRPr="00821A8D">
        <w:rPr>
          <w:spacing w:val="-2"/>
          <w:sz w:val="20"/>
          <w:szCs w:val="20"/>
        </w:rPr>
        <w:t xml:space="preserve"> spending on</w:t>
      </w:r>
      <w:r w:rsidR="005757AC" w:rsidRPr="00821A8D">
        <w:rPr>
          <w:spacing w:val="-2"/>
          <w:sz w:val="20"/>
          <w:szCs w:val="20"/>
        </w:rPr>
        <w:t xml:space="preserve"> discretionary </w:t>
      </w:r>
      <w:r w:rsidR="000A6FAA" w:rsidRPr="000A6FAA">
        <w:rPr>
          <w:spacing w:val="-2"/>
          <w:sz w:val="20"/>
          <w:szCs w:val="20"/>
        </w:rPr>
        <w:t>items</w:t>
      </w:r>
      <w:r w:rsidR="00B03BA4">
        <w:rPr>
          <w:spacing w:val="-2"/>
          <w:sz w:val="20"/>
          <w:szCs w:val="20"/>
        </w:rPr>
        <w:t xml:space="preserve"> as</w:t>
      </w:r>
      <w:r w:rsidR="003B7CF3" w:rsidRPr="00821A8D">
        <w:rPr>
          <w:spacing w:val="-2"/>
          <w:sz w:val="20"/>
          <w:szCs w:val="20"/>
        </w:rPr>
        <w:t xml:space="preserve"> households </w:t>
      </w:r>
      <w:r w:rsidR="00615B8D" w:rsidRPr="00821A8D">
        <w:rPr>
          <w:spacing w:val="-2"/>
          <w:sz w:val="20"/>
          <w:szCs w:val="20"/>
        </w:rPr>
        <w:t>substitute</w:t>
      </w:r>
      <w:r w:rsidR="00296D8F">
        <w:rPr>
          <w:spacing w:val="-2"/>
          <w:sz w:val="20"/>
          <w:szCs w:val="20"/>
        </w:rPr>
        <w:t>d</w:t>
      </w:r>
      <w:r w:rsidR="00615B8D" w:rsidRPr="00821A8D">
        <w:rPr>
          <w:spacing w:val="-2"/>
          <w:sz w:val="20"/>
          <w:szCs w:val="20"/>
        </w:rPr>
        <w:t xml:space="preserve"> eating out for home cooked meals</w:t>
      </w:r>
      <w:r w:rsidR="00B03BA4">
        <w:rPr>
          <w:spacing w:val="-2"/>
          <w:sz w:val="20"/>
          <w:szCs w:val="20"/>
        </w:rPr>
        <w:t xml:space="preserve"> (food spending was up by 1.4%, while spending on recreation, culture and hospitality was down by more than 3%). G</w:t>
      </w:r>
      <w:r w:rsidR="00BA6A34" w:rsidRPr="00821A8D">
        <w:rPr>
          <w:spacing w:val="-2"/>
          <w:sz w:val="20"/>
          <w:szCs w:val="20"/>
        </w:rPr>
        <w:t>overnment consumption</w:t>
      </w:r>
      <w:r w:rsidR="00B8725D" w:rsidRPr="00821A8D">
        <w:rPr>
          <w:spacing w:val="-2"/>
          <w:sz w:val="20"/>
          <w:szCs w:val="20"/>
        </w:rPr>
        <w:t xml:space="preserve"> </w:t>
      </w:r>
      <w:r w:rsidR="00B03BA4">
        <w:rPr>
          <w:spacing w:val="-2"/>
          <w:sz w:val="20"/>
          <w:szCs w:val="20"/>
        </w:rPr>
        <w:t>increased</w:t>
      </w:r>
      <w:r w:rsidR="00ED7E3A" w:rsidRPr="00821A8D">
        <w:rPr>
          <w:spacing w:val="-2"/>
          <w:sz w:val="20"/>
          <w:szCs w:val="20"/>
        </w:rPr>
        <w:t xml:space="preserve"> by </w:t>
      </w:r>
      <w:r w:rsidR="00BA6A34" w:rsidRPr="00821A8D">
        <w:rPr>
          <w:spacing w:val="-2"/>
          <w:sz w:val="20"/>
          <w:szCs w:val="20"/>
        </w:rPr>
        <w:t>1%</w:t>
      </w:r>
      <w:r w:rsidR="00B03BA4">
        <w:rPr>
          <w:spacing w:val="-2"/>
          <w:sz w:val="20"/>
          <w:szCs w:val="20"/>
        </w:rPr>
        <w:t xml:space="preserve"> due to increased </w:t>
      </w:r>
      <w:r w:rsidR="00B8725D" w:rsidRPr="00821A8D">
        <w:rPr>
          <w:spacing w:val="-2"/>
          <w:sz w:val="20"/>
          <w:szCs w:val="20"/>
        </w:rPr>
        <w:t>spending on frontline service</w:t>
      </w:r>
      <w:r w:rsidR="00483C3D" w:rsidRPr="00821A8D">
        <w:rPr>
          <w:spacing w:val="-2"/>
          <w:sz w:val="20"/>
          <w:szCs w:val="20"/>
        </w:rPr>
        <w:t>s</w:t>
      </w:r>
      <w:r w:rsidR="004D5B87" w:rsidRPr="00821A8D">
        <w:rPr>
          <w:spacing w:val="-2"/>
          <w:sz w:val="20"/>
          <w:szCs w:val="20"/>
        </w:rPr>
        <w:t>.</w:t>
      </w:r>
    </w:p>
    <w:p w14:paraId="41017164" w14:textId="589ECE93" w:rsidR="00697AEF" w:rsidRPr="00821A8D" w:rsidRDefault="00076273" w:rsidP="00B5455B">
      <w:pPr>
        <w:spacing w:after="120"/>
        <w:rPr>
          <w:spacing w:val="-2"/>
          <w:sz w:val="20"/>
          <w:szCs w:val="20"/>
        </w:rPr>
      </w:pPr>
      <w:r>
        <w:rPr>
          <w:spacing w:val="-2"/>
          <w:sz w:val="20"/>
          <w:szCs w:val="20"/>
        </w:rPr>
        <w:t>After a record high in the September quarter</w:t>
      </w:r>
      <w:r w:rsidR="0064519D">
        <w:rPr>
          <w:spacing w:val="-2"/>
          <w:sz w:val="20"/>
          <w:szCs w:val="20"/>
        </w:rPr>
        <w:t xml:space="preserve"> 2023</w:t>
      </w:r>
      <w:r>
        <w:rPr>
          <w:spacing w:val="-2"/>
          <w:sz w:val="20"/>
          <w:szCs w:val="20"/>
        </w:rPr>
        <w:t>, m</w:t>
      </w:r>
      <w:r w:rsidR="00B46BBD" w:rsidRPr="00821A8D">
        <w:rPr>
          <w:spacing w:val="-2"/>
          <w:sz w:val="20"/>
          <w:szCs w:val="20"/>
        </w:rPr>
        <w:t xml:space="preserve">ineral exploration </w:t>
      </w:r>
      <w:r w:rsidR="00E41C08">
        <w:rPr>
          <w:spacing w:val="-2"/>
          <w:sz w:val="20"/>
          <w:szCs w:val="20"/>
        </w:rPr>
        <w:t>expenditure in the Territory</w:t>
      </w:r>
      <w:r w:rsidR="0064519D">
        <w:rPr>
          <w:spacing w:val="-2"/>
          <w:sz w:val="20"/>
          <w:szCs w:val="20"/>
        </w:rPr>
        <w:t xml:space="preserve"> decr</w:t>
      </w:r>
      <w:r>
        <w:rPr>
          <w:spacing w:val="-2"/>
          <w:sz w:val="20"/>
          <w:szCs w:val="20"/>
        </w:rPr>
        <w:t>eased by 16% to $57 million in the December quarter</w:t>
      </w:r>
      <w:r w:rsidR="0064519D">
        <w:rPr>
          <w:spacing w:val="-2"/>
          <w:sz w:val="20"/>
          <w:szCs w:val="20"/>
        </w:rPr>
        <w:t xml:space="preserve"> (but is still 11% higher than December quarter 2022)</w:t>
      </w:r>
      <w:r w:rsidR="00E41C08">
        <w:rPr>
          <w:spacing w:val="-2"/>
          <w:sz w:val="20"/>
          <w:szCs w:val="20"/>
        </w:rPr>
        <w:t>, while the</w:t>
      </w:r>
      <w:r w:rsidR="00E41C08" w:rsidRPr="00E41C08">
        <w:rPr>
          <w:spacing w:val="-2"/>
          <w:sz w:val="20"/>
          <w:szCs w:val="20"/>
        </w:rPr>
        <w:t xml:space="preserve"> value of mineral production in 2022</w:t>
      </w:r>
      <w:r w:rsidR="00E41C08" w:rsidRPr="00E41C08">
        <w:rPr>
          <w:spacing w:val="-2"/>
          <w:sz w:val="20"/>
          <w:szCs w:val="20"/>
        </w:rPr>
        <w:noBreakHyphen/>
        <w:t>23 was $4.4 billion.</w:t>
      </w:r>
    </w:p>
    <w:tbl>
      <w:tblPr>
        <w:tblStyle w:val="NTGtable1"/>
        <w:tblW w:w="10495" w:type="dxa"/>
        <w:jc w:val="center"/>
        <w:tblLayout w:type="fixed"/>
        <w:tblLook w:val="04A0" w:firstRow="1" w:lastRow="0" w:firstColumn="1" w:lastColumn="0" w:noHBand="0" w:noVBand="1"/>
      </w:tblPr>
      <w:tblGrid>
        <w:gridCol w:w="3573"/>
        <w:gridCol w:w="947"/>
        <w:gridCol w:w="1283"/>
        <w:gridCol w:w="1093"/>
        <w:gridCol w:w="1086"/>
        <w:gridCol w:w="1065"/>
        <w:gridCol w:w="1448"/>
      </w:tblGrid>
      <w:tr w:rsidR="00256555" w:rsidRPr="00797CA2" w14:paraId="31063292" w14:textId="77777777" w:rsidTr="00A4499A">
        <w:trPr>
          <w:cnfStyle w:val="100000000000" w:firstRow="1" w:lastRow="0" w:firstColumn="0" w:lastColumn="0" w:oddVBand="0" w:evenVBand="0" w:oddHBand="0" w:evenHBand="0" w:firstRowFirstColumn="0" w:firstRowLastColumn="0" w:lastRowFirstColumn="0" w:lastRowLastColumn="0"/>
          <w:trHeight w:val="251"/>
          <w:jc w:val="center"/>
        </w:trPr>
        <w:tc>
          <w:tcPr>
            <w:cnfStyle w:val="001000000100" w:firstRow="0" w:lastRow="0" w:firstColumn="1" w:lastColumn="0" w:oddVBand="0" w:evenVBand="0" w:oddHBand="0" w:evenHBand="0" w:firstRowFirstColumn="1" w:firstRowLastColumn="0" w:lastRowFirstColumn="0" w:lastRowLastColumn="0"/>
            <w:tcW w:w="3573" w:type="dxa"/>
            <w:vAlign w:val="center"/>
          </w:tcPr>
          <w:p w14:paraId="1159313E" w14:textId="2470578D" w:rsidR="00256555" w:rsidRPr="00BE2895" w:rsidRDefault="00256555" w:rsidP="00256555">
            <w:pPr>
              <w:spacing w:before="0" w:after="0"/>
              <w:jc w:val="center"/>
              <w:rPr>
                <w:rFonts w:ascii="Calibri" w:hAnsi="Calibri"/>
                <w:sz w:val="20"/>
              </w:rPr>
            </w:pPr>
            <w:r w:rsidRPr="00BE2895">
              <w:rPr>
                <w:rFonts w:ascii="Calibri" w:hAnsi="Calibri"/>
                <w:sz w:val="20"/>
              </w:rPr>
              <w:t>Indicator</w:t>
            </w:r>
          </w:p>
        </w:tc>
        <w:tc>
          <w:tcPr>
            <w:tcW w:w="947" w:type="dxa"/>
            <w:vAlign w:val="center"/>
          </w:tcPr>
          <w:p w14:paraId="25C2D651" w14:textId="73FC794E" w:rsidR="00256555" w:rsidRPr="00BE2895"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Most recent</w:t>
            </w:r>
          </w:p>
        </w:tc>
        <w:tc>
          <w:tcPr>
            <w:tcW w:w="1283" w:type="dxa"/>
            <w:vAlign w:val="center"/>
          </w:tcPr>
          <w:p w14:paraId="3EA49D25" w14:textId="5950E1BF" w:rsidR="00256555" w:rsidRPr="00BE2895"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Pr>
                <w:rFonts w:ascii="Calibri" w:hAnsi="Calibri"/>
                <w:sz w:val="20"/>
              </w:rPr>
              <w:t>Measure</w:t>
            </w:r>
          </w:p>
        </w:tc>
        <w:tc>
          <w:tcPr>
            <w:tcW w:w="1093" w:type="dxa"/>
            <w:vAlign w:val="center"/>
          </w:tcPr>
          <w:p w14:paraId="4C2D655D" w14:textId="57133CBB" w:rsidR="00256555" w:rsidRPr="00BE2895"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Period change</w:t>
            </w:r>
            <w:r w:rsidRPr="00BE2895">
              <w:rPr>
                <w:rFonts w:ascii="Calibri" w:hAnsi="Calibri" w:cs="Calibri"/>
                <w:sz w:val="20"/>
              </w:rPr>
              <w:t>¹</w:t>
            </w:r>
          </w:p>
        </w:tc>
        <w:tc>
          <w:tcPr>
            <w:tcW w:w="1086" w:type="dxa"/>
            <w:vAlign w:val="center"/>
          </w:tcPr>
          <w:p w14:paraId="04968139" w14:textId="634C5104" w:rsidR="00256555" w:rsidRPr="00BE2895"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Annual change</w:t>
            </w:r>
            <w:r w:rsidRPr="00BE2895">
              <w:rPr>
                <w:rFonts w:ascii="Calibri" w:hAnsi="Calibri" w:cs="Calibri"/>
                <w:sz w:val="20"/>
                <w:vertAlign w:val="superscript"/>
              </w:rPr>
              <w:t>2</w:t>
            </w:r>
          </w:p>
        </w:tc>
        <w:tc>
          <w:tcPr>
            <w:tcW w:w="1065" w:type="dxa"/>
            <w:vAlign w:val="center"/>
          </w:tcPr>
          <w:p w14:paraId="1CE8126B" w14:textId="304BDACD" w:rsidR="00256555" w:rsidRPr="00BE2895"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Year on Year</w:t>
            </w:r>
            <w:r w:rsidRPr="00BE2895">
              <w:rPr>
                <w:rFonts w:ascii="Calibri" w:hAnsi="Calibri" w:cs="Calibri"/>
                <w:sz w:val="20"/>
                <w:vertAlign w:val="superscript"/>
              </w:rPr>
              <w:t>3</w:t>
            </w:r>
          </w:p>
        </w:tc>
        <w:tc>
          <w:tcPr>
            <w:tcW w:w="1448" w:type="dxa"/>
            <w:vAlign w:val="center"/>
          </w:tcPr>
          <w:p w14:paraId="0E175AE1" w14:textId="015B8DC9" w:rsidR="00256555" w:rsidRPr="00BE2895" w:rsidRDefault="00256555" w:rsidP="00256555">
            <w:pPr>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sz w:val="20"/>
              </w:rPr>
            </w:pPr>
            <w:r w:rsidRPr="00BE2895">
              <w:rPr>
                <w:rFonts w:ascii="Calibri" w:hAnsi="Calibri"/>
                <w:sz w:val="20"/>
              </w:rPr>
              <w:t>COVID period change</w:t>
            </w:r>
            <w:r w:rsidRPr="00BE2895">
              <w:rPr>
                <w:rFonts w:ascii="Calibri" w:hAnsi="Calibri"/>
                <w:sz w:val="20"/>
                <w:vertAlign w:val="superscript"/>
              </w:rPr>
              <w:t>4</w:t>
            </w:r>
          </w:p>
        </w:tc>
      </w:tr>
      <w:tr w:rsidR="00B243D8" w:rsidRPr="00797CA2" w14:paraId="62B537C3"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D9D9D9" w:themeFill="background1" w:themeFillShade="D9"/>
            <w:vAlign w:val="center"/>
          </w:tcPr>
          <w:p w14:paraId="55CED3CB" w14:textId="77777777" w:rsidR="004F7E54" w:rsidRPr="00256555" w:rsidRDefault="004F7E54" w:rsidP="00256555">
            <w:pPr>
              <w:spacing w:before="0" w:after="0"/>
              <w:rPr>
                <w:rFonts w:ascii="Calibri" w:hAnsi="Calibri"/>
                <w:b/>
                <w:sz w:val="20"/>
              </w:rPr>
            </w:pPr>
            <w:r w:rsidRPr="00256555">
              <w:rPr>
                <w:rFonts w:ascii="Calibri" w:hAnsi="Calibri"/>
                <w:b/>
                <w:sz w:val="20"/>
              </w:rPr>
              <w:t>Economic Growth</w:t>
            </w:r>
          </w:p>
        </w:tc>
        <w:tc>
          <w:tcPr>
            <w:tcW w:w="947" w:type="dxa"/>
            <w:shd w:val="clear" w:color="auto" w:fill="D9D9D9" w:themeFill="background1" w:themeFillShade="D9"/>
          </w:tcPr>
          <w:p w14:paraId="7A9FFAE5" w14:textId="77777777" w:rsidR="004F7E54" w:rsidRPr="00256555" w:rsidRDefault="004F7E5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83" w:type="dxa"/>
            <w:shd w:val="clear" w:color="auto" w:fill="D9D9D9" w:themeFill="background1" w:themeFillShade="D9"/>
          </w:tcPr>
          <w:p w14:paraId="66690F76" w14:textId="00F51519" w:rsidR="004F7E54" w:rsidRPr="00256555" w:rsidRDefault="001E6821"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rPr>
            </w:pPr>
            <w:r w:rsidRPr="00256555">
              <w:rPr>
                <w:rFonts w:ascii="Calibri" w:hAnsi="Calibri" w:cs="Calibri"/>
                <w:b/>
                <w:color w:val="000000"/>
                <w:sz w:val="20"/>
              </w:rPr>
              <w:t>$B</w:t>
            </w:r>
          </w:p>
        </w:tc>
        <w:tc>
          <w:tcPr>
            <w:tcW w:w="1093" w:type="dxa"/>
            <w:shd w:val="clear" w:color="auto" w:fill="D9D9D9" w:themeFill="background1" w:themeFillShade="D9"/>
          </w:tcPr>
          <w:p w14:paraId="67830DD6" w14:textId="77777777" w:rsidR="004F7E54" w:rsidRPr="00256555"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86" w:type="dxa"/>
            <w:shd w:val="clear" w:color="auto" w:fill="D9D9D9" w:themeFill="background1" w:themeFillShade="D9"/>
          </w:tcPr>
          <w:p w14:paraId="29B6C121" w14:textId="77777777" w:rsidR="004F7E54" w:rsidRPr="00256555"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65" w:type="dxa"/>
            <w:shd w:val="clear" w:color="auto" w:fill="D9D9D9" w:themeFill="background1" w:themeFillShade="D9"/>
          </w:tcPr>
          <w:p w14:paraId="631BE887" w14:textId="77777777" w:rsidR="004F7E54" w:rsidRPr="00256555"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448" w:type="dxa"/>
            <w:shd w:val="clear" w:color="auto" w:fill="D9D9D9" w:themeFill="background1" w:themeFillShade="D9"/>
            <w:vAlign w:val="center"/>
          </w:tcPr>
          <w:p w14:paraId="40B45F34" w14:textId="77777777" w:rsidR="004F7E54" w:rsidRPr="00256555" w:rsidRDefault="004F7E5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r>
      <w:tr w:rsidR="00B243D8" w:rsidRPr="00797CA2" w14:paraId="2FE16DFB"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5D2926EE" w14:textId="77777777" w:rsidR="00C54EB6" w:rsidRPr="00256555" w:rsidRDefault="00C54EB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State final demand (NT) (sa)</w:t>
            </w:r>
          </w:p>
        </w:tc>
        <w:tc>
          <w:tcPr>
            <w:tcW w:w="947" w:type="dxa"/>
            <w:shd w:val="clear" w:color="auto" w:fill="auto"/>
            <w:vAlign w:val="center"/>
          </w:tcPr>
          <w:p w14:paraId="0EC7524E" w14:textId="1D54482B" w:rsidR="00C54EB6" w:rsidRPr="00256555" w:rsidRDefault="00F476B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F96702" w:rsidRPr="00256555">
              <w:rPr>
                <w:rFonts w:ascii="Calibri" w:hAnsi="Calibri" w:cs="Calibri"/>
                <w:color w:val="000000"/>
                <w:sz w:val="20"/>
              </w:rPr>
              <w:t>-23</w:t>
            </w:r>
          </w:p>
        </w:tc>
        <w:tc>
          <w:tcPr>
            <w:tcW w:w="1283" w:type="dxa"/>
            <w:shd w:val="clear" w:color="auto" w:fill="auto"/>
            <w:vAlign w:val="center"/>
          </w:tcPr>
          <w:p w14:paraId="0FAD25A6" w14:textId="51CDA0CA" w:rsidR="00C54EB6" w:rsidRPr="00256555" w:rsidRDefault="00ED1EB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7.695</w:t>
            </w:r>
          </w:p>
        </w:tc>
        <w:tc>
          <w:tcPr>
            <w:tcW w:w="1093" w:type="dxa"/>
            <w:shd w:val="clear" w:color="auto" w:fill="auto"/>
            <w:vAlign w:val="center"/>
          </w:tcPr>
          <w:p w14:paraId="008A0456" w14:textId="36330293" w:rsidR="00C54EB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w:t>
            </w:r>
            <w:r w:rsidR="00CF1103" w:rsidRPr="00256555">
              <w:rPr>
                <w:rFonts w:ascii="Calibri" w:hAnsi="Calibri" w:cs="Calibri"/>
                <w:color w:val="000000"/>
                <w:sz w:val="20"/>
              </w:rPr>
              <w:t>%</w:t>
            </w:r>
          </w:p>
        </w:tc>
        <w:tc>
          <w:tcPr>
            <w:tcW w:w="1086" w:type="dxa"/>
            <w:shd w:val="clear" w:color="auto" w:fill="auto"/>
            <w:vAlign w:val="center"/>
          </w:tcPr>
          <w:p w14:paraId="49D4FF1B" w14:textId="25D7AC98" w:rsidR="00C54EB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3.6</w:t>
            </w:r>
            <w:r w:rsidR="00CF1103" w:rsidRPr="00256555">
              <w:rPr>
                <w:rFonts w:ascii="Calibri" w:hAnsi="Calibri" w:cs="Calibri"/>
                <w:color w:val="000000"/>
                <w:sz w:val="20"/>
              </w:rPr>
              <w:t>%</w:t>
            </w:r>
          </w:p>
        </w:tc>
        <w:tc>
          <w:tcPr>
            <w:tcW w:w="1065" w:type="dxa"/>
            <w:shd w:val="clear" w:color="auto" w:fill="auto"/>
            <w:vAlign w:val="center"/>
          </w:tcPr>
          <w:p w14:paraId="0B4B7A91" w14:textId="5A33ED34" w:rsidR="00C54EB6" w:rsidRPr="00256555" w:rsidRDefault="00E00EC5"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ED1EB8" w:rsidRPr="00256555">
              <w:rPr>
                <w:rFonts w:ascii="Calibri" w:hAnsi="Calibri" w:cs="Calibri"/>
                <w:color w:val="000000"/>
                <w:sz w:val="20"/>
              </w:rPr>
              <w:t>5</w:t>
            </w:r>
            <w:r w:rsidRPr="00256555">
              <w:rPr>
                <w:rFonts w:ascii="Calibri" w:hAnsi="Calibri" w:cs="Calibri"/>
                <w:color w:val="000000"/>
                <w:sz w:val="20"/>
              </w:rPr>
              <w:t>%</w:t>
            </w:r>
          </w:p>
        </w:tc>
        <w:tc>
          <w:tcPr>
            <w:tcW w:w="1448" w:type="dxa"/>
            <w:shd w:val="clear" w:color="auto" w:fill="auto"/>
            <w:vAlign w:val="center"/>
          </w:tcPr>
          <w:p w14:paraId="69A9BDC0" w14:textId="1DF3F544" w:rsidR="00C54EB6" w:rsidRPr="00256555" w:rsidRDefault="000C344D"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ED1EB8" w:rsidRPr="00256555">
              <w:rPr>
                <w:rFonts w:ascii="Calibri" w:hAnsi="Calibri" w:cs="Calibri"/>
                <w:color w:val="000000"/>
                <w:sz w:val="20"/>
              </w:rPr>
              <w:t>6</w:t>
            </w:r>
            <w:r w:rsidRPr="00256555">
              <w:rPr>
                <w:rFonts w:ascii="Calibri" w:hAnsi="Calibri" w:cs="Calibri"/>
                <w:color w:val="000000"/>
                <w:sz w:val="20"/>
              </w:rPr>
              <w:t>.</w:t>
            </w:r>
            <w:r w:rsidR="00ED1EB8" w:rsidRPr="00256555">
              <w:rPr>
                <w:rFonts w:ascii="Calibri" w:hAnsi="Calibri" w:cs="Calibri"/>
                <w:color w:val="000000"/>
                <w:sz w:val="20"/>
              </w:rPr>
              <w:t>2</w:t>
            </w:r>
            <w:r w:rsidR="00CF1103" w:rsidRPr="00256555">
              <w:rPr>
                <w:rFonts w:ascii="Calibri" w:hAnsi="Calibri" w:cs="Calibri"/>
                <w:color w:val="000000"/>
                <w:sz w:val="20"/>
              </w:rPr>
              <w:t>%</w:t>
            </w:r>
          </w:p>
        </w:tc>
      </w:tr>
      <w:tr w:rsidR="00797CA2" w:rsidRPr="00797CA2" w14:paraId="27904C02"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4F877EFE" w14:textId="0325755D" w:rsidR="00DC1968" w:rsidRPr="00256555" w:rsidRDefault="00DC1968"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ab/>
              <w:t>Consumption</w:t>
            </w:r>
          </w:p>
        </w:tc>
        <w:tc>
          <w:tcPr>
            <w:tcW w:w="947" w:type="dxa"/>
            <w:shd w:val="clear" w:color="auto" w:fill="F2F2F2" w:themeFill="background1" w:themeFillShade="F2"/>
            <w:vAlign w:val="center"/>
          </w:tcPr>
          <w:p w14:paraId="1C1FB091" w14:textId="77777777" w:rsidR="00DC1968" w:rsidRPr="00256555" w:rsidRDefault="00DC196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83" w:type="dxa"/>
            <w:shd w:val="clear" w:color="auto" w:fill="F2F2F2" w:themeFill="background1" w:themeFillShade="F2"/>
            <w:vAlign w:val="center"/>
          </w:tcPr>
          <w:p w14:paraId="06C5596F" w14:textId="1210A4B4" w:rsidR="00DC1968" w:rsidRPr="00256555" w:rsidDel="001E6821" w:rsidRDefault="00934BDD"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5.</w:t>
            </w:r>
            <w:r w:rsidR="00ED1EB8" w:rsidRPr="00256555">
              <w:rPr>
                <w:rFonts w:ascii="Calibri" w:hAnsi="Calibri" w:cs="Calibri"/>
                <w:color w:val="000000"/>
                <w:sz w:val="20"/>
              </w:rPr>
              <w:t>605</w:t>
            </w:r>
          </w:p>
        </w:tc>
        <w:tc>
          <w:tcPr>
            <w:tcW w:w="1093" w:type="dxa"/>
            <w:shd w:val="clear" w:color="auto" w:fill="F2F2F2" w:themeFill="background1" w:themeFillShade="F2"/>
            <w:vAlign w:val="center"/>
          </w:tcPr>
          <w:p w14:paraId="5C04B7FC" w14:textId="1C2B562D" w:rsidR="00DC1968" w:rsidRPr="00256555" w:rsidRDefault="00ED1EB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0.1</w:t>
            </w:r>
            <w:r w:rsidR="00CF1103" w:rsidRPr="00256555">
              <w:rPr>
                <w:rFonts w:ascii="Calibri" w:hAnsi="Calibri" w:cs="Calibri"/>
                <w:color w:val="000000"/>
                <w:sz w:val="20"/>
              </w:rPr>
              <w:t>%</w:t>
            </w:r>
          </w:p>
        </w:tc>
        <w:tc>
          <w:tcPr>
            <w:tcW w:w="1086" w:type="dxa"/>
            <w:shd w:val="clear" w:color="auto" w:fill="F2F2F2" w:themeFill="background1" w:themeFillShade="F2"/>
            <w:vAlign w:val="center"/>
          </w:tcPr>
          <w:p w14:paraId="3C133562" w14:textId="21C6126B" w:rsidR="00DC1968" w:rsidRPr="00256555" w:rsidRDefault="00ED1EB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1.4</w:t>
            </w:r>
            <w:r w:rsidR="00CF1103" w:rsidRPr="00256555">
              <w:rPr>
                <w:rFonts w:ascii="Calibri" w:hAnsi="Calibri" w:cs="Calibri"/>
                <w:color w:val="000000"/>
                <w:sz w:val="20"/>
              </w:rPr>
              <w:t>%</w:t>
            </w:r>
          </w:p>
        </w:tc>
        <w:tc>
          <w:tcPr>
            <w:tcW w:w="1065" w:type="dxa"/>
            <w:shd w:val="clear" w:color="auto" w:fill="F2F2F2" w:themeFill="background1" w:themeFillShade="F2"/>
            <w:vAlign w:val="center"/>
          </w:tcPr>
          <w:p w14:paraId="47F3CD96" w14:textId="13A7A1E8" w:rsidR="00DC1968" w:rsidRPr="00256555" w:rsidRDefault="00E00EC5"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ED1EB8" w:rsidRPr="00256555">
              <w:rPr>
                <w:rFonts w:ascii="Calibri" w:hAnsi="Calibri" w:cs="Calibri"/>
                <w:color w:val="000000"/>
                <w:sz w:val="20"/>
              </w:rPr>
              <w:t>8</w:t>
            </w:r>
            <w:r w:rsidR="00CF1103" w:rsidRPr="00256555">
              <w:rPr>
                <w:rFonts w:ascii="Calibri" w:hAnsi="Calibri" w:cs="Calibri"/>
                <w:color w:val="000000"/>
                <w:sz w:val="20"/>
              </w:rPr>
              <w:t>%</w:t>
            </w:r>
          </w:p>
        </w:tc>
        <w:tc>
          <w:tcPr>
            <w:tcW w:w="1448" w:type="dxa"/>
            <w:shd w:val="clear" w:color="auto" w:fill="F2F2F2" w:themeFill="background1" w:themeFillShade="F2"/>
            <w:vAlign w:val="center"/>
          </w:tcPr>
          <w:p w14:paraId="6F22DD4A" w14:textId="578B914F" w:rsidR="00DC1968" w:rsidRPr="00256555" w:rsidRDefault="00F96702"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9.3</w:t>
            </w:r>
            <w:r w:rsidR="00CF1103" w:rsidRPr="00256555">
              <w:rPr>
                <w:rFonts w:ascii="Calibri" w:hAnsi="Calibri" w:cs="Calibri"/>
                <w:color w:val="000000"/>
                <w:sz w:val="20"/>
              </w:rPr>
              <w:t>%</w:t>
            </w:r>
          </w:p>
        </w:tc>
      </w:tr>
      <w:tr w:rsidR="00797CA2" w:rsidRPr="00797CA2" w14:paraId="6680B6F8"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065B31C0" w14:textId="15F973DF" w:rsidR="001E6821" w:rsidRPr="00256555" w:rsidRDefault="00DC1968"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ab/>
              <w:t>Investment</w:t>
            </w:r>
          </w:p>
        </w:tc>
        <w:tc>
          <w:tcPr>
            <w:tcW w:w="947" w:type="dxa"/>
            <w:shd w:val="clear" w:color="auto" w:fill="F2F2F2" w:themeFill="background1" w:themeFillShade="F2"/>
            <w:vAlign w:val="center"/>
          </w:tcPr>
          <w:p w14:paraId="739057E8" w14:textId="77777777" w:rsidR="001E6821" w:rsidRPr="00256555" w:rsidRDefault="001E6821"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83" w:type="dxa"/>
            <w:shd w:val="clear" w:color="auto" w:fill="F2F2F2" w:themeFill="background1" w:themeFillShade="F2"/>
            <w:vAlign w:val="center"/>
          </w:tcPr>
          <w:p w14:paraId="0389523A" w14:textId="49AEAEB9" w:rsidR="001E6821" w:rsidRPr="00256555" w:rsidDel="001E6821" w:rsidRDefault="00ED1EB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2.09</w:t>
            </w:r>
          </w:p>
        </w:tc>
        <w:tc>
          <w:tcPr>
            <w:tcW w:w="1093" w:type="dxa"/>
            <w:shd w:val="clear" w:color="auto" w:fill="F2F2F2" w:themeFill="background1" w:themeFillShade="F2"/>
            <w:vAlign w:val="center"/>
          </w:tcPr>
          <w:p w14:paraId="462420C2" w14:textId="7D50209E" w:rsidR="001E6821"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11.5</w:t>
            </w:r>
            <w:r w:rsidR="00CF1103" w:rsidRPr="00256555">
              <w:rPr>
                <w:rFonts w:ascii="Calibri" w:hAnsi="Calibri" w:cs="Calibri"/>
                <w:color w:val="000000"/>
                <w:sz w:val="20"/>
              </w:rPr>
              <w:t>%</w:t>
            </w:r>
          </w:p>
        </w:tc>
        <w:tc>
          <w:tcPr>
            <w:tcW w:w="1086" w:type="dxa"/>
            <w:shd w:val="clear" w:color="auto" w:fill="F2F2F2" w:themeFill="background1" w:themeFillShade="F2"/>
            <w:vAlign w:val="center"/>
          </w:tcPr>
          <w:p w14:paraId="73099A53" w14:textId="20263156" w:rsidR="001E6821"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10.1</w:t>
            </w:r>
            <w:r w:rsidR="00CF1103" w:rsidRPr="00256555">
              <w:rPr>
                <w:rFonts w:ascii="Calibri" w:hAnsi="Calibri" w:cs="Calibri"/>
                <w:color w:val="000000"/>
                <w:sz w:val="20"/>
              </w:rPr>
              <w:t>%</w:t>
            </w:r>
          </w:p>
        </w:tc>
        <w:tc>
          <w:tcPr>
            <w:tcW w:w="1065" w:type="dxa"/>
            <w:shd w:val="clear" w:color="auto" w:fill="F2F2F2" w:themeFill="background1" w:themeFillShade="F2"/>
            <w:vAlign w:val="center"/>
          </w:tcPr>
          <w:p w14:paraId="527258EA" w14:textId="14173EA5" w:rsidR="001E6821"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3.4</w:t>
            </w:r>
            <w:r w:rsidR="00CF1103" w:rsidRPr="00256555">
              <w:rPr>
                <w:rFonts w:ascii="Calibri" w:hAnsi="Calibri" w:cs="Calibri"/>
                <w:color w:val="000000"/>
                <w:sz w:val="20"/>
              </w:rPr>
              <w:t>%</w:t>
            </w:r>
          </w:p>
        </w:tc>
        <w:tc>
          <w:tcPr>
            <w:tcW w:w="1448" w:type="dxa"/>
            <w:shd w:val="clear" w:color="auto" w:fill="F2F2F2" w:themeFill="background1" w:themeFillShade="F2"/>
            <w:vAlign w:val="center"/>
          </w:tcPr>
          <w:p w14:paraId="07C9DF1B" w14:textId="51119BFE" w:rsidR="001E6821" w:rsidRPr="00256555" w:rsidRDefault="00ED1EB8"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39.5</w:t>
            </w:r>
            <w:r w:rsidR="00CF1103" w:rsidRPr="00256555">
              <w:rPr>
                <w:rFonts w:ascii="Calibri" w:hAnsi="Calibri" w:cs="Calibri"/>
                <w:color w:val="000000"/>
                <w:sz w:val="20"/>
              </w:rPr>
              <w:t>%</w:t>
            </w:r>
          </w:p>
        </w:tc>
      </w:tr>
      <w:tr w:rsidR="00B243D8" w:rsidRPr="00797CA2" w14:paraId="228BC082"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644F9FE" w14:textId="77777777" w:rsidR="00C54EB6" w:rsidRPr="00256555" w:rsidRDefault="00C54EB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Domestic final demand (Aus) (sa)</w:t>
            </w:r>
          </w:p>
        </w:tc>
        <w:tc>
          <w:tcPr>
            <w:tcW w:w="947" w:type="dxa"/>
            <w:vAlign w:val="center"/>
          </w:tcPr>
          <w:p w14:paraId="4F376DDF" w14:textId="76016DFE" w:rsidR="00C54EB6" w:rsidRPr="00256555" w:rsidRDefault="00F476B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CF1103" w:rsidRPr="00256555">
              <w:rPr>
                <w:rFonts w:ascii="Calibri" w:hAnsi="Calibri" w:cs="Calibri"/>
                <w:color w:val="000000"/>
                <w:sz w:val="20"/>
              </w:rPr>
              <w:t>-23</w:t>
            </w:r>
          </w:p>
        </w:tc>
        <w:tc>
          <w:tcPr>
            <w:tcW w:w="1283" w:type="dxa"/>
            <w:vAlign w:val="center"/>
          </w:tcPr>
          <w:p w14:paraId="1C7EF3BB" w14:textId="538CB982" w:rsidR="00C54EB6" w:rsidRPr="00256555" w:rsidRDefault="00CF1103"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5</w:t>
            </w:r>
            <w:r w:rsidR="00F96702" w:rsidRPr="00256555">
              <w:rPr>
                <w:rFonts w:ascii="Calibri" w:hAnsi="Calibri" w:cs="Calibri"/>
                <w:color w:val="000000"/>
                <w:sz w:val="20"/>
              </w:rPr>
              <w:t>7</w:t>
            </w:r>
            <w:r w:rsidR="00ED1EB8" w:rsidRPr="00256555">
              <w:rPr>
                <w:rFonts w:ascii="Calibri" w:hAnsi="Calibri" w:cs="Calibri"/>
                <w:color w:val="000000"/>
                <w:sz w:val="20"/>
              </w:rPr>
              <w:t>6.654</w:t>
            </w:r>
          </w:p>
        </w:tc>
        <w:tc>
          <w:tcPr>
            <w:tcW w:w="1093" w:type="dxa"/>
            <w:vAlign w:val="center"/>
          </w:tcPr>
          <w:p w14:paraId="4D59201A" w14:textId="7ED60C73" w:rsidR="00C54EB6" w:rsidRPr="00256555" w:rsidRDefault="00CF1103"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ED1EB8" w:rsidRPr="00256555">
              <w:rPr>
                <w:rFonts w:ascii="Calibri" w:hAnsi="Calibri" w:cs="Calibri"/>
                <w:color w:val="000000"/>
                <w:sz w:val="20"/>
              </w:rPr>
              <w:t>1</w:t>
            </w:r>
            <w:r w:rsidRPr="00256555">
              <w:rPr>
                <w:rFonts w:ascii="Calibri" w:hAnsi="Calibri" w:cs="Calibri"/>
                <w:color w:val="000000"/>
                <w:sz w:val="20"/>
              </w:rPr>
              <w:t>%</w:t>
            </w:r>
          </w:p>
        </w:tc>
        <w:tc>
          <w:tcPr>
            <w:tcW w:w="1086" w:type="dxa"/>
            <w:vAlign w:val="center"/>
          </w:tcPr>
          <w:p w14:paraId="6F31771C" w14:textId="46519CA7" w:rsidR="00C54EB6" w:rsidRPr="00256555" w:rsidRDefault="00CF1103"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ED1EB8" w:rsidRPr="00256555">
              <w:rPr>
                <w:rFonts w:ascii="Calibri" w:hAnsi="Calibri" w:cs="Calibri"/>
                <w:color w:val="000000"/>
                <w:sz w:val="20"/>
              </w:rPr>
              <w:t>3</w:t>
            </w:r>
            <w:r w:rsidRPr="00256555">
              <w:rPr>
                <w:rFonts w:ascii="Calibri" w:hAnsi="Calibri" w:cs="Calibri"/>
                <w:color w:val="000000"/>
                <w:sz w:val="20"/>
              </w:rPr>
              <w:t>%</w:t>
            </w:r>
          </w:p>
        </w:tc>
        <w:tc>
          <w:tcPr>
            <w:tcW w:w="1065" w:type="dxa"/>
            <w:vAlign w:val="center"/>
          </w:tcPr>
          <w:p w14:paraId="57B35C11" w14:textId="3CA7942B" w:rsidR="00C54EB6" w:rsidRPr="00256555" w:rsidRDefault="00F96702"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ED1EB8" w:rsidRPr="00256555">
              <w:rPr>
                <w:rFonts w:ascii="Calibri" w:hAnsi="Calibri" w:cs="Calibri"/>
                <w:color w:val="000000"/>
                <w:sz w:val="20"/>
              </w:rPr>
              <w:t>3</w:t>
            </w:r>
            <w:r w:rsidR="00CF1103" w:rsidRPr="00256555">
              <w:rPr>
                <w:rFonts w:ascii="Calibri" w:hAnsi="Calibri" w:cs="Calibri"/>
                <w:color w:val="000000"/>
                <w:sz w:val="20"/>
              </w:rPr>
              <w:t>%</w:t>
            </w:r>
          </w:p>
        </w:tc>
        <w:tc>
          <w:tcPr>
            <w:tcW w:w="1448" w:type="dxa"/>
            <w:vAlign w:val="center"/>
          </w:tcPr>
          <w:p w14:paraId="16DFCB6D" w14:textId="65655B77" w:rsidR="00C54EB6" w:rsidRPr="00256555" w:rsidRDefault="000C344D"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ED1EB8" w:rsidRPr="00256555">
              <w:rPr>
                <w:rFonts w:ascii="Calibri" w:hAnsi="Calibri" w:cs="Calibri"/>
                <w:color w:val="000000"/>
                <w:sz w:val="20"/>
              </w:rPr>
              <w:t>2.1</w:t>
            </w:r>
            <w:r w:rsidR="00CF1103" w:rsidRPr="00256555">
              <w:rPr>
                <w:rFonts w:ascii="Calibri" w:hAnsi="Calibri" w:cs="Calibri"/>
                <w:color w:val="000000"/>
                <w:sz w:val="20"/>
              </w:rPr>
              <w:t>%</w:t>
            </w:r>
          </w:p>
        </w:tc>
      </w:tr>
      <w:tr w:rsidR="00797CA2" w:rsidRPr="00797CA2" w14:paraId="3BF346B9"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62E3F11E" w14:textId="77777777" w:rsidR="00DC1968" w:rsidRPr="00256555" w:rsidRDefault="00DC1968"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ab/>
              <w:t>Consumption</w:t>
            </w:r>
          </w:p>
        </w:tc>
        <w:tc>
          <w:tcPr>
            <w:tcW w:w="947" w:type="dxa"/>
            <w:shd w:val="clear" w:color="auto" w:fill="F2F2F2" w:themeFill="background1" w:themeFillShade="F2"/>
            <w:vAlign w:val="center"/>
          </w:tcPr>
          <w:p w14:paraId="5DA6044F" w14:textId="77777777" w:rsidR="00DC1968" w:rsidRPr="00256555" w:rsidRDefault="00DC1968"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83" w:type="dxa"/>
            <w:shd w:val="clear" w:color="auto" w:fill="F2F2F2" w:themeFill="background1" w:themeFillShade="F2"/>
            <w:vAlign w:val="center"/>
          </w:tcPr>
          <w:p w14:paraId="45002091" w14:textId="7E4A72AA" w:rsidR="00DC1968" w:rsidRPr="00256555" w:rsidDel="001E6821" w:rsidRDefault="00CF1103"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w:t>
            </w:r>
            <w:r w:rsidR="00ED1EB8" w:rsidRPr="00256555">
              <w:rPr>
                <w:rFonts w:ascii="Calibri" w:hAnsi="Calibri" w:cs="Calibri"/>
                <w:color w:val="000000"/>
                <w:sz w:val="20"/>
              </w:rPr>
              <w:t>32</w:t>
            </w:r>
            <w:r w:rsidRPr="00256555">
              <w:rPr>
                <w:rFonts w:ascii="Calibri" w:hAnsi="Calibri" w:cs="Calibri"/>
                <w:color w:val="000000"/>
                <w:sz w:val="20"/>
              </w:rPr>
              <w:t>.</w:t>
            </w:r>
            <w:r w:rsidR="00ED1EB8" w:rsidRPr="00256555">
              <w:rPr>
                <w:rFonts w:ascii="Calibri" w:hAnsi="Calibri" w:cs="Calibri"/>
                <w:color w:val="000000"/>
                <w:sz w:val="20"/>
              </w:rPr>
              <w:t>312</w:t>
            </w:r>
          </w:p>
        </w:tc>
        <w:tc>
          <w:tcPr>
            <w:tcW w:w="1093" w:type="dxa"/>
            <w:shd w:val="clear" w:color="auto" w:fill="F2F2F2" w:themeFill="background1" w:themeFillShade="F2"/>
            <w:vAlign w:val="center"/>
          </w:tcPr>
          <w:p w14:paraId="30EE3AA9" w14:textId="5A77AD6C" w:rsidR="00DC1968" w:rsidRPr="00256555" w:rsidRDefault="00CF1103"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ED1EB8" w:rsidRPr="00256555">
              <w:rPr>
                <w:rFonts w:ascii="Calibri" w:hAnsi="Calibri" w:cs="Calibri"/>
                <w:color w:val="000000"/>
                <w:sz w:val="20"/>
              </w:rPr>
              <w:t>2</w:t>
            </w:r>
            <w:r w:rsidRPr="00256555">
              <w:rPr>
                <w:rFonts w:ascii="Calibri" w:hAnsi="Calibri" w:cs="Calibri"/>
                <w:color w:val="000000"/>
                <w:sz w:val="20"/>
              </w:rPr>
              <w:t>%</w:t>
            </w:r>
          </w:p>
        </w:tc>
        <w:tc>
          <w:tcPr>
            <w:tcW w:w="1086" w:type="dxa"/>
            <w:shd w:val="clear" w:color="auto" w:fill="F2F2F2" w:themeFill="background1" w:themeFillShade="F2"/>
            <w:vAlign w:val="center"/>
          </w:tcPr>
          <w:p w14:paraId="3E4D3305" w14:textId="595CF39B" w:rsidR="00DC1968"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0.9</w:t>
            </w:r>
            <w:r w:rsidR="00CF1103" w:rsidRPr="00256555">
              <w:rPr>
                <w:rFonts w:ascii="Calibri" w:hAnsi="Calibri" w:cs="Calibri"/>
                <w:color w:val="000000"/>
                <w:sz w:val="20"/>
              </w:rPr>
              <w:t>%</w:t>
            </w:r>
          </w:p>
        </w:tc>
        <w:tc>
          <w:tcPr>
            <w:tcW w:w="1065" w:type="dxa"/>
            <w:shd w:val="clear" w:color="auto" w:fill="F2F2F2" w:themeFill="background1" w:themeFillShade="F2"/>
            <w:vAlign w:val="center"/>
          </w:tcPr>
          <w:p w14:paraId="32AB278D" w14:textId="40E73E4F" w:rsidR="00DC1968"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1.3</w:t>
            </w:r>
            <w:r w:rsidR="00CF1103" w:rsidRPr="00256555">
              <w:rPr>
                <w:rFonts w:ascii="Calibri" w:hAnsi="Calibri" w:cs="Calibri"/>
                <w:color w:val="000000"/>
                <w:sz w:val="20"/>
              </w:rPr>
              <w:t>%</w:t>
            </w:r>
          </w:p>
        </w:tc>
        <w:tc>
          <w:tcPr>
            <w:tcW w:w="1448" w:type="dxa"/>
            <w:shd w:val="clear" w:color="auto" w:fill="F2F2F2" w:themeFill="background1" w:themeFillShade="F2"/>
            <w:vAlign w:val="center"/>
          </w:tcPr>
          <w:p w14:paraId="6B1912CE" w14:textId="66EB889A" w:rsidR="00DC1968" w:rsidRPr="00256555" w:rsidRDefault="000C344D"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10.</w:t>
            </w:r>
            <w:r w:rsidR="00ED1EB8" w:rsidRPr="00256555">
              <w:rPr>
                <w:rFonts w:ascii="Calibri" w:hAnsi="Calibri" w:cs="Calibri"/>
                <w:color w:val="000000"/>
                <w:sz w:val="20"/>
              </w:rPr>
              <w:t>7</w:t>
            </w:r>
            <w:r w:rsidR="00CF1103" w:rsidRPr="00256555">
              <w:rPr>
                <w:rFonts w:ascii="Calibri" w:hAnsi="Calibri" w:cs="Calibri"/>
                <w:color w:val="000000"/>
                <w:sz w:val="20"/>
              </w:rPr>
              <w:t>%</w:t>
            </w:r>
          </w:p>
        </w:tc>
      </w:tr>
      <w:tr w:rsidR="00DC1968" w:rsidRPr="00797CA2" w14:paraId="7216D14E"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F2F2F2" w:themeFill="background1" w:themeFillShade="F2"/>
            <w:vAlign w:val="center"/>
          </w:tcPr>
          <w:p w14:paraId="7EECF19B" w14:textId="77777777" w:rsidR="00DC1968" w:rsidRPr="00256555" w:rsidRDefault="00DC1968"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ab/>
              <w:t>Investment</w:t>
            </w:r>
          </w:p>
        </w:tc>
        <w:tc>
          <w:tcPr>
            <w:tcW w:w="947" w:type="dxa"/>
            <w:shd w:val="clear" w:color="auto" w:fill="F2F2F2" w:themeFill="background1" w:themeFillShade="F2"/>
            <w:vAlign w:val="center"/>
          </w:tcPr>
          <w:p w14:paraId="62FDD5AC" w14:textId="77777777" w:rsidR="00DC1968" w:rsidRPr="00256555" w:rsidRDefault="00DC1968"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83" w:type="dxa"/>
            <w:shd w:val="clear" w:color="auto" w:fill="F2F2F2" w:themeFill="background1" w:themeFillShade="F2"/>
            <w:vAlign w:val="center"/>
          </w:tcPr>
          <w:p w14:paraId="3EFB05D2" w14:textId="63E1D407" w:rsidR="00DC1968" w:rsidRPr="00256555" w:rsidDel="001E6821" w:rsidRDefault="00CF1103"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ED1EB8" w:rsidRPr="00256555">
              <w:rPr>
                <w:rFonts w:ascii="Calibri" w:hAnsi="Calibri" w:cs="Calibri"/>
                <w:color w:val="000000"/>
                <w:sz w:val="20"/>
              </w:rPr>
              <w:t>44</w:t>
            </w:r>
            <w:r w:rsidRPr="00256555">
              <w:rPr>
                <w:rFonts w:ascii="Calibri" w:hAnsi="Calibri" w:cs="Calibri"/>
                <w:color w:val="000000"/>
                <w:sz w:val="20"/>
              </w:rPr>
              <w:t>.</w:t>
            </w:r>
            <w:r w:rsidR="00ED1EB8" w:rsidRPr="00256555">
              <w:rPr>
                <w:rFonts w:ascii="Calibri" w:hAnsi="Calibri" w:cs="Calibri"/>
                <w:color w:val="000000"/>
                <w:sz w:val="20"/>
              </w:rPr>
              <w:t>342</w:t>
            </w:r>
          </w:p>
        </w:tc>
        <w:tc>
          <w:tcPr>
            <w:tcW w:w="1093" w:type="dxa"/>
            <w:shd w:val="clear" w:color="auto" w:fill="F2F2F2" w:themeFill="background1" w:themeFillShade="F2"/>
            <w:vAlign w:val="center"/>
          </w:tcPr>
          <w:p w14:paraId="3F1B1711" w14:textId="39B6C78A" w:rsidR="00DC1968" w:rsidRPr="00256555" w:rsidRDefault="00ED1EB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-0.2</w:t>
            </w:r>
            <w:r w:rsidR="00CF1103" w:rsidRPr="00256555">
              <w:rPr>
                <w:rFonts w:ascii="Calibri" w:hAnsi="Calibri" w:cs="Calibri"/>
                <w:color w:val="000000"/>
                <w:sz w:val="20"/>
              </w:rPr>
              <w:t>%</w:t>
            </w:r>
          </w:p>
        </w:tc>
        <w:tc>
          <w:tcPr>
            <w:tcW w:w="1086" w:type="dxa"/>
            <w:shd w:val="clear" w:color="auto" w:fill="F2F2F2" w:themeFill="background1" w:themeFillShade="F2"/>
            <w:vAlign w:val="center"/>
          </w:tcPr>
          <w:p w14:paraId="0D50AF7C" w14:textId="01D51F4C" w:rsidR="00DC1968" w:rsidRPr="00256555" w:rsidRDefault="00ED1EB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6.7</w:t>
            </w:r>
            <w:r w:rsidR="00CF1103" w:rsidRPr="00256555">
              <w:rPr>
                <w:rFonts w:ascii="Calibri" w:hAnsi="Calibri" w:cs="Calibri"/>
                <w:color w:val="000000"/>
                <w:sz w:val="20"/>
              </w:rPr>
              <w:t>%</w:t>
            </w:r>
          </w:p>
        </w:tc>
        <w:tc>
          <w:tcPr>
            <w:tcW w:w="1065" w:type="dxa"/>
            <w:shd w:val="clear" w:color="auto" w:fill="F2F2F2" w:themeFill="background1" w:themeFillShade="F2"/>
            <w:vAlign w:val="center"/>
          </w:tcPr>
          <w:p w14:paraId="6B68E663" w14:textId="3A1F95FD" w:rsidR="00DC1968" w:rsidRPr="00256555" w:rsidRDefault="00ED1EB8"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5.4</w:t>
            </w:r>
            <w:r w:rsidR="00CF1103" w:rsidRPr="00256555">
              <w:rPr>
                <w:rFonts w:ascii="Calibri" w:hAnsi="Calibri" w:cs="Calibri"/>
                <w:color w:val="000000"/>
                <w:sz w:val="20"/>
              </w:rPr>
              <w:t>%</w:t>
            </w:r>
          </w:p>
        </w:tc>
        <w:tc>
          <w:tcPr>
            <w:tcW w:w="1448" w:type="dxa"/>
            <w:shd w:val="clear" w:color="auto" w:fill="F2F2F2" w:themeFill="background1" w:themeFillShade="F2"/>
            <w:vAlign w:val="center"/>
          </w:tcPr>
          <w:p w14:paraId="325B429A" w14:textId="4DD88C17" w:rsidR="00DC1968" w:rsidRPr="00256555" w:rsidRDefault="00CF1103"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ED1EB8" w:rsidRPr="00256555">
              <w:rPr>
                <w:rFonts w:ascii="Calibri" w:hAnsi="Calibri" w:cs="Calibri"/>
                <w:color w:val="000000"/>
                <w:sz w:val="20"/>
              </w:rPr>
              <w:t>6.5</w:t>
            </w:r>
            <w:r w:rsidRPr="00256555">
              <w:rPr>
                <w:rFonts w:ascii="Calibri" w:hAnsi="Calibri" w:cs="Calibri"/>
                <w:color w:val="000000"/>
                <w:sz w:val="20"/>
              </w:rPr>
              <w:t>%</w:t>
            </w:r>
          </w:p>
        </w:tc>
      </w:tr>
      <w:tr w:rsidR="00B243D8" w:rsidRPr="00797CA2" w14:paraId="34DF0667"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4783A1F0" w14:textId="77777777" w:rsidR="00C54EB6" w:rsidRPr="00256555" w:rsidRDefault="00C54EB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Gross state product (NT)</w:t>
            </w:r>
          </w:p>
        </w:tc>
        <w:tc>
          <w:tcPr>
            <w:tcW w:w="947" w:type="dxa"/>
            <w:shd w:val="clear" w:color="auto" w:fill="auto"/>
            <w:vAlign w:val="center"/>
          </w:tcPr>
          <w:p w14:paraId="1FE84603" w14:textId="64B30DE2" w:rsidR="00C54EB6" w:rsidRPr="00256555" w:rsidRDefault="00CF1103"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202</w:t>
            </w:r>
            <w:r w:rsidR="00F96702" w:rsidRPr="00256555">
              <w:rPr>
                <w:rFonts w:ascii="Calibri" w:hAnsi="Calibri" w:cs="Calibri"/>
                <w:color w:val="000000"/>
                <w:sz w:val="20"/>
              </w:rPr>
              <w:t>2</w:t>
            </w:r>
            <w:r w:rsidRPr="00256555">
              <w:rPr>
                <w:rFonts w:ascii="Calibri" w:hAnsi="Calibri" w:cs="Calibri"/>
                <w:color w:val="000000"/>
                <w:sz w:val="20"/>
              </w:rPr>
              <w:t>-2</w:t>
            </w:r>
            <w:r w:rsidR="00F96702" w:rsidRPr="00256555">
              <w:rPr>
                <w:rFonts w:ascii="Calibri" w:hAnsi="Calibri" w:cs="Calibri"/>
                <w:color w:val="000000"/>
                <w:sz w:val="20"/>
              </w:rPr>
              <w:t>3</w:t>
            </w:r>
          </w:p>
        </w:tc>
        <w:tc>
          <w:tcPr>
            <w:tcW w:w="1283" w:type="dxa"/>
            <w:shd w:val="clear" w:color="auto" w:fill="auto"/>
            <w:vAlign w:val="center"/>
          </w:tcPr>
          <w:p w14:paraId="2CD2A20E" w14:textId="7F104075" w:rsidR="00C54EB6" w:rsidRPr="00256555" w:rsidRDefault="00F96702"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30</w:t>
            </w:r>
            <w:r w:rsidR="00CF1103" w:rsidRPr="00256555">
              <w:rPr>
                <w:rFonts w:ascii="Calibri" w:hAnsi="Calibri" w:cs="Calibri"/>
                <w:color w:val="000000"/>
                <w:sz w:val="20"/>
              </w:rPr>
              <w:t>.</w:t>
            </w:r>
            <w:r w:rsidRPr="00256555">
              <w:rPr>
                <w:rFonts w:ascii="Calibri" w:hAnsi="Calibri" w:cs="Calibri"/>
                <w:color w:val="000000"/>
                <w:sz w:val="20"/>
              </w:rPr>
              <w:t>123</w:t>
            </w:r>
          </w:p>
        </w:tc>
        <w:tc>
          <w:tcPr>
            <w:tcW w:w="1093" w:type="dxa"/>
            <w:shd w:val="clear" w:color="auto" w:fill="auto"/>
            <w:vAlign w:val="center"/>
          </w:tcPr>
          <w:p w14:paraId="279FB912" w14:textId="106AA81F" w:rsidR="00C54EB6" w:rsidRPr="00256555" w:rsidRDefault="00CF1103"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c>
          <w:tcPr>
            <w:tcW w:w="1086" w:type="dxa"/>
            <w:shd w:val="clear" w:color="auto" w:fill="auto"/>
            <w:vAlign w:val="center"/>
          </w:tcPr>
          <w:p w14:paraId="358BB40B" w14:textId="0CB51C8D" w:rsidR="00C54EB6" w:rsidRPr="00256555" w:rsidRDefault="00CF1103"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xml:space="preserve">na </w:t>
            </w:r>
          </w:p>
        </w:tc>
        <w:tc>
          <w:tcPr>
            <w:tcW w:w="1065" w:type="dxa"/>
            <w:shd w:val="clear" w:color="auto" w:fill="auto"/>
            <w:vAlign w:val="center"/>
          </w:tcPr>
          <w:p w14:paraId="4B86CEEE" w14:textId="7CC67EE7" w:rsidR="00C54EB6" w:rsidRPr="00256555" w:rsidRDefault="00F96702"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-5.2</w:t>
            </w:r>
            <w:r w:rsidR="00CF1103" w:rsidRPr="00256555">
              <w:rPr>
                <w:rFonts w:ascii="Calibri" w:hAnsi="Calibri" w:cs="Calibri"/>
                <w:color w:val="000000"/>
                <w:sz w:val="20"/>
              </w:rPr>
              <w:t>%</w:t>
            </w:r>
          </w:p>
        </w:tc>
        <w:tc>
          <w:tcPr>
            <w:tcW w:w="1448" w:type="dxa"/>
            <w:shd w:val="clear" w:color="auto" w:fill="auto"/>
            <w:vAlign w:val="center"/>
          </w:tcPr>
          <w:p w14:paraId="0DBD5E80" w14:textId="3A7EEBCA" w:rsidR="00C54EB6" w:rsidRPr="00256555" w:rsidRDefault="00CF1103"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xml:space="preserve">na </w:t>
            </w:r>
          </w:p>
        </w:tc>
      </w:tr>
      <w:tr w:rsidR="00B243D8" w:rsidRPr="00797CA2" w14:paraId="6954DEE5"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B057635" w14:textId="4A126B58" w:rsidR="00937C11" w:rsidRPr="00256555" w:rsidRDefault="00720F4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Gross domestic product (Aus</w:t>
            </w:r>
            <w:r w:rsidR="00937C11" w:rsidRPr="00256555">
              <w:rPr>
                <w:rFonts w:ascii="Calibri" w:hAnsi="Calibri" w:cs="Calibri"/>
                <w:iCs/>
                <w:color w:val="000000"/>
                <w:sz w:val="20"/>
              </w:rPr>
              <w:t>)</w:t>
            </w:r>
          </w:p>
        </w:tc>
        <w:tc>
          <w:tcPr>
            <w:tcW w:w="947" w:type="dxa"/>
            <w:vAlign w:val="center"/>
          </w:tcPr>
          <w:p w14:paraId="4B94B275" w14:textId="242A7A35" w:rsidR="00937C11" w:rsidRPr="00256555" w:rsidRDefault="00934BDD"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2022-23</w:t>
            </w:r>
          </w:p>
        </w:tc>
        <w:tc>
          <w:tcPr>
            <w:tcW w:w="1283" w:type="dxa"/>
            <w:vAlign w:val="center"/>
          </w:tcPr>
          <w:p w14:paraId="228F1F3A" w14:textId="795C87D7" w:rsidR="00937C11" w:rsidRPr="00256555" w:rsidRDefault="00ED1EB8"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2406</w:t>
            </w:r>
            <w:r w:rsidR="00934BDD" w:rsidRPr="00256555">
              <w:rPr>
                <w:rFonts w:ascii="Calibri" w:hAnsi="Calibri" w:cs="Calibri"/>
                <w:color w:val="000000"/>
                <w:sz w:val="20"/>
              </w:rPr>
              <w:t>.</w:t>
            </w:r>
            <w:r w:rsidRPr="00256555">
              <w:rPr>
                <w:rFonts w:ascii="Calibri" w:hAnsi="Calibri" w:cs="Calibri"/>
                <w:color w:val="000000"/>
                <w:sz w:val="20"/>
              </w:rPr>
              <w:t>726</w:t>
            </w:r>
          </w:p>
        </w:tc>
        <w:tc>
          <w:tcPr>
            <w:tcW w:w="1093" w:type="dxa"/>
            <w:vAlign w:val="center"/>
          </w:tcPr>
          <w:p w14:paraId="67ADBD0C" w14:textId="7AB3AC27" w:rsidR="00937C11" w:rsidRPr="00256555"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c>
          <w:tcPr>
            <w:tcW w:w="1086" w:type="dxa"/>
            <w:vAlign w:val="center"/>
          </w:tcPr>
          <w:p w14:paraId="0F3A726B" w14:textId="49568E02" w:rsidR="00937C11" w:rsidRPr="00256555"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r w:rsidR="00CF1103" w:rsidRPr="00256555">
              <w:rPr>
                <w:rFonts w:ascii="Calibri" w:hAnsi="Calibri" w:cs="Calibri"/>
                <w:color w:val="000000"/>
                <w:sz w:val="20"/>
              </w:rPr>
              <w:t xml:space="preserve"> </w:t>
            </w:r>
          </w:p>
        </w:tc>
        <w:tc>
          <w:tcPr>
            <w:tcW w:w="1065" w:type="dxa"/>
            <w:vAlign w:val="center"/>
          </w:tcPr>
          <w:p w14:paraId="50442C6A" w14:textId="4733CAF7" w:rsidR="00937C11" w:rsidRPr="00256555" w:rsidRDefault="00CF1103"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w:t>
            </w:r>
            <w:r w:rsidR="00ED1EB8" w:rsidRPr="00256555">
              <w:rPr>
                <w:rFonts w:ascii="Calibri" w:hAnsi="Calibri" w:cs="Calibri"/>
                <w:color w:val="000000"/>
                <w:sz w:val="20"/>
              </w:rPr>
              <w:t>2</w:t>
            </w:r>
            <w:r w:rsidRPr="00256555">
              <w:rPr>
                <w:rFonts w:ascii="Calibri" w:hAnsi="Calibri" w:cs="Calibri"/>
                <w:color w:val="000000"/>
                <w:sz w:val="20"/>
              </w:rPr>
              <w:t>%</w:t>
            </w:r>
          </w:p>
        </w:tc>
        <w:tc>
          <w:tcPr>
            <w:tcW w:w="1448" w:type="dxa"/>
            <w:vAlign w:val="center"/>
          </w:tcPr>
          <w:p w14:paraId="6268CB87" w14:textId="3F11DCCB" w:rsidR="00937C11" w:rsidRPr="00256555" w:rsidRDefault="001C0CA4"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r>
      <w:tr w:rsidR="00B243D8" w:rsidRPr="004A4BC9" w14:paraId="4AB58135"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7F7E3C2" w14:textId="77777777" w:rsidR="004F7E54" w:rsidRPr="00256555" w:rsidRDefault="004F7E54" w:rsidP="00256555">
            <w:pPr>
              <w:spacing w:before="0" w:after="0"/>
              <w:rPr>
                <w:rFonts w:ascii="Calibri" w:hAnsi="Calibri"/>
                <w:b/>
                <w:sz w:val="20"/>
              </w:rPr>
            </w:pPr>
            <w:r w:rsidRPr="00256555">
              <w:rPr>
                <w:rFonts w:ascii="Calibri" w:hAnsi="Calibri"/>
                <w:b/>
                <w:sz w:val="20"/>
              </w:rPr>
              <w:t>Partial Indicators</w:t>
            </w:r>
          </w:p>
        </w:tc>
        <w:tc>
          <w:tcPr>
            <w:tcW w:w="947" w:type="dxa"/>
            <w:vAlign w:val="center"/>
          </w:tcPr>
          <w:p w14:paraId="7BE9913E" w14:textId="77777777" w:rsidR="004F7E54" w:rsidRPr="00256555"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283" w:type="dxa"/>
            <w:vAlign w:val="center"/>
          </w:tcPr>
          <w:p w14:paraId="4A75FCD2" w14:textId="72F760BB" w:rsidR="004F7E54" w:rsidRPr="00256555" w:rsidRDefault="001034F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256555">
              <w:rPr>
                <w:rFonts w:ascii="Calibri" w:hAnsi="Calibri" w:cs="Calibri"/>
                <w:b/>
                <w:color w:val="000000"/>
                <w:sz w:val="20"/>
              </w:rPr>
              <w:t>$B</w:t>
            </w:r>
          </w:p>
        </w:tc>
        <w:tc>
          <w:tcPr>
            <w:tcW w:w="1093" w:type="dxa"/>
            <w:vAlign w:val="center"/>
          </w:tcPr>
          <w:p w14:paraId="2B70E386"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86" w:type="dxa"/>
            <w:vAlign w:val="center"/>
          </w:tcPr>
          <w:p w14:paraId="24D5605A"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65" w:type="dxa"/>
            <w:vAlign w:val="center"/>
          </w:tcPr>
          <w:p w14:paraId="28DE19EA"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448" w:type="dxa"/>
            <w:vAlign w:val="center"/>
          </w:tcPr>
          <w:p w14:paraId="6B94E8D7" w14:textId="77777777" w:rsidR="004F7E54" w:rsidRPr="00256555"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r>
      <w:tr w:rsidR="00B243D8" w:rsidRPr="00797CA2" w14:paraId="30F57EF8"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302AA6E5" w14:textId="77777777" w:rsidR="00D76F16" w:rsidRPr="00256555" w:rsidRDefault="00D76F1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Nominal retail sales (NT) (sa)</w:t>
            </w:r>
          </w:p>
        </w:tc>
        <w:tc>
          <w:tcPr>
            <w:tcW w:w="947" w:type="dxa"/>
            <w:vAlign w:val="center"/>
          </w:tcPr>
          <w:p w14:paraId="6F517475" w14:textId="0455A4A6" w:rsidR="00D76F16" w:rsidRPr="00256555" w:rsidRDefault="00F476B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Jan-24</w:t>
            </w:r>
          </w:p>
        </w:tc>
        <w:tc>
          <w:tcPr>
            <w:tcW w:w="1283" w:type="dxa"/>
            <w:vAlign w:val="center"/>
          </w:tcPr>
          <w:p w14:paraId="22EDA178" w14:textId="2D6072B5" w:rsidR="00D76F16" w:rsidRPr="00256555" w:rsidRDefault="005E1E5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0.324</w:t>
            </w:r>
          </w:p>
        </w:tc>
        <w:tc>
          <w:tcPr>
            <w:tcW w:w="1093" w:type="dxa"/>
            <w:vAlign w:val="center"/>
          </w:tcPr>
          <w:p w14:paraId="115840E7" w14:textId="7AA247CB" w:rsidR="00D76F16" w:rsidRPr="00256555" w:rsidRDefault="005E1E5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CF1103" w:rsidRPr="00256555">
              <w:rPr>
                <w:rFonts w:ascii="Calibri" w:hAnsi="Calibri" w:cs="Calibri"/>
                <w:color w:val="000000"/>
                <w:sz w:val="20"/>
              </w:rPr>
              <w:t>%</w:t>
            </w:r>
          </w:p>
        </w:tc>
        <w:tc>
          <w:tcPr>
            <w:tcW w:w="1086" w:type="dxa"/>
            <w:vAlign w:val="center"/>
          </w:tcPr>
          <w:p w14:paraId="01BE9C43" w14:textId="64C08B7A" w:rsidR="00D76F16" w:rsidRPr="00256555" w:rsidRDefault="00F96702"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5E1E5C" w:rsidRPr="00256555">
              <w:rPr>
                <w:rFonts w:ascii="Calibri" w:hAnsi="Calibri" w:cs="Calibri"/>
                <w:color w:val="000000"/>
                <w:sz w:val="20"/>
              </w:rPr>
              <w:t>9</w:t>
            </w:r>
            <w:r w:rsidR="00CF1103" w:rsidRPr="00256555">
              <w:rPr>
                <w:rFonts w:ascii="Calibri" w:hAnsi="Calibri" w:cs="Calibri"/>
                <w:color w:val="000000"/>
                <w:sz w:val="20"/>
              </w:rPr>
              <w:t>%</w:t>
            </w:r>
          </w:p>
        </w:tc>
        <w:tc>
          <w:tcPr>
            <w:tcW w:w="1065" w:type="dxa"/>
            <w:vAlign w:val="center"/>
          </w:tcPr>
          <w:p w14:paraId="087D6E9D" w14:textId="7D3BD201" w:rsidR="00D76F16" w:rsidRPr="00256555" w:rsidRDefault="00F96702"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w:t>
            </w:r>
            <w:r w:rsidR="005E1E5C" w:rsidRPr="00256555">
              <w:rPr>
                <w:rFonts w:ascii="Calibri" w:hAnsi="Calibri" w:cs="Calibri"/>
                <w:color w:val="000000"/>
                <w:sz w:val="20"/>
              </w:rPr>
              <w:t>.6</w:t>
            </w:r>
            <w:r w:rsidR="00CF1103" w:rsidRPr="00256555">
              <w:rPr>
                <w:rFonts w:ascii="Calibri" w:hAnsi="Calibri" w:cs="Calibri"/>
                <w:color w:val="000000"/>
                <w:sz w:val="20"/>
              </w:rPr>
              <w:t>%</w:t>
            </w:r>
          </w:p>
        </w:tc>
        <w:tc>
          <w:tcPr>
            <w:tcW w:w="1448" w:type="dxa"/>
            <w:vAlign w:val="center"/>
          </w:tcPr>
          <w:p w14:paraId="4F094053" w14:textId="24448400" w:rsidR="00D76F16" w:rsidRPr="00256555" w:rsidRDefault="00CF1103"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ED1EB8" w:rsidRPr="00256555">
              <w:rPr>
                <w:rFonts w:ascii="Calibri" w:hAnsi="Calibri" w:cs="Calibri"/>
                <w:color w:val="000000"/>
                <w:sz w:val="20"/>
              </w:rPr>
              <w:t>4</w:t>
            </w:r>
            <w:r w:rsidR="005E1E5C" w:rsidRPr="00256555">
              <w:rPr>
                <w:rFonts w:ascii="Calibri" w:hAnsi="Calibri" w:cs="Calibri"/>
                <w:color w:val="000000"/>
                <w:sz w:val="20"/>
              </w:rPr>
              <w:t>.1</w:t>
            </w:r>
            <w:r w:rsidRPr="00256555">
              <w:rPr>
                <w:rFonts w:ascii="Calibri" w:hAnsi="Calibri" w:cs="Calibri"/>
                <w:color w:val="000000"/>
                <w:sz w:val="20"/>
              </w:rPr>
              <w:t>%</w:t>
            </w:r>
          </w:p>
        </w:tc>
      </w:tr>
      <w:tr w:rsidR="00B243D8" w:rsidRPr="00797CA2" w14:paraId="13AF2B0F"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5514BDF1" w14:textId="7D181709" w:rsidR="00D76F16" w:rsidRPr="00256555" w:rsidRDefault="00D76F1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Nominal retail sales (Aus) (sa)</w:t>
            </w:r>
          </w:p>
        </w:tc>
        <w:tc>
          <w:tcPr>
            <w:tcW w:w="947" w:type="dxa"/>
            <w:shd w:val="clear" w:color="auto" w:fill="auto"/>
            <w:vAlign w:val="center"/>
          </w:tcPr>
          <w:p w14:paraId="17C7BC31" w14:textId="392BCD50" w:rsidR="00D76F16" w:rsidRPr="00256555" w:rsidRDefault="00F476B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Jan-24</w:t>
            </w:r>
          </w:p>
        </w:tc>
        <w:tc>
          <w:tcPr>
            <w:tcW w:w="1283" w:type="dxa"/>
            <w:shd w:val="clear" w:color="auto" w:fill="auto"/>
            <w:vAlign w:val="center"/>
          </w:tcPr>
          <w:p w14:paraId="648B5E05" w14:textId="566FF3F8" w:rsidR="00D76F16" w:rsidRPr="00256555" w:rsidRDefault="00CF1103"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35.</w:t>
            </w:r>
            <w:r w:rsidR="00ED1EB8" w:rsidRPr="00256555">
              <w:rPr>
                <w:rFonts w:ascii="Calibri" w:hAnsi="Calibri" w:cs="Calibri"/>
                <w:color w:val="000000"/>
                <w:sz w:val="20"/>
              </w:rPr>
              <w:t>724</w:t>
            </w:r>
          </w:p>
        </w:tc>
        <w:tc>
          <w:tcPr>
            <w:tcW w:w="1093" w:type="dxa"/>
            <w:shd w:val="clear" w:color="auto" w:fill="auto"/>
            <w:vAlign w:val="center"/>
          </w:tcPr>
          <w:p w14:paraId="51A2C4D3" w14:textId="74D3CF61" w:rsidR="00D76F1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1.1</w:t>
            </w:r>
            <w:r w:rsidR="00CF1103" w:rsidRPr="00256555">
              <w:rPr>
                <w:rFonts w:ascii="Calibri" w:hAnsi="Calibri" w:cs="Calibri"/>
                <w:color w:val="000000"/>
                <w:sz w:val="20"/>
              </w:rPr>
              <w:t>%</w:t>
            </w:r>
          </w:p>
        </w:tc>
        <w:tc>
          <w:tcPr>
            <w:tcW w:w="1086" w:type="dxa"/>
            <w:shd w:val="clear" w:color="auto" w:fill="auto"/>
            <w:vAlign w:val="center"/>
          </w:tcPr>
          <w:p w14:paraId="6C65B8C7" w14:textId="60C45655" w:rsidR="00D76F1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1.1</w:t>
            </w:r>
            <w:r w:rsidR="00CF1103" w:rsidRPr="00256555">
              <w:rPr>
                <w:rFonts w:ascii="Calibri" w:hAnsi="Calibri" w:cs="Calibri"/>
                <w:color w:val="000000"/>
                <w:sz w:val="20"/>
              </w:rPr>
              <w:t>%</w:t>
            </w:r>
          </w:p>
        </w:tc>
        <w:tc>
          <w:tcPr>
            <w:tcW w:w="1065" w:type="dxa"/>
            <w:shd w:val="clear" w:color="auto" w:fill="auto"/>
            <w:vAlign w:val="center"/>
          </w:tcPr>
          <w:p w14:paraId="156E9A3D" w14:textId="2445B5CB" w:rsidR="00D76F1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2.6</w:t>
            </w:r>
            <w:r w:rsidR="00CF1103" w:rsidRPr="00256555">
              <w:rPr>
                <w:rFonts w:ascii="Calibri" w:hAnsi="Calibri" w:cs="Calibri"/>
                <w:color w:val="000000"/>
                <w:sz w:val="20"/>
              </w:rPr>
              <w:t>%</w:t>
            </w:r>
          </w:p>
        </w:tc>
        <w:tc>
          <w:tcPr>
            <w:tcW w:w="1448" w:type="dxa"/>
            <w:shd w:val="clear" w:color="auto" w:fill="auto"/>
            <w:vAlign w:val="center"/>
          </w:tcPr>
          <w:p w14:paraId="4F1FD806" w14:textId="729CF8C5" w:rsidR="00D76F16" w:rsidRPr="00256555" w:rsidRDefault="00CF1103"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ED1EB8" w:rsidRPr="00256555">
              <w:rPr>
                <w:rFonts w:ascii="Calibri" w:hAnsi="Calibri" w:cs="Calibri"/>
                <w:color w:val="000000"/>
                <w:sz w:val="20"/>
              </w:rPr>
              <w:t>9</w:t>
            </w:r>
            <w:r w:rsidR="000C344D" w:rsidRPr="00256555">
              <w:rPr>
                <w:rFonts w:ascii="Calibri" w:hAnsi="Calibri" w:cs="Calibri"/>
                <w:color w:val="000000"/>
                <w:sz w:val="20"/>
              </w:rPr>
              <w:t>.</w:t>
            </w:r>
            <w:r w:rsidR="00ED1EB8" w:rsidRPr="00256555">
              <w:rPr>
                <w:rFonts w:ascii="Calibri" w:hAnsi="Calibri" w:cs="Calibri"/>
                <w:color w:val="000000"/>
                <w:sz w:val="20"/>
              </w:rPr>
              <w:t>1</w:t>
            </w:r>
            <w:r w:rsidRPr="00256555">
              <w:rPr>
                <w:rFonts w:ascii="Calibri" w:hAnsi="Calibri" w:cs="Calibri"/>
                <w:color w:val="000000"/>
                <w:sz w:val="20"/>
              </w:rPr>
              <w:t>%</w:t>
            </w:r>
          </w:p>
        </w:tc>
      </w:tr>
      <w:tr w:rsidR="00B243D8" w:rsidRPr="00797CA2" w14:paraId="4476EC8B"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42139FDD" w14:textId="77777777" w:rsidR="003763FC" w:rsidRPr="00256555" w:rsidRDefault="003763FC"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 </w:t>
            </w:r>
          </w:p>
        </w:tc>
        <w:tc>
          <w:tcPr>
            <w:tcW w:w="947" w:type="dxa"/>
            <w:vAlign w:val="center"/>
          </w:tcPr>
          <w:p w14:paraId="05E8AAB8" w14:textId="2E01F320" w:rsidR="003763FC" w:rsidRPr="00256555"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83" w:type="dxa"/>
            <w:vAlign w:val="center"/>
          </w:tcPr>
          <w:p w14:paraId="49EA089E" w14:textId="42B828CC" w:rsidR="003763FC" w:rsidRPr="00256555"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93" w:type="dxa"/>
            <w:vAlign w:val="center"/>
          </w:tcPr>
          <w:p w14:paraId="325982F2" w14:textId="247F4CF5"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86" w:type="dxa"/>
            <w:vAlign w:val="center"/>
          </w:tcPr>
          <w:p w14:paraId="2F0146D2" w14:textId="4D49D50E"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65" w:type="dxa"/>
            <w:vAlign w:val="center"/>
          </w:tcPr>
          <w:p w14:paraId="5F06B603" w14:textId="0C30F594"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448" w:type="dxa"/>
            <w:vAlign w:val="center"/>
          </w:tcPr>
          <w:p w14:paraId="1F81751F" w14:textId="13C1C861" w:rsidR="003763FC" w:rsidRPr="00256555"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r>
      <w:tr w:rsidR="00B243D8" w:rsidRPr="00797CA2" w14:paraId="3D4B7B8B"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215D78E0" w14:textId="77777777" w:rsidR="00C54EB6" w:rsidRPr="00256555" w:rsidRDefault="00C54EB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Construction work done (NT) (sa)</w:t>
            </w:r>
          </w:p>
        </w:tc>
        <w:tc>
          <w:tcPr>
            <w:tcW w:w="947" w:type="dxa"/>
            <w:shd w:val="clear" w:color="auto" w:fill="auto"/>
            <w:vAlign w:val="center"/>
          </w:tcPr>
          <w:p w14:paraId="19F2DDD4" w14:textId="1D625742" w:rsidR="00C54EB6" w:rsidRPr="00256555" w:rsidRDefault="00F476B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CF1103" w:rsidRPr="00256555">
              <w:rPr>
                <w:rFonts w:ascii="Calibri" w:hAnsi="Calibri" w:cs="Calibri"/>
                <w:color w:val="000000"/>
                <w:sz w:val="20"/>
              </w:rPr>
              <w:t>-23</w:t>
            </w:r>
          </w:p>
        </w:tc>
        <w:tc>
          <w:tcPr>
            <w:tcW w:w="1283" w:type="dxa"/>
            <w:shd w:val="clear" w:color="auto" w:fill="auto"/>
            <w:vAlign w:val="center"/>
          </w:tcPr>
          <w:p w14:paraId="1534C730" w14:textId="6FFE529A" w:rsidR="00C54EB6" w:rsidRPr="00256555" w:rsidRDefault="00CF1103"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F96702" w:rsidRPr="00256555">
              <w:rPr>
                <w:rFonts w:ascii="Calibri" w:hAnsi="Calibri" w:cs="Calibri"/>
                <w:color w:val="000000"/>
                <w:sz w:val="20"/>
              </w:rPr>
              <w:t>8</w:t>
            </w:r>
            <w:r w:rsidR="00ED1EB8" w:rsidRPr="00256555">
              <w:rPr>
                <w:rFonts w:ascii="Calibri" w:hAnsi="Calibri" w:cs="Calibri"/>
                <w:color w:val="000000"/>
                <w:sz w:val="20"/>
              </w:rPr>
              <w:t>73</w:t>
            </w:r>
          </w:p>
        </w:tc>
        <w:tc>
          <w:tcPr>
            <w:tcW w:w="1093" w:type="dxa"/>
            <w:shd w:val="clear" w:color="auto" w:fill="auto"/>
            <w:vAlign w:val="center"/>
          </w:tcPr>
          <w:p w14:paraId="24CA469E" w14:textId="2B21DB17" w:rsidR="00C54EB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9.2</w:t>
            </w:r>
            <w:r w:rsidR="001C0CA4" w:rsidRPr="00256555">
              <w:rPr>
                <w:rFonts w:ascii="Calibri" w:hAnsi="Calibri" w:cs="Calibri"/>
                <w:color w:val="000000"/>
                <w:sz w:val="20"/>
              </w:rPr>
              <w:t>%</w:t>
            </w:r>
          </w:p>
        </w:tc>
        <w:tc>
          <w:tcPr>
            <w:tcW w:w="1086" w:type="dxa"/>
            <w:shd w:val="clear" w:color="auto" w:fill="auto"/>
            <w:vAlign w:val="center"/>
          </w:tcPr>
          <w:p w14:paraId="7F03EE7E" w14:textId="2B6C526F" w:rsidR="00C54EB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9</w:t>
            </w:r>
            <w:r w:rsidR="00F96702" w:rsidRPr="00256555">
              <w:rPr>
                <w:rFonts w:ascii="Calibri" w:hAnsi="Calibri" w:cs="Calibri"/>
                <w:color w:val="000000"/>
                <w:sz w:val="20"/>
              </w:rPr>
              <w:t>.5</w:t>
            </w:r>
            <w:r w:rsidR="001C0CA4" w:rsidRPr="00256555">
              <w:rPr>
                <w:rFonts w:ascii="Calibri" w:hAnsi="Calibri" w:cs="Calibri"/>
                <w:color w:val="000000"/>
                <w:sz w:val="20"/>
              </w:rPr>
              <w:t>%</w:t>
            </w:r>
          </w:p>
        </w:tc>
        <w:tc>
          <w:tcPr>
            <w:tcW w:w="1065" w:type="dxa"/>
            <w:shd w:val="clear" w:color="auto" w:fill="auto"/>
            <w:vAlign w:val="center"/>
          </w:tcPr>
          <w:p w14:paraId="54E14278" w14:textId="4C580C3F" w:rsidR="00C54EB6" w:rsidRPr="00256555" w:rsidRDefault="00ED1EB8"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7.6</w:t>
            </w:r>
            <w:r w:rsidR="001C0CA4" w:rsidRPr="00256555">
              <w:rPr>
                <w:rFonts w:ascii="Calibri" w:hAnsi="Calibri" w:cs="Calibri"/>
                <w:color w:val="000000"/>
                <w:sz w:val="20"/>
              </w:rPr>
              <w:t>%</w:t>
            </w:r>
          </w:p>
        </w:tc>
        <w:tc>
          <w:tcPr>
            <w:tcW w:w="1448" w:type="dxa"/>
            <w:shd w:val="clear" w:color="auto" w:fill="auto"/>
            <w:vAlign w:val="center"/>
          </w:tcPr>
          <w:p w14:paraId="60BFE89B" w14:textId="7F8276D1" w:rsidR="00C54EB6" w:rsidRPr="00256555" w:rsidRDefault="00ED1EB8"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44.6</w:t>
            </w:r>
            <w:r w:rsidR="001C0CA4" w:rsidRPr="00256555">
              <w:rPr>
                <w:rFonts w:ascii="Calibri" w:hAnsi="Calibri" w:cs="Calibri"/>
                <w:color w:val="000000"/>
                <w:sz w:val="20"/>
              </w:rPr>
              <w:t>%</w:t>
            </w:r>
          </w:p>
        </w:tc>
      </w:tr>
      <w:tr w:rsidR="00B243D8" w:rsidRPr="00797CA2" w14:paraId="01B84F82"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3CF594B" w14:textId="5FB0FD5F" w:rsidR="00C54EB6" w:rsidRPr="00256555" w:rsidRDefault="00720F4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Construction work done (Aus</w:t>
            </w:r>
            <w:r w:rsidR="00C54EB6" w:rsidRPr="00256555">
              <w:rPr>
                <w:rFonts w:ascii="Calibri" w:hAnsi="Calibri" w:cs="Calibri"/>
                <w:iCs/>
                <w:color w:val="000000"/>
                <w:sz w:val="20"/>
              </w:rPr>
              <w:t>) (sa)</w:t>
            </w:r>
          </w:p>
        </w:tc>
        <w:tc>
          <w:tcPr>
            <w:tcW w:w="947" w:type="dxa"/>
            <w:vAlign w:val="center"/>
          </w:tcPr>
          <w:p w14:paraId="14A144E7" w14:textId="2E9E0A31" w:rsidR="00C54EB6" w:rsidRPr="00256555" w:rsidRDefault="00F476B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1C0CA4" w:rsidRPr="00256555">
              <w:rPr>
                <w:rFonts w:ascii="Calibri" w:hAnsi="Calibri" w:cs="Calibri"/>
                <w:color w:val="000000"/>
                <w:sz w:val="20"/>
              </w:rPr>
              <w:t>-23</w:t>
            </w:r>
          </w:p>
        </w:tc>
        <w:tc>
          <w:tcPr>
            <w:tcW w:w="1283" w:type="dxa"/>
            <w:vAlign w:val="center"/>
          </w:tcPr>
          <w:p w14:paraId="09DCFD4E" w14:textId="7401A01D" w:rsidR="00C54EB6" w:rsidRPr="00256555" w:rsidRDefault="00F96702"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6</w:t>
            </w:r>
            <w:r w:rsidR="00101BA0" w:rsidRPr="00256555">
              <w:rPr>
                <w:rFonts w:ascii="Calibri" w:hAnsi="Calibri" w:cs="Calibri"/>
                <w:color w:val="000000"/>
                <w:sz w:val="20"/>
              </w:rPr>
              <w:t>5</w:t>
            </w:r>
            <w:r w:rsidR="001C0CA4" w:rsidRPr="00256555">
              <w:rPr>
                <w:rFonts w:ascii="Calibri" w:hAnsi="Calibri" w:cs="Calibri"/>
                <w:color w:val="000000"/>
                <w:sz w:val="20"/>
              </w:rPr>
              <w:t>.</w:t>
            </w:r>
            <w:r w:rsidR="00101BA0" w:rsidRPr="00256555">
              <w:rPr>
                <w:rFonts w:ascii="Calibri" w:hAnsi="Calibri" w:cs="Calibri"/>
                <w:color w:val="000000"/>
                <w:sz w:val="20"/>
              </w:rPr>
              <w:t>44</w:t>
            </w:r>
          </w:p>
        </w:tc>
        <w:tc>
          <w:tcPr>
            <w:tcW w:w="1093" w:type="dxa"/>
            <w:vAlign w:val="center"/>
          </w:tcPr>
          <w:p w14:paraId="7DEE5354" w14:textId="7F9B1640" w:rsidR="00C54EB6" w:rsidRPr="00256555"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0.7</w:t>
            </w:r>
            <w:r w:rsidR="001C0CA4" w:rsidRPr="00256555">
              <w:rPr>
                <w:rFonts w:ascii="Calibri" w:hAnsi="Calibri" w:cs="Calibri"/>
                <w:color w:val="000000"/>
                <w:sz w:val="20"/>
              </w:rPr>
              <w:t>%</w:t>
            </w:r>
          </w:p>
        </w:tc>
        <w:tc>
          <w:tcPr>
            <w:tcW w:w="1086" w:type="dxa"/>
            <w:vAlign w:val="center"/>
          </w:tcPr>
          <w:p w14:paraId="3AFFADFC" w14:textId="29BEC588" w:rsidR="00C54EB6" w:rsidRPr="00256555" w:rsidRDefault="00F96702"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8.</w:t>
            </w:r>
            <w:r w:rsidR="00101BA0" w:rsidRPr="00256555">
              <w:rPr>
                <w:rFonts w:ascii="Calibri" w:hAnsi="Calibri" w:cs="Calibri"/>
                <w:color w:val="000000"/>
                <w:sz w:val="20"/>
              </w:rPr>
              <w:t>7</w:t>
            </w:r>
            <w:r w:rsidR="001C0CA4" w:rsidRPr="00256555">
              <w:rPr>
                <w:rFonts w:ascii="Calibri" w:hAnsi="Calibri" w:cs="Calibri"/>
                <w:color w:val="000000"/>
                <w:sz w:val="20"/>
              </w:rPr>
              <w:t>%</w:t>
            </w:r>
          </w:p>
        </w:tc>
        <w:tc>
          <w:tcPr>
            <w:tcW w:w="1065" w:type="dxa"/>
            <w:vAlign w:val="center"/>
          </w:tcPr>
          <w:p w14:paraId="7DC268BF" w14:textId="5A9F71B6" w:rsidR="00C54EB6" w:rsidRPr="00256555"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9</w:t>
            </w:r>
            <w:r w:rsidR="001C0CA4" w:rsidRPr="00256555">
              <w:rPr>
                <w:rFonts w:ascii="Calibri" w:hAnsi="Calibri" w:cs="Calibri"/>
                <w:color w:val="000000"/>
                <w:sz w:val="20"/>
              </w:rPr>
              <w:t>%</w:t>
            </w:r>
          </w:p>
        </w:tc>
        <w:tc>
          <w:tcPr>
            <w:tcW w:w="1448" w:type="dxa"/>
            <w:vAlign w:val="center"/>
          </w:tcPr>
          <w:p w14:paraId="26395D2D" w14:textId="11D3C215" w:rsidR="00C54EB6" w:rsidRPr="00256555" w:rsidRDefault="00101BA0"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11</w:t>
            </w:r>
            <w:r w:rsidR="001C0CA4" w:rsidRPr="00256555">
              <w:rPr>
                <w:rFonts w:ascii="Calibri" w:hAnsi="Calibri" w:cs="Calibri"/>
                <w:color w:val="000000"/>
                <w:sz w:val="20"/>
              </w:rPr>
              <w:t>%</w:t>
            </w:r>
          </w:p>
        </w:tc>
      </w:tr>
      <w:tr w:rsidR="00B243D8" w:rsidRPr="00797CA2" w14:paraId="0BAEC79B"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16CEDEA2" w14:textId="77777777" w:rsidR="003763FC" w:rsidRPr="00256555" w:rsidRDefault="003763FC"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 </w:t>
            </w:r>
          </w:p>
        </w:tc>
        <w:tc>
          <w:tcPr>
            <w:tcW w:w="947" w:type="dxa"/>
            <w:shd w:val="clear" w:color="auto" w:fill="auto"/>
            <w:vAlign w:val="center"/>
          </w:tcPr>
          <w:p w14:paraId="193FAD5F" w14:textId="05701760" w:rsidR="003763FC" w:rsidRPr="00256555" w:rsidRDefault="003763FC"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283" w:type="dxa"/>
            <w:shd w:val="clear" w:color="auto" w:fill="auto"/>
            <w:vAlign w:val="center"/>
          </w:tcPr>
          <w:p w14:paraId="3AEAC8B0" w14:textId="34A6FE21" w:rsidR="003763FC" w:rsidRPr="00256555" w:rsidRDefault="003763FC"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093" w:type="dxa"/>
            <w:shd w:val="clear" w:color="auto" w:fill="auto"/>
            <w:vAlign w:val="center"/>
          </w:tcPr>
          <w:p w14:paraId="5C21E419" w14:textId="17DDD7A8" w:rsidR="003763FC" w:rsidRPr="00256555"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086" w:type="dxa"/>
            <w:shd w:val="clear" w:color="auto" w:fill="auto"/>
            <w:vAlign w:val="center"/>
          </w:tcPr>
          <w:p w14:paraId="1B387CF5" w14:textId="2A86FE7D" w:rsidR="003763FC" w:rsidRPr="00256555"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065" w:type="dxa"/>
            <w:shd w:val="clear" w:color="auto" w:fill="auto"/>
            <w:vAlign w:val="center"/>
          </w:tcPr>
          <w:p w14:paraId="611E8FBB" w14:textId="2A6CC9D0" w:rsidR="003763FC" w:rsidRPr="00256555" w:rsidRDefault="003763FC"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c>
          <w:tcPr>
            <w:tcW w:w="1448" w:type="dxa"/>
            <w:shd w:val="clear" w:color="auto" w:fill="auto"/>
            <w:vAlign w:val="center"/>
          </w:tcPr>
          <w:p w14:paraId="6C7CD2C5" w14:textId="4FA28FA0" w:rsidR="003763FC" w:rsidRPr="00256555" w:rsidRDefault="003763FC"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p>
        </w:tc>
      </w:tr>
      <w:tr w:rsidR="00B243D8" w:rsidRPr="00797CA2" w14:paraId="19F90093"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4B2C387C" w14:textId="77777777" w:rsidR="00C54EB6" w:rsidRPr="00256555" w:rsidRDefault="00C54EB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Residential building activity (NT)</w:t>
            </w:r>
          </w:p>
        </w:tc>
        <w:tc>
          <w:tcPr>
            <w:tcW w:w="947" w:type="dxa"/>
            <w:vAlign w:val="center"/>
          </w:tcPr>
          <w:p w14:paraId="7A7FC935" w14:textId="4F0F6F92" w:rsidR="00C54EB6" w:rsidRPr="00256555" w:rsidRDefault="00F476B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Sep</w:t>
            </w:r>
            <w:r w:rsidR="001C0CA4" w:rsidRPr="00256555">
              <w:rPr>
                <w:rFonts w:ascii="Calibri" w:hAnsi="Calibri" w:cs="Calibri"/>
                <w:color w:val="000000"/>
                <w:sz w:val="20"/>
              </w:rPr>
              <w:t>-23</w:t>
            </w:r>
          </w:p>
        </w:tc>
        <w:tc>
          <w:tcPr>
            <w:tcW w:w="1283" w:type="dxa"/>
            <w:vAlign w:val="center"/>
          </w:tcPr>
          <w:p w14:paraId="1356E021" w14:textId="27FDF57F" w:rsidR="00C54EB6" w:rsidRPr="00256555" w:rsidRDefault="001C0CA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F96702" w:rsidRPr="00256555">
              <w:rPr>
                <w:rFonts w:ascii="Calibri" w:hAnsi="Calibri" w:cs="Calibri"/>
                <w:color w:val="000000"/>
                <w:sz w:val="20"/>
              </w:rPr>
              <w:t>0</w:t>
            </w:r>
            <w:r w:rsidR="00101BA0" w:rsidRPr="00256555">
              <w:rPr>
                <w:rFonts w:ascii="Calibri" w:hAnsi="Calibri" w:cs="Calibri"/>
                <w:color w:val="000000"/>
                <w:sz w:val="20"/>
              </w:rPr>
              <w:t>99</w:t>
            </w:r>
          </w:p>
        </w:tc>
        <w:tc>
          <w:tcPr>
            <w:tcW w:w="1093" w:type="dxa"/>
            <w:vAlign w:val="center"/>
          </w:tcPr>
          <w:p w14:paraId="06E11ECB" w14:textId="748811AF" w:rsidR="00C54EB6" w:rsidRPr="00256555"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0.1</w:t>
            </w:r>
            <w:r w:rsidR="001C0CA4" w:rsidRPr="00256555">
              <w:rPr>
                <w:rFonts w:ascii="Calibri" w:hAnsi="Calibri" w:cs="Calibri"/>
                <w:color w:val="000000"/>
                <w:sz w:val="20"/>
              </w:rPr>
              <w:t>%</w:t>
            </w:r>
          </w:p>
        </w:tc>
        <w:tc>
          <w:tcPr>
            <w:tcW w:w="1086" w:type="dxa"/>
            <w:vAlign w:val="center"/>
          </w:tcPr>
          <w:p w14:paraId="05670C32" w14:textId="16F7D02F" w:rsidR="00C54EB6" w:rsidRPr="00256555"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-0.6</w:t>
            </w:r>
            <w:r w:rsidR="001C0CA4" w:rsidRPr="00256555">
              <w:rPr>
                <w:rFonts w:ascii="Calibri" w:hAnsi="Calibri" w:cs="Calibri"/>
                <w:color w:val="000000"/>
                <w:sz w:val="20"/>
              </w:rPr>
              <w:t>%</w:t>
            </w:r>
          </w:p>
        </w:tc>
        <w:tc>
          <w:tcPr>
            <w:tcW w:w="1065" w:type="dxa"/>
            <w:vAlign w:val="center"/>
          </w:tcPr>
          <w:p w14:paraId="5D4B815A" w14:textId="4569E0D4" w:rsidR="00C54EB6" w:rsidRPr="00256555" w:rsidRDefault="00F96702"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5.1</w:t>
            </w:r>
            <w:r w:rsidR="001C0CA4" w:rsidRPr="00256555">
              <w:rPr>
                <w:rFonts w:ascii="Calibri" w:hAnsi="Calibri" w:cs="Calibri"/>
                <w:color w:val="000000"/>
                <w:sz w:val="20"/>
              </w:rPr>
              <w:t>%</w:t>
            </w:r>
          </w:p>
        </w:tc>
        <w:tc>
          <w:tcPr>
            <w:tcW w:w="1448" w:type="dxa"/>
            <w:vAlign w:val="center"/>
          </w:tcPr>
          <w:p w14:paraId="34AE3376" w14:textId="4429D6A3" w:rsidR="00C54EB6" w:rsidRPr="00256555" w:rsidRDefault="00101BA0"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4.5</w:t>
            </w:r>
            <w:r w:rsidR="001C0CA4" w:rsidRPr="00256555">
              <w:rPr>
                <w:rFonts w:ascii="Calibri" w:hAnsi="Calibri" w:cs="Calibri"/>
                <w:color w:val="000000"/>
                <w:sz w:val="20"/>
              </w:rPr>
              <w:t>%</w:t>
            </w:r>
          </w:p>
        </w:tc>
      </w:tr>
      <w:tr w:rsidR="00B243D8" w:rsidRPr="00797CA2" w14:paraId="06AEC18E"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0097BE8E" w14:textId="7A03675B" w:rsidR="00C54EB6" w:rsidRPr="00256555" w:rsidRDefault="00C54EB6"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Res</w:t>
            </w:r>
            <w:r w:rsidR="00720F41" w:rsidRPr="00256555">
              <w:rPr>
                <w:rFonts w:ascii="Calibri" w:hAnsi="Calibri" w:cs="Calibri"/>
                <w:iCs/>
                <w:color w:val="000000"/>
                <w:sz w:val="20"/>
              </w:rPr>
              <w:t>idential building activity (Aus</w:t>
            </w:r>
            <w:r w:rsidRPr="00256555">
              <w:rPr>
                <w:rFonts w:ascii="Calibri" w:hAnsi="Calibri" w:cs="Calibri"/>
                <w:iCs/>
                <w:color w:val="000000"/>
                <w:sz w:val="20"/>
              </w:rPr>
              <w:t>)</w:t>
            </w:r>
          </w:p>
        </w:tc>
        <w:tc>
          <w:tcPr>
            <w:tcW w:w="947" w:type="dxa"/>
            <w:shd w:val="clear" w:color="auto" w:fill="auto"/>
            <w:vAlign w:val="center"/>
          </w:tcPr>
          <w:p w14:paraId="5875F512" w14:textId="62C7797F" w:rsidR="00C54EB6" w:rsidRPr="00256555" w:rsidRDefault="00F476B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Sep</w:t>
            </w:r>
            <w:r w:rsidR="001C0CA4" w:rsidRPr="00256555">
              <w:rPr>
                <w:rFonts w:ascii="Calibri" w:hAnsi="Calibri" w:cs="Calibri"/>
                <w:color w:val="000000"/>
                <w:sz w:val="20"/>
              </w:rPr>
              <w:t>-23</w:t>
            </w:r>
          </w:p>
        </w:tc>
        <w:tc>
          <w:tcPr>
            <w:tcW w:w="1283" w:type="dxa"/>
            <w:shd w:val="clear" w:color="auto" w:fill="auto"/>
            <w:vAlign w:val="center"/>
          </w:tcPr>
          <w:p w14:paraId="4047A92E" w14:textId="78527305" w:rsidR="00C54EB6" w:rsidRPr="00256555" w:rsidRDefault="00101BA0"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21.383</w:t>
            </w:r>
          </w:p>
        </w:tc>
        <w:tc>
          <w:tcPr>
            <w:tcW w:w="1093" w:type="dxa"/>
            <w:shd w:val="clear" w:color="auto" w:fill="auto"/>
            <w:vAlign w:val="center"/>
          </w:tcPr>
          <w:p w14:paraId="18320F66" w14:textId="310ED3BC" w:rsidR="00C54EB6" w:rsidRPr="00256555" w:rsidRDefault="00101BA0"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1C0CA4" w:rsidRPr="00256555">
              <w:rPr>
                <w:rFonts w:ascii="Calibri" w:hAnsi="Calibri" w:cs="Calibri"/>
                <w:color w:val="000000"/>
                <w:sz w:val="20"/>
              </w:rPr>
              <w:t>%</w:t>
            </w:r>
          </w:p>
        </w:tc>
        <w:tc>
          <w:tcPr>
            <w:tcW w:w="1086" w:type="dxa"/>
            <w:shd w:val="clear" w:color="auto" w:fill="auto"/>
            <w:vAlign w:val="center"/>
          </w:tcPr>
          <w:p w14:paraId="53856CAF" w14:textId="31CC55E0" w:rsidR="00C54EB6" w:rsidRPr="00256555" w:rsidRDefault="00101BA0"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4.9</w:t>
            </w:r>
            <w:r w:rsidR="001C0CA4" w:rsidRPr="00256555">
              <w:rPr>
                <w:rFonts w:ascii="Calibri" w:hAnsi="Calibri" w:cs="Calibri"/>
                <w:color w:val="000000"/>
                <w:sz w:val="20"/>
              </w:rPr>
              <w:t>%</w:t>
            </w:r>
          </w:p>
        </w:tc>
        <w:tc>
          <w:tcPr>
            <w:tcW w:w="1065" w:type="dxa"/>
            <w:shd w:val="clear" w:color="auto" w:fill="auto"/>
            <w:vAlign w:val="center"/>
          </w:tcPr>
          <w:p w14:paraId="40A74AFE" w14:textId="6D909638" w:rsidR="00C54EB6" w:rsidRPr="00256555" w:rsidRDefault="00101BA0"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1C0CA4" w:rsidRPr="00256555">
              <w:rPr>
                <w:rFonts w:ascii="Calibri" w:hAnsi="Calibri" w:cs="Calibri"/>
                <w:color w:val="000000"/>
                <w:sz w:val="20"/>
              </w:rPr>
              <w:t>%</w:t>
            </w:r>
          </w:p>
        </w:tc>
        <w:tc>
          <w:tcPr>
            <w:tcW w:w="1448" w:type="dxa"/>
            <w:shd w:val="clear" w:color="auto" w:fill="auto"/>
            <w:vAlign w:val="center"/>
          </w:tcPr>
          <w:p w14:paraId="6CF4CECF" w14:textId="54492514" w:rsidR="00C54EB6" w:rsidRPr="00256555" w:rsidRDefault="00101BA0"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-4.1</w:t>
            </w:r>
            <w:r w:rsidR="001C0CA4" w:rsidRPr="00256555">
              <w:rPr>
                <w:rFonts w:ascii="Calibri" w:hAnsi="Calibri" w:cs="Calibri"/>
                <w:color w:val="000000"/>
                <w:sz w:val="20"/>
              </w:rPr>
              <w:t>%</w:t>
            </w:r>
          </w:p>
        </w:tc>
      </w:tr>
      <w:tr w:rsidR="00B243D8" w:rsidRPr="00797CA2" w14:paraId="3CAAD79C"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9441CDB" w14:textId="77777777" w:rsidR="003763FC" w:rsidRPr="00256555" w:rsidRDefault="003763FC"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 </w:t>
            </w:r>
          </w:p>
        </w:tc>
        <w:tc>
          <w:tcPr>
            <w:tcW w:w="947" w:type="dxa"/>
            <w:vAlign w:val="center"/>
          </w:tcPr>
          <w:p w14:paraId="4513E735" w14:textId="15FA87CC" w:rsidR="003763FC" w:rsidRPr="00256555"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83" w:type="dxa"/>
            <w:vAlign w:val="center"/>
          </w:tcPr>
          <w:p w14:paraId="2799BA97" w14:textId="3EC13AD3" w:rsidR="003763FC" w:rsidRPr="00256555"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93" w:type="dxa"/>
            <w:vAlign w:val="center"/>
          </w:tcPr>
          <w:p w14:paraId="4F9800A1" w14:textId="5BCC1151"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86" w:type="dxa"/>
            <w:vAlign w:val="center"/>
          </w:tcPr>
          <w:p w14:paraId="155D0F29" w14:textId="2E2EFDD1"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65" w:type="dxa"/>
            <w:vAlign w:val="center"/>
          </w:tcPr>
          <w:p w14:paraId="2E1B563C" w14:textId="1CC78B12"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448" w:type="dxa"/>
            <w:vAlign w:val="center"/>
          </w:tcPr>
          <w:p w14:paraId="69C81A6E" w14:textId="54BAC940" w:rsidR="003763FC" w:rsidRPr="00256555"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r>
      <w:tr w:rsidR="00B243D8" w:rsidRPr="00797CA2" w14:paraId="4C360432"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011E59DC" w14:textId="5CF5EFE2"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Nominal goods exports (NT)</w:t>
            </w:r>
          </w:p>
        </w:tc>
        <w:tc>
          <w:tcPr>
            <w:tcW w:w="947" w:type="dxa"/>
            <w:shd w:val="clear" w:color="auto" w:fill="auto"/>
            <w:vAlign w:val="center"/>
          </w:tcPr>
          <w:p w14:paraId="046A0CC4" w14:textId="47821418" w:rsidR="00937C11" w:rsidRPr="00256555" w:rsidRDefault="00226C17"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Jan</w:t>
            </w:r>
            <w:r w:rsidR="001C0CA4" w:rsidRPr="00256555">
              <w:rPr>
                <w:rFonts w:ascii="Calibri" w:hAnsi="Calibri" w:cs="Calibri"/>
                <w:color w:val="000000"/>
                <w:sz w:val="20"/>
              </w:rPr>
              <w:t>-2</w:t>
            </w:r>
            <w:r>
              <w:rPr>
                <w:rFonts w:ascii="Calibri" w:hAnsi="Calibri" w:cs="Calibri"/>
                <w:color w:val="000000"/>
                <w:sz w:val="20"/>
              </w:rPr>
              <w:t>4</w:t>
            </w:r>
          </w:p>
        </w:tc>
        <w:tc>
          <w:tcPr>
            <w:tcW w:w="1283" w:type="dxa"/>
            <w:shd w:val="clear" w:color="auto" w:fill="auto"/>
            <w:vAlign w:val="center"/>
          </w:tcPr>
          <w:p w14:paraId="73786563" w14:textId="124FEDDD" w:rsidR="00937C11" w:rsidRPr="00256555" w:rsidRDefault="00101BA0" w:rsidP="00226C17">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226C17">
              <w:rPr>
                <w:rFonts w:ascii="Calibri" w:hAnsi="Calibri" w:cs="Calibri"/>
                <w:color w:val="000000"/>
                <w:sz w:val="20"/>
              </w:rPr>
              <w:t>835</w:t>
            </w:r>
          </w:p>
        </w:tc>
        <w:tc>
          <w:tcPr>
            <w:tcW w:w="1093" w:type="dxa"/>
            <w:shd w:val="clear" w:color="auto" w:fill="auto"/>
            <w:vAlign w:val="center"/>
          </w:tcPr>
          <w:p w14:paraId="6CD6766A" w14:textId="4D082773" w:rsidR="00937C11" w:rsidRPr="00256555" w:rsidRDefault="0033684F">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A454E5">
              <w:rPr>
                <w:rFonts w:ascii="Calibri" w:hAnsi="Calibri" w:cs="Calibri"/>
                <w:color w:val="000000"/>
                <w:sz w:val="20"/>
              </w:rPr>
              <w:t>15.1</w:t>
            </w:r>
            <w:r w:rsidR="001C0CA4" w:rsidRPr="00256555">
              <w:rPr>
                <w:rFonts w:ascii="Calibri" w:hAnsi="Calibri" w:cs="Calibri"/>
                <w:color w:val="000000"/>
                <w:sz w:val="20"/>
              </w:rPr>
              <w:t>%</w:t>
            </w:r>
          </w:p>
        </w:tc>
        <w:tc>
          <w:tcPr>
            <w:tcW w:w="1086" w:type="dxa"/>
            <w:shd w:val="clear" w:color="auto" w:fill="auto"/>
            <w:vAlign w:val="center"/>
          </w:tcPr>
          <w:p w14:paraId="7A89AD3A" w14:textId="0846491B" w:rsidR="00937C11" w:rsidRPr="00256555" w:rsidRDefault="00F96702">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A454E5">
              <w:rPr>
                <w:rFonts w:ascii="Calibri" w:hAnsi="Calibri" w:cs="Calibri"/>
                <w:color w:val="000000"/>
                <w:sz w:val="20"/>
              </w:rPr>
              <w:t>43.2</w:t>
            </w:r>
            <w:r w:rsidR="001C0CA4" w:rsidRPr="00256555">
              <w:rPr>
                <w:rFonts w:ascii="Calibri" w:hAnsi="Calibri" w:cs="Calibri"/>
                <w:color w:val="000000"/>
                <w:sz w:val="20"/>
              </w:rPr>
              <w:t>%</w:t>
            </w:r>
          </w:p>
        </w:tc>
        <w:tc>
          <w:tcPr>
            <w:tcW w:w="1065" w:type="dxa"/>
            <w:shd w:val="clear" w:color="auto" w:fill="auto"/>
            <w:vAlign w:val="center"/>
          </w:tcPr>
          <w:p w14:paraId="0EC7797E" w14:textId="18BCE37B" w:rsidR="00937C11" w:rsidRPr="00256555" w:rsidRDefault="0033684F">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A454E5">
              <w:rPr>
                <w:rFonts w:ascii="Calibri" w:hAnsi="Calibri" w:cs="Calibri"/>
                <w:color w:val="000000"/>
                <w:sz w:val="20"/>
              </w:rPr>
              <w:t>8.4</w:t>
            </w:r>
            <w:r w:rsidR="001C0CA4" w:rsidRPr="00256555">
              <w:rPr>
                <w:rFonts w:ascii="Calibri" w:hAnsi="Calibri" w:cs="Calibri"/>
                <w:color w:val="000000"/>
                <w:sz w:val="20"/>
              </w:rPr>
              <w:t>%</w:t>
            </w:r>
          </w:p>
        </w:tc>
        <w:tc>
          <w:tcPr>
            <w:tcW w:w="1448" w:type="dxa"/>
            <w:shd w:val="clear" w:color="auto" w:fill="auto"/>
            <w:vAlign w:val="center"/>
          </w:tcPr>
          <w:p w14:paraId="158C8E26" w14:textId="2B3BD9BA" w:rsidR="00937C11" w:rsidRPr="00256555" w:rsidRDefault="00226C17" w:rsidP="00226C17">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26.9</w:t>
            </w:r>
            <w:r w:rsidR="001C0CA4" w:rsidRPr="00256555">
              <w:rPr>
                <w:rFonts w:ascii="Calibri" w:hAnsi="Calibri" w:cs="Calibri"/>
                <w:color w:val="000000"/>
                <w:sz w:val="20"/>
              </w:rPr>
              <w:t>%</w:t>
            </w:r>
          </w:p>
        </w:tc>
      </w:tr>
      <w:tr w:rsidR="00B243D8" w:rsidRPr="00797CA2" w14:paraId="3D7FC88A"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4F4BDB70" w14:textId="0871BD09"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 xml:space="preserve">Nominal goods </w:t>
            </w:r>
            <w:r w:rsidR="00720F41" w:rsidRPr="00256555">
              <w:rPr>
                <w:rFonts w:ascii="Calibri" w:hAnsi="Calibri" w:cs="Calibri"/>
                <w:iCs/>
                <w:color w:val="000000"/>
                <w:sz w:val="20"/>
              </w:rPr>
              <w:t>exports (Aus</w:t>
            </w:r>
            <w:r w:rsidRPr="00256555">
              <w:rPr>
                <w:rFonts w:ascii="Calibri" w:hAnsi="Calibri" w:cs="Calibri"/>
                <w:iCs/>
                <w:color w:val="000000"/>
                <w:sz w:val="20"/>
              </w:rPr>
              <w:t>) (sa)</w:t>
            </w:r>
          </w:p>
        </w:tc>
        <w:tc>
          <w:tcPr>
            <w:tcW w:w="947" w:type="dxa"/>
            <w:vAlign w:val="center"/>
          </w:tcPr>
          <w:p w14:paraId="2C2E3965" w14:textId="3A7E43F9" w:rsidR="00937C11" w:rsidRPr="00256555" w:rsidRDefault="00226C17">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Jan</w:t>
            </w:r>
            <w:r w:rsidR="001C0CA4" w:rsidRPr="00256555">
              <w:rPr>
                <w:rFonts w:ascii="Calibri" w:hAnsi="Calibri" w:cs="Calibri"/>
                <w:color w:val="000000"/>
                <w:sz w:val="20"/>
              </w:rPr>
              <w:t>-</w:t>
            </w:r>
            <w:r w:rsidR="00A454E5" w:rsidRPr="00256555">
              <w:rPr>
                <w:rFonts w:ascii="Calibri" w:hAnsi="Calibri" w:cs="Calibri"/>
                <w:color w:val="000000"/>
                <w:sz w:val="20"/>
              </w:rPr>
              <w:t>2</w:t>
            </w:r>
            <w:r w:rsidR="00A454E5">
              <w:rPr>
                <w:rFonts w:ascii="Calibri" w:hAnsi="Calibri" w:cs="Calibri"/>
                <w:color w:val="000000"/>
                <w:sz w:val="20"/>
              </w:rPr>
              <w:t>4</w:t>
            </w:r>
          </w:p>
        </w:tc>
        <w:tc>
          <w:tcPr>
            <w:tcW w:w="1283" w:type="dxa"/>
            <w:vAlign w:val="center"/>
          </w:tcPr>
          <w:p w14:paraId="045CAC24" w14:textId="1559995F" w:rsidR="00937C11" w:rsidRPr="00256555" w:rsidRDefault="0033684F"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w:t>
            </w:r>
            <w:r w:rsidR="00101BA0" w:rsidRPr="00256555">
              <w:rPr>
                <w:rFonts w:ascii="Calibri" w:hAnsi="Calibri" w:cs="Calibri"/>
                <w:color w:val="000000"/>
                <w:sz w:val="20"/>
              </w:rPr>
              <w:t>7.</w:t>
            </w:r>
            <w:r w:rsidR="00226C17">
              <w:rPr>
                <w:rFonts w:ascii="Calibri" w:hAnsi="Calibri" w:cs="Calibri"/>
                <w:color w:val="000000"/>
                <w:sz w:val="20"/>
              </w:rPr>
              <w:t>511</w:t>
            </w:r>
          </w:p>
        </w:tc>
        <w:tc>
          <w:tcPr>
            <w:tcW w:w="1093" w:type="dxa"/>
            <w:vAlign w:val="center"/>
          </w:tcPr>
          <w:p w14:paraId="72448963" w14:textId="22DFCE86" w:rsidR="00937C11" w:rsidRPr="00256555"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226C17">
              <w:rPr>
                <w:rFonts w:ascii="Calibri" w:hAnsi="Calibri" w:cs="Calibri"/>
                <w:color w:val="000000"/>
                <w:sz w:val="20"/>
              </w:rPr>
              <w:t>6</w:t>
            </w:r>
            <w:r w:rsidR="001C0CA4" w:rsidRPr="00256555">
              <w:rPr>
                <w:rFonts w:ascii="Calibri" w:hAnsi="Calibri" w:cs="Calibri"/>
                <w:color w:val="000000"/>
                <w:sz w:val="20"/>
              </w:rPr>
              <w:t>%</w:t>
            </w:r>
          </w:p>
        </w:tc>
        <w:tc>
          <w:tcPr>
            <w:tcW w:w="1086" w:type="dxa"/>
            <w:vAlign w:val="center"/>
          </w:tcPr>
          <w:p w14:paraId="4A579087" w14:textId="33D50A1E" w:rsidR="00937C11" w:rsidRPr="00256555"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101BA0" w:rsidRPr="00256555">
              <w:rPr>
                <w:rFonts w:ascii="Calibri" w:hAnsi="Calibri" w:cs="Calibri"/>
                <w:color w:val="000000"/>
                <w:sz w:val="20"/>
              </w:rPr>
              <w:t>5</w:t>
            </w:r>
            <w:r w:rsidR="00226C17">
              <w:rPr>
                <w:rFonts w:ascii="Calibri" w:hAnsi="Calibri" w:cs="Calibri"/>
                <w:color w:val="000000"/>
                <w:sz w:val="20"/>
              </w:rPr>
              <w:t>.2</w:t>
            </w:r>
            <w:r w:rsidRPr="00256555">
              <w:rPr>
                <w:rFonts w:ascii="Calibri" w:hAnsi="Calibri" w:cs="Calibri"/>
                <w:color w:val="000000"/>
                <w:sz w:val="20"/>
              </w:rPr>
              <w:t>%</w:t>
            </w:r>
          </w:p>
        </w:tc>
        <w:tc>
          <w:tcPr>
            <w:tcW w:w="1065" w:type="dxa"/>
            <w:vAlign w:val="center"/>
          </w:tcPr>
          <w:p w14:paraId="1C5064BC" w14:textId="00FA72EE" w:rsidR="00937C11" w:rsidRPr="00256555" w:rsidRDefault="0033684F"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226C17">
              <w:rPr>
                <w:rFonts w:ascii="Calibri" w:hAnsi="Calibri" w:cs="Calibri"/>
                <w:color w:val="000000"/>
                <w:sz w:val="20"/>
              </w:rPr>
              <w:t>7.2</w:t>
            </w:r>
            <w:r w:rsidR="0083751D" w:rsidRPr="00256555">
              <w:rPr>
                <w:rFonts w:ascii="Calibri" w:hAnsi="Calibri" w:cs="Calibri"/>
                <w:color w:val="000000"/>
                <w:sz w:val="20"/>
              </w:rPr>
              <w:t>%</w:t>
            </w:r>
          </w:p>
        </w:tc>
        <w:tc>
          <w:tcPr>
            <w:tcW w:w="1448" w:type="dxa"/>
            <w:vAlign w:val="center"/>
          </w:tcPr>
          <w:p w14:paraId="53354408" w14:textId="28B3A0E4" w:rsidR="00937C11" w:rsidRPr="00256555" w:rsidRDefault="00973C6B"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w:t>
            </w:r>
            <w:r w:rsidR="004F02D2">
              <w:rPr>
                <w:rFonts w:ascii="Calibri" w:hAnsi="Calibri" w:cs="Calibri"/>
                <w:color w:val="000000"/>
                <w:sz w:val="20"/>
              </w:rPr>
              <w:t>2.4</w:t>
            </w:r>
            <w:r w:rsidR="001C0CA4" w:rsidRPr="00256555">
              <w:rPr>
                <w:rFonts w:ascii="Calibri" w:hAnsi="Calibri" w:cs="Calibri"/>
                <w:color w:val="000000"/>
                <w:sz w:val="20"/>
              </w:rPr>
              <w:t>%</w:t>
            </w:r>
          </w:p>
        </w:tc>
      </w:tr>
      <w:tr w:rsidR="00B243D8" w:rsidRPr="004A4BC9" w14:paraId="573DC8CA"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A3D239B" w14:textId="77777777" w:rsidR="004F7E54" w:rsidRPr="00256555" w:rsidRDefault="004F7E54" w:rsidP="00256555">
            <w:pPr>
              <w:spacing w:before="0" w:after="0"/>
              <w:rPr>
                <w:rFonts w:ascii="Calibri" w:hAnsi="Calibri"/>
                <w:b/>
                <w:sz w:val="20"/>
              </w:rPr>
            </w:pPr>
            <w:r w:rsidRPr="00256555">
              <w:rPr>
                <w:rFonts w:ascii="Calibri" w:hAnsi="Calibri"/>
                <w:b/>
                <w:sz w:val="20"/>
              </w:rPr>
              <w:t>Prices</w:t>
            </w:r>
          </w:p>
        </w:tc>
        <w:tc>
          <w:tcPr>
            <w:tcW w:w="947" w:type="dxa"/>
            <w:vAlign w:val="center"/>
          </w:tcPr>
          <w:p w14:paraId="468BEA78" w14:textId="77777777" w:rsidR="004F7E54" w:rsidRPr="00256555"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283" w:type="dxa"/>
            <w:vAlign w:val="center"/>
          </w:tcPr>
          <w:p w14:paraId="00AECC6C" w14:textId="4388F4F7" w:rsidR="004F7E54" w:rsidRPr="00256555" w:rsidRDefault="00256555"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4A4BC9">
              <w:rPr>
                <w:rFonts w:ascii="Calibri" w:hAnsi="Calibri" w:cs="Calibri"/>
                <w:b/>
                <w:color w:val="000000"/>
                <w:sz w:val="20"/>
              </w:rPr>
              <w:t>Annual Δ</w:t>
            </w:r>
            <w:r w:rsidRPr="004A4BC9">
              <w:rPr>
                <w:rFonts w:ascii="Calibri" w:hAnsi="Calibri" w:cs="Calibri"/>
                <w:b/>
                <w:color w:val="000000"/>
                <w:sz w:val="20"/>
                <w:vertAlign w:val="superscript"/>
              </w:rPr>
              <w:t>2</w:t>
            </w:r>
          </w:p>
        </w:tc>
        <w:tc>
          <w:tcPr>
            <w:tcW w:w="1093" w:type="dxa"/>
            <w:vAlign w:val="center"/>
          </w:tcPr>
          <w:p w14:paraId="4CE50202"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86" w:type="dxa"/>
            <w:vAlign w:val="center"/>
          </w:tcPr>
          <w:p w14:paraId="088AD81B"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65" w:type="dxa"/>
            <w:vAlign w:val="center"/>
          </w:tcPr>
          <w:p w14:paraId="5191266D"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448" w:type="dxa"/>
            <w:vAlign w:val="center"/>
          </w:tcPr>
          <w:p w14:paraId="487BFA4A" w14:textId="77777777" w:rsidR="004F7E54" w:rsidRPr="00256555"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r>
      <w:tr w:rsidR="00B243D8" w:rsidRPr="00797CA2" w14:paraId="7C7FF94A"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84CDA66" w14:textId="77777777"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Inflation (Darwin)</w:t>
            </w:r>
          </w:p>
        </w:tc>
        <w:tc>
          <w:tcPr>
            <w:tcW w:w="947" w:type="dxa"/>
            <w:vAlign w:val="center"/>
          </w:tcPr>
          <w:p w14:paraId="37638646" w14:textId="60DE0AF4" w:rsidR="00937C11" w:rsidRPr="00256555" w:rsidRDefault="00F476B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1C0CA4" w:rsidRPr="00256555">
              <w:rPr>
                <w:rFonts w:ascii="Calibri" w:hAnsi="Calibri" w:cs="Calibri"/>
                <w:color w:val="000000"/>
                <w:sz w:val="20"/>
              </w:rPr>
              <w:t>-23</w:t>
            </w:r>
          </w:p>
        </w:tc>
        <w:tc>
          <w:tcPr>
            <w:tcW w:w="1283" w:type="dxa"/>
            <w:vAlign w:val="center"/>
          </w:tcPr>
          <w:p w14:paraId="0022F1CB" w14:textId="7E3F9F90" w:rsidR="00937C11" w:rsidRPr="00256555" w:rsidRDefault="00101BA0"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3.9</w:t>
            </w:r>
            <w:r w:rsidR="001C0CA4" w:rsidRPr="00256555">
              <w:rPr>
                <w:rFonts w:ascii="Calibri" w:hAnsi="Calibri" w:cs="Calibri"/>
                <w:color w:val="000000"/>
                <w:sz w:val="20"/>
              </w:rPr>
              <w:t>%</w:t>
            </w:r>
          </w:p>
        </w:tc>
        <w:tc>
          <w:tcPr>
            <w:tcW w:w="1093" w:type="dxa"/>
            <w:vAlign w:val="center"/>
          </w:tcPr>
          <w:p w14:paraId="57A29B5D" w14:textId="599A149E" w:rsidR="00937C11" w:rsidRPr="00256555" w:rsidRDefault="0020752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101BA0" w:rsidRPr="00256555">
              <w:rPr>
                <w:rFonts w:ascii="Calibri" w:hAnsi="Calibri" w:cs="Calibri"/>
                <w:color w:val="000000"/>
                <w:sz w:val="20"/>
              </w:rPr>
              <w:t>.4</w:t>
            </w:r>
            <w:r w:rsidRPr="00256555">
              <w:rPr>
                <w:rFonts w:ascii="Calibri" w:hAnsi="Calibri" w:cs="Calibri"/>
                <w:color w:val="000000"/>
                <w:sz w:val="20"/>
              </w:rPr>
              <w:t xml:space="preserve"> </w:t>
            </w:r>
            <w:r w:rsidR="001C0CA4" w:rsidRPr="00256555">
              <w:rPr>
                <w:rFonts w:ascii="Calibri" w:hAnsi="Calibri" w:cs="Calibri"/>
                <w:color w:val="000000"/>
                <w:sz w:val="20"/>
              </w:rPr>
              <w:t>ppt</w:t>
            </w:r>
          </w:p>
        </w:tc>
        <w:tc>
          <w:tcPr>
            <w:tcW w:w="1086" w:type="dxa"/>
            <w:vAlign w:val="center"/>
          </w:tcPr>
          <w:p w14:paraId="142F157B" w14:textId="1A85754F" w:rsidR="00937C11" w:rsidRPr="00256555"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101BA0" w:rsidRPr="00256555">
              <w:rPr>
                <w:rFonts w:ascii="Calibri" w:hAnsi="Calibri" w:cs="Calibri"/>
                <w:color w:val="000000"/>
                <w:sz w:val="20"/>
              </w:rPr>
              <w:t>3.</w:t>
            </w:r>
            <w:r w:rsidR="00207524" w:rsidRPr="00256555">
              <w:rPr>
                <w:rFonts w:ascii="Calibri" w:hAnsi="Calibri" w:cs="Calibri"/>
                <w:color w:val="000000"/>
                <w:sz w:val="20"/>
              </w:rPr>
              <w:t>2</w:t>
            </w:r>
            <w:r w:rsidRPr="00256555">
              <w:rPr>
                <w:rFonts w:ascii="Calibri" w:hAnsi="Calibri" w:cs="Calibri"/>
                <w:color w:val="000000"/>
                <w:sz w:val="20"/>
              </w:rPr>
              <w:t xml:space="preserve"> ppt</w:t>
            </w:r>
          </w:p>
        </w:tc>
        <w:tc>
          <w:tcPr>
            <w:tcW w:w="1065" w:type="dxa"/>
            <w:vAlign w:val="center"/>
          </w:tcPr>
          <w:p w14:paraId="6D57D79D" w14:textId="410A750A" w:rsidR="00937C11" w:rsidRPr="00256555"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xml:space="preserve">na </w:t>
            </w:r>
          </w:p>
        </w:tc>
        <w:tc>
          <w:tcPr>
            <w:tcW w:w="1448" w:type="dxa"/>
            <w:vAlign w:val="center"/>
          </w:tcPr>
          <w:p w14:paraId="5DF78A42" w14:textId="1E361496" w:rsidR="00937C11" w:rsidRPr="00256555" w:rsidRDefault="00101BA0"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4.4</w:t>
            </w:r>
            <w:r w:rsidR="001C0CA4" w:rsidRPr="00256555">
              <w:rPr>
                <w:rFonts w:ascii="Calibri" w:hAnsi="Calibri" w:cs="Calibri"/>
                <w:color w:val="000000"/>
                <w:sz w:val="20"/>
              </w:rPr>
              <w:t xml:space="preserve"> ppt</w:t>
            </w:r>
          </w:p>
        </w:tc>
      </w:tr>
      <w:tr w:rsidR="00B243D8" w:rsidRPr="00797CA2" w14:paraId="0F829271"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548B7AA0" w14:textId="77777777"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Inflation (8 Capitals)</w:t>
            </w:r>
          </w:p>
        </w:tc>
        <w:tc>
          <w:tcPr>
            <w:tcW w:w="947" w:type="dxa"/>
            <w:shd w:val="clear" w:color="auto" w:fill="auto"/>
            <w:vAlign w:val="center"/>
          </w:tcPr>
          <w:p w14:paraId="05EC37F3" w14:textId="5D882749" w:rsidR="00937C11" w:rsidRPr="00256555" w:rsidRDefault="00F476B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1C0CA4" w:rsidRPr="00256555">
              <w:rPr>
                <w:rFonts w:ascii="Calibri" w:hAnsi="Calibri" w:cs="Calibri"/>
                <w:color w:val="000000"/>
                <w:sz w:val="20"/>
              </w:rPr>
              <w:t>-23</w:t>
            </w:r>
          </w:p>
        </w:tc>
        <w:tc>
          <w:tcPr>
            <w:tcW w:w="1283" w:type="dxa"/>
            <w:shd w:val="clear" w:color="auto" w:fill="auto"/>
            <w:vAlign w:val="center"/>
          </w:tcPr>
          <w:p w14:paraId="522B275D" w14:textId="5CCC83B7" w:rsidR="00937C11" w:rsidRPr="00256555" w:rsidRDefault="00101BA0"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4.1</w:t>
            </w:r>
            <w:r w:rsidR="001C0CA4" w:rsidRPr="00256555">
              <w:rPr>
                <w:rFonts w:ascii="Calibri" w:hAnsi="Calibri" w:cs="Calibri"/>
                <w:color w:val="000000"/>
                <w:sz w:val="20"/>
              </w:rPr>
              <w:t>%</w:t>
            </w:r>
          </w:p>
        </w:tc>
        <w:tc>
          <w:tcPr>
            <w:tcW w:w="1093" w:type="dxa"/>
            <w:shd w:val="clear" w:color="auto" w:fill="auto"/>
            <w:vAlign w:val="center"/>
          </w:tcPr>
          <w:p w14:paraId="5C91FC91" w14:textId="77FEADF1" w:rsidR="00937C11" w:rsidRPr="00256555"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101BA0" w:rsidRPr="00256555">
              <w:rPr>
                <w:rFonts w:ascii="Calibri" w:hAnsi="Calibri" w:cs="Calibri"/>
                <w:color w:val="000000"/>
                <w:sz w:val="20"/>
              </w:rPr>
              <w:t>1.3</w:t>
            </w:r>
            <w:r w:rsidRPr="00256555">
              <w:rPr>
                <w:rFonts w:ascii="Calibri" w:hAnsi="Calibri" w:cs="Calibri"/>
                <w:color w:val="000000"/>
                <w:sz w:val="20"/>
              </w:rPr>
              <w:t xml:space="preserve"> ppt</w:t>
            </w:r>
          </w:p>
        </w:tc>
        <w:tc>
          <w:tcPr>
            <w:tcW w:w="1086" w:type="dxa"/>
            <w:shd w:val="clear" w:color="auto" w:fill="auto"/>
            <w:vAlign w:val="center"/>
          </w:tcPr>
          <w:p w14:paraId="67932216" w14:textId="238286C1" w:rsidR="00937C11" w:rsidRPr="00256555"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101BA0" w:rsidRPr="00256555">
              <w:rPr>
                <w:rFonts w:ascii="Calibri" w:hAnsi="Calibri" w:cs="Calibri"/>
                <w:color w:val="000000"/>
                <w:sz w:val="20"/>
              </w:rPr>
              <w:t>3.8</w:t>
            </w:r>
            <w:r w:rsidRPr="00256555">
              <w:rPr>
                <w:rFonts w:ascii="Calibri" w:hAnsi="Calibri" w:cs="Calibri"/>
                <w:color w:val="000000"/>
                <w:sz w:val="20"/>
              </w:rPr>
              <w:t xml:space="preserve"> ppt</w:t>
            </w:r>
          </w:p>
        </w:tc>
        <w:tc>
          <w:tcPr>
            <w:tcW w:w="1065" w:type="dxa"/>
            <w:shd w:val="clear" w:color="auto" w:fill="auto"/>
            <w:vAlign w:val="center"/>
          </w:tcPr>
          <w:p w14:paraId="128F96EA" w14:textId="56A893E4" w:rsidR="00937C11" w:rsidRPr="00256555"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c>
          <w:tcPr>
            <w:tcW w:w="1448" w:type="dxa"/>
            <w:shd w:val="clear" w:color="auto" w:fill="auto"/>
            <w:vAlign w:val="center"/>
          </w:tcPr>
          <w:p w14:paraId="299D3838" w14:textId="0D58552A" w:rsidR="00937C11" w:rsidRPr="00256555" w:rsidRDefault="0020752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w:t>
            </w:r>
            <w:r w:rsidR="001C0CA4" w:rsidRPr="00256555">
              <w:rPr>
                <w:rFonts w:ascii="Calibri" w:hAnsi="Calibri" w:cs="Calibri"/>
                <w:color w:val="000000"/>
                <w:sz w:val="20"/>
              </w:rPr>
              <w:t xml:space="preserve"> ppt</w:t>
            </w:r>
          </w:p>
        </w:tc>
      </w:tr>
      <w:tr w:rsidR="00B243D8" w:rsidRPr="00797CA2" w14:paraId="6B2A475C"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F38A137" w14:textId="77777777" w:rsidR="003763FC" w:rsidRPr="00256555" w:rsidRDefault="003763FC"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 </w:t>
            </w:r>
          </w:p>
        </w:tc>
        <w:tc>
          <w:tcPr>
            <w:tcW w:w="947" w:type="dxa"/>
            <w:vAlign w:val="center"/>
          </w:tcPr>
          <w:p w14:paraId="5A8D7C3E" w14:textId="37261A5B" w:rsidR="003763FC" w:rsidRPr="00256555" w:rsidRDefault="003763F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283" w:type="dxa"/>
            <w:vAlign w:val="center"/>
          </w:tcPr>
          <w:p w14:paraId="00E43862" w14:textId="45D929D1" w:rsidR="003763FC" w:rsidRPr="00256555" w:rsidRDefault="003763FC"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93" w:type="dxa"/>
            <w:vAlign w:val="center"/>
          </w:tcPr>
          <w:p w14:paraId="4E53C39E" w14:textId="76CD87A1"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86" w:type="dxa"/>
            <w:vAlign w:val="center"/>
          </w:tcPr>
          <w:p w14:paraId="7E847131" w14:textId="3F9CA0B1"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065" w:type="dxa"/>
            <w:vAlign w:val="center"/>
          </w:tcPr>
          <w:p w14:paraId="39F76694" w14:textId="7EC751DE" w:rsidR="003763FC" w:rsidRPr="00256555" w:rsidRDefault="003763FC"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c>
          <w:tcPr>
            <w:tcW w:w="1448" w:type="dxa"/>
            <w:vAlign w:val="center"/>
          </w:tcPr>
          <w:p w14:paraId="63270651" w14:textId="0672D7A4" w:rsidR="003763FC" w:rsidRPr="00256555" w:rsidRDefault="003763FC"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p>
        </w:tc>
      </w:tr>
      <w:tr w:rsidR="00B243D8" w:rsidRPr="00797CA2" w14:paraId="59DEB887"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500090E1" w14:textId="77777777"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WPI growth (NT)</w:t>
            </w:r>
          </w:p>
        </w:tc>
        <w:tc>
          <w:tcPr>
            <w:tcW w:w="947" w:type="dxa"/>
            <w:shd w:val="clear" w:color="auto" w:fill="auto"/>
            <w:vAlign w:val="center"/>
          </w:tcPr>
          <w:p w14:paraId="40C2D657" w14:textId="25E2666F" w:rsidR="00937C11" w:rsidRPr="00256555" w:rsidRDefault="00F476B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1C0CA4" w:rsidRPr="00256555">
              <w:rPr>
                <w:rFonts w:ascii="Calibri" w:hAnsi="Calibri" w:cs="Calibri"/>
                <w:color w:val="000000"/>
                <w:sz w:val="20"/>
              </w:rPr>
              <w:t>-23</w:t>
            </w:r>
          </w:p>
        </w:tc>
        <w:tc>
          <w:tcPr>
            <w:tcW w:w="1283" w:type="dxa"/>
            <w:shd w:val="clear" w:color="auto" w:fill="auto"/>
            <w:vAlign w:val="center"/>
          </w:tcPr>
          <w:p w14:paraId="0DA58FD7" w14:textId="02A8EE4B" w:rsidR="00937C11" w:rsidRPr="00256555" w:rsidRDefault="00207524"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w:t>
            </w:r>
            <w:r w:rsidR="00101BA0" w:rsidRPr="00256555">
              <w:rPr>
                <w:rFonts w:ascii="Calibri" w:hAnsi="Calibri" w:cs="Calibri"/>
                <w:color w:val="000000"/>
                <w:sz w:val="20"/>
              </w:rPr>
              <w:t>3</w:t>
            </w:r>
            <w:r w:rsidR="001C0CA4" w:rsidRPr="00256555">
              <w:rPr>
                <w:rFonts w:ascii="Calibri" w:hAnsi="Calibri" w:cs="Calibri"/>
                <w:color w:val="000000"/>
                <w:sz w:val="20"/>
              </w:rPr>
              <w:t>%</w:t>
            </w:r>
          </w:p>
        </w:tc>
        <w:tc>
          <w:tcPr>
            <w:tcW w:w="1093" w:type="dxa"/>
            <w:shd w:val="clear" w:color="auto" w:fill="auto"/>
            <w:vAlign w:val="center"/>
          </w:tcPr>
          <w:p w14:paraId="238BE27B" w14:textId="09284A94" w:rsidR="00937C11" w:rsidRPr="00256555"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101BA0" w:rsidRPr="00256555">
              <w:rPr>
                <w:rFonts w:ascii="Calibri" w:hAnsi="Calibri" w:cs="Calibri"/>
                <w:color w:val="000000"/>
                <w:sz w:val="20"/>
              </w:rPr>
              <w:t>2</w:t>
            </w:r>
            <w:r w:rsidRPr="00256555">
              <w:rPr>
                <w:rFonts w:ascii="Calibri" w:hAnsi="Calibri" w:cs="Calibri"/>
                <w:color w:val="000000"/>
                <w:sz w:val="20"/>
              </w:rPr>
              <w:t xml:space="preserve"> ppt</w:t>
            </w:r>
          </w:p>
        </w:tc>
        <w:tc>
          <w:tcPr>
            <w:tcW w:w="1086" w:type="dxa"/>
            <w:shd w:val="clear" w:color="auto" w:fill="auto"/>
            <w:vAlign w:val="center"/>
          </w:tcPr>
          <w:p w14:paraId="487C4513" w14:textId="680490AB" w:rsidR="00937C11" w:rsidRPr="00256555"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101BA0" w:rsidRPr="00256555">
              <w:rPr>
                <w:rFonts w:ascii="Calibri" w:hAnsi="Calibri" w:cs="Calibri"/>
                <w:color w:val="000000"/>
                <w:sz w:val="20"/>
              </w:rPr>
              <w:t>8</w:t>
            </w:r>
            <w:r w:rsidRPr="00256555">
              <w:rPr>
                <w:rFonts w:ascii="Calibri" w:hAnsi="Calibri" w:cs="Calibri"/>
                <w:color w:val="000000"/>
                <w:sz w:val="20"/>
              </w:rPr>
              <w:t xml:space="preserve"> ppt</w:t>
            </w:r>
          </w:p>
        </w:tc>
        <w:tc>
          <w:tcPr>
            <w:tcW w:w="1065" w:type="dxa"/>
            <w:shd w:val="clear" w:color="auto" w:fill="auto"/>
            <w:vAlign w:val="center"/>
          </w:tcPr>
          <w:p w14:paraId="6272D32D" w14:textId="3678A964" w:rsidR="00937C11" w:rsidRPr="00256555" w:rsidRDefault="001C0CA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c>
          <w:tcPr>
            <w:tcW w:w="1448" w:type="dxa"/>
            <w:shd w:val="clear" w:color="auto" w:fill="auto"/>
            <w:vAlign w:val="center"/>
          </w:tcPr>
          <w:p w14:paraId="6A1C470D" w14:textId="3DD2C357" w:rsidR="00937C11" w:rsidRPr="00256555" w:rsidRDefault="0020752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101BA0" w:rsidRPr="00256555">
              <w:rPr>
                <w:rFonts w:ascii="Calibri" w:hAnsi="Calibri" w:cs="Calibri"/>
                <w:color w:val="000000"/>
                <w:sz w:val="20"/>
              </w:rPr>
              <w:t>4</w:t>
            </w:r>
            <w:r w:rsidR="001C0CA4" w:rsidRPr="00256555">
              <w:rPr>
                <w:rFonts w:ascii="Calibri" w:hAnsi="Calibri" w:cs="Calibri"/>
                <w:color w:val="000000"/>
                <w:sz w:val="20"/>
              </w:rPr>
              <w:t xml:space="preserve"> ppt</w:t>
            </w:r>
          </w:p>
        </w:tc>
      </w:tr>
      <w:tr w:rsidR="00B243D8" w:rsidRPr="00797CA2" w14:paraId="43A48D08"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505A0815" w14:textId="346990B8" w:rsidR="00937C11" w:rsidRPr="00256555" w:rsidRDefault="00720F4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WPI growth (Aus</w:t>
            </w:r>
            <w:r w:rsidR="00937C11" w:rsidRPr="00256555">
              <w:rPr>
                <w:rFonts w:ascii="Calibri" w:hAnsi="Calibri" w:cs="Calibri"/>
                <w:iCs/>
                <w:color w:val="000000"/>
                <w:sz w:val="20"/>
              </w:rPr>
              <w:t>)</w:t>
            </w:r>
          </w:p>
        </w:tc>
        <w:tc>
          <w:tcPr>
            <w:tcW w:w="947" w:type="dxa"/>
            <w:vAlign w:val="center"/>
          </w:tcPr>
          <w:p w14:paraId="28F4DCD4" w14:textId="4045F4A8" w:rsidR="00937C11" w:rsidRPr="00256555" w:rsidRDefault="00F476B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Dec</w:t>
            </w:r>
            <w:r w:rsidR="001C0CA4" w:rsidRPr="00256555">
              <w:rPr>
                <w:rFonts w:ascii="Calibri" w:hAnsi="Calibri" w:cs="Calibri"/>
                <w:color w:val="000000"/>
                <w:sz w:val="20"/>
              </w:rPr>
              <w:t>-23</w:t>
            </w:r>
          </w:p>
        </w:tc>
        <w:tc>
          <w:tcPr>
            <w:tcW w:w="1283" w:type="dxa"/>
            <w:vAlign w:val="center"/>
          </w:tcPr>
          <w:p w14:paraId="54C88AA1" w14:textId="7FC45851" w:rsidR="00937C11" w:rsidRPr="00256555" w:rsidRDefault="0020752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w:t>
            </w:r>
            <w:r w:rsidR="00101BA0" w:rsidRPr="00256555">
              <w:rPr>
                <w:rFonts w:ascii="Calibri" w:hAnsi="Calibri" w:cs="Calibri"/>
                <w:color w:val="000000"/>
                <w:sz w:val="20"/>
              </w:rPr>
              <w:t>3</w:t>
            </w:r>
            <w:r w:rsidR="001C0CA4" w:rsidRPr="00256555">
              <w:rPr>
                <w:rFonts w:ascii="Calibri" w:hAnsi="Calibri" w:cs="Calibri"/>
                <w:color w:val="000000"/>
                <w:sz w:val="20"/>
              </w:rPr>
              <w:t>%</w:t>
            </w:r>
          </w:p>
        </w:tc>
        <w:tc>
          <w:tcPr>
            <w:tcW w:w="1093" w:type="dxa"/>
            <w:vAlign w:val="center"/>
          </w:tcPr>
          <w:p w14:paraId="2C7B259F" w14:textId="64F2B00D" w:rsidR="00937C11" w:rsidRPr="00256555"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101BA0" w:rsidRPr="00256555">
              <w:rPr>
                <w:rFonts w:ascii="Calibri" w:hAnsi="Calibri" w:cs="Calibri"/>
                <w:color w:val="000000"/>
                <w:sz w:val="20"/>
              </w:rPr>
              <w:t>2</w:t>
            </w:r>
            <w:r w:rsidRPr="00256555">
              <w:rPr>
                <w:rFonts w:ascii="Calibri" w:hAnsi="Calibri" w:cs="Calibri"/>
                <w:color w:val="000000"/>
                <w:sz w:val="20"/>
              </w:rPr>
              <w:t xml:space="preserve"> ppt</w:t>
            </w:r>
          </w:p>
        </w:tc>
        <w:tc>
          <w:tcPr>
            <w:tcW w:w="1086" w:type="dxa"/>
            <w:vAlign w:val="center"/>
          </w:tcPr>
          <w:p w14:paraId="0B5F0428" w14:textId="0E927D84" w:rsidR="00937C11" w:rsidRPr="00256555" w:rsidRDefault="0020752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0.9</w:t>
            </w:r>
            <w:r w:rsidR="001C0CA4" w:rsidRPr="00256555">
              <w:rPr>
                <w:rFonts w:ascii="Calibri" w:hAnsi="Calibri" w:cs="Calibri"/>
                <w:color w:val="000000"/>
                <w:sz w:val="20"/>
              </w:rPr>
              <w:t xml:space="preserve"> ppt</w:t>
            </w:r>
          </w:p>
        </w:tc>
        <w:tc>
          <w:tcPr>
            <w:tcW w:w="1065" w:type="dxa"/>
            <w:vAlign w:val="center"/>
          </w:tcPr>
          <w:p w14:paraId="572F1945" w14:textId="6B4BA140" w:rsidR="00937C11" w:rsidRPr="00256555" w:rsidRDefault="001C0CA4"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c>
          <w:tcPr>
            <w:tcW w:w="1448" w:type="dxa"/>
            <w:vAlign w:val="center"/>
          </w:tcPr>
          <w:p w14:paraId="44E94262" w14:textId="7E34AD9B" w:rsidR="00937C11" w:rsidRPr="00256555" w:rsidRDefault="000C344D"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101BA0" w:rsidRPr="00256555">
              <w:rPr>
                <w:rFonts w:ascii="Calibri" w:hAnsi="Calibri" w:cs="Calibri"/>
                <w:color w:val="000000"/>
                <w:sz w:val="20"/>
              </w:rPr>
              <w:t>6</w:t>
            </w:r>
            <w:r w:rsidR="001C0CA4" w:rsidRPr="00256555">
              <w:rPr>
                <w:rFonts w:ascii="Calibri" w:hAnsi="Calibri" w:cs="Calibri"/>
                <w:color w:val="000000"/>
                <w:sz w:val="20"/>
              </w:rPr>
              <w:t xml:space="preserve"> ppt</w:t>
            </w:r>
          </w:p>
        </w:tc>
      </w:tr>
      <w:tr w:rsidR="00B243D8" w:rsidRPr="004A4BC9" w14:paraId="5A70FCD0"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1AC3472C" w14:textId="72F82852" w:rsidR="004F7E54" w:rsidRPr="00256555" w:rsidRDefault="00995976" w:rsidP="00256555">
            <w:pPr>
              <w:spacing w:before="0" w:after="0"/>
              <w:rPr>
                <w:rFonts w:ascii="Calibri" w:hAnsi="Calibri"/>
                <w:b/>
                <w:sz w:val="20"/>
              </w:rPr>
            </w:pPr>
            <w:r w:rsidRPr="00256555">
              <w:rPr>
                <w:rFonts w:ascii="Calibri" w:hAnsi="Calibri"/>
                <w:b/>
                <w:sz w:val="20"/>
              </w:rPr>
              <w:t>Employment</w:t>
            </w:r>
          </w:p>
        </w:tc>
        <w:tc>
          <w:tcPr>
            <w:tcW w:w="947" w:type="dxa"/>
            <w:vAlign w:val="center"/>
          </w:tcPr>
          <w:p w14:paraId="508E1F9A" w14:textId="77777777" w:rsidR="004F7E54" w:rsidRPr="00256555"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283" w:type="dxa"/>
            <w:vAlign w:val="center"/>
          </w:tcPr>
          <w:p w14:paraId="775F2EC2" w14:textId="2F028850" w:rsidR="004F7E54" w:rsidRPr="00256555" w:rsidRDefault="00461158"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256555">
              <w:rPr>
                <w:rFonts w:ascii="Calibri" w:hAnsi="Calibri" w:cs="Calibri"/>
                <w:b/>
                <w:color w:val="000000"/>
                <w:sz w:val="20"/>
              </w:rPr>
              <w:t>#M</w:t>
            </w:r>
          </w:p>
        </w:tc>
        <w:tc>
          <w:tcPr>
            <w:tcW w:w="1093" w:type="dxa"/>
            <w:vAlign w:val="center"/>
          </w:tcPr>
          <w:p w14:paraId="1991C430"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86" w:type="dxa"/>
            <w:vAlign w:val="center"/>
          </w:tcPr>
          <w:p w14:paraId="082014B9"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65" w:type="dxa"/>
            <w:vAlign w:val="center"/>
          </w:tcPr>
          <w:p w14:paraId="51C7A1EC"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448" w:type="dxa"/>
            <w:vAlign w:val="center"/>
          </w:tcPr>
          <w:p w14:paraId="729BB4B8" w14:textId="77777777" w:rsidR="004F7E54" w:rsidRPr="00256555"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r>
      <w:tr w:rsidR="00B243D8" w:rsidRPr="00797CA2" w14:paraId="514638C6"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3B9FAF13" w14:textId="77777777"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Employment (NT) (sa)</w:t>
            </w:r>
          </w:p>
        </w:tc>
        <w:tc>
          <w:tcPr>
            <w:tcW w:w="947" w:type="dxa"/>
            <w:vAlign w:val="center"/>
          </w:tcPr>
          <w:p w14:paraId="780C3AE0" w14:textId="42C163A9" w:rsidR="00937C11" w:rsidRPr="00256555" w:rsidRDefault="009E68D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F476B4" w:rsidRPr="00256555">
              <w:rPr>
                <w:rFonts w:ascii="Calibri" w:hAnsi="Calibri" w:cs="Calibri"/>
                <w:color w:val="000000"/>
                <w:sz w:val="20"/>
              </w:rPr>
              <w:t>-24</w:t>
            </w:r>
          </w:p>
        </w:tc>
        <w:tc>
          <w:tcPr>
            <w:tcW w:w="1283" w:type="dxa"/>
            <w:vAlign w:val="center"/>
          </w:tcPr>
          <w:p w14:paraId="083B8E74" w14:textId="4B04E1B9" w:rsidR="00937C11" w:rsidRPr="00256555" w:rsidRDefault="001C0CA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0.1</w:t>
            </w:r>
            <w:r w:rsidR="009E68D4">
              <w:rPr>
                <w:rFonts w:ascii="Calibri" w:hAnsi="Calibri" w:cs="Calibri"/>
                <w:color w:val="000000"/>
                <w:sz w:val="20"/>
              </w:rPr>
              <w:t>39</w:t>
            </w:r>
          </w:p>
        </w:tc>
        <w:tc>
          <w:tcPr>
            <w:tcW w:w="1093" w:type="dxa"/>
            <w:vAlign w:val="center"/>
          </w:tcPr>
          <w:p w14:paraId="6FD49AFB" w14:textId="186475E7" w:rsidR="00937C11" w:rsidRPr="00256555"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9E68D4">
              <w:rPr>
                <w:rFonts w:ascii="Calibri" w:hAnsi="Calibri" w:cs="Calibri"/>
                <w:color w:val="000000"/>
                <w:sz w:val="20"/>
              </w:rPr>
              <w:t>9</w:t>
            </w:r>
            <w:r w:rsidR="001C0CA4" w:rsidRPr="00256555">
              <w:rPr>
                <w:rFonts w:ascii="Calibri" w:hAnsi="Calibri" w:cs="Calibri"/>
                <w:color w:val="000000"/>
                <w:sz w:val="20"/>
              </w:rPr>
              <w:t>%</w:t>
            </w:r>
          </w:p>
        </w:tc>
        <w:tc>
          <w:tcPr>
            <w:tcW w:w="1086" w:type="dxa"/>
            <w:vAlign w:val="center"/>
          </w:tcPr>
          <w:p w14:paraId="4A4A7AC8" w14:textId="1A367025" w:rsidR="00937C11" w:rsidRPr="00256555" w:rsidRDefault="009E68D4" w:rsidP="009E68D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2.6</w:t>
            </w:r>
            <w:r w:rsidR="001C0CA4" w:rsidRPr="00256555">
              <w:rPr>
                <w:rFonts w:ascii="Calibri" w:hAnsi="Calibri" w:cs="Calibri"/>
                <w:color w:val="000000"/>
                <w:sz w:val="20"/>
              </w:rPr>
              <w:t>%</w:t>
            </w:r>
          </w:p>
        </w:tc>
        <w:tc>
          <w:tcPr>
            <w:tcW w:w="1065" w:type="dxa"/>
            <w:vAlign w:val="center"/>
          </w:tcPr>
          <w:p w14:paraId="26551E34" w14:textId="1EE62F30" w:rsidR="00937C11" w:rsidRPr="00256555" w:rsidRDefault="009E68D4" w:rsidP="009E68D4">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1.6</w:t>
            </w:r>
            <w:r w:rsidR="001C0CA4" w:rsidRPr="00256555">
              <w:rPr>
                <w:rFonts w:ascii="Calibri" w:hAnsi="Calibri" w:cs="Calibri"/>
                <w:color w:val="000000"/>
                <w:sz w:val="20"/>
              </w:rPr>
              <w:t>%</w:t>
            </w:r>
          </w:p>
        </w:tc>
        <w:tc>
          <w:tcPr>
            <w:tcW w:w="1448" w:type="dxa"/>
            <w:vAlign w:val="center"/>
          </w:tcPr>
          <w:p w14:paraId="2A7478AC" w14:textId="6E4A65C0" w:rsidR="00937C11" w:rsidRPr="00256555" w:rsidRDefault="009E68D4" w:rsidP="009E68D4">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4.4</w:t>
            </w:r>
            <w:r w:rsidR="001C0CA4" w:rsidRPr="00256555">
              <w:rPr>
                <w:rFonts w:ascii="Calibri" w:hAnsi="Calibri" w:cs="Calibri"/>
                <w:color w:val="000000"/>
                <w:sz w:val="20"/>
              </w:rPr>
              <w:t>%</w:t>
            </w:r>
          </w:p>
        </w:tc>
      </w:tr>
      <w:tr w:rsidR="00B243D8" w:rsidRPr="00797CA2" w14:paraId="7EC29B8F"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0DFCD90D" w14:textId="77777777"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Employment (Aus) (sa)</w:t>
            </w:r>
          </w:p>
        </w:tc>
        <w:tc>
          <w:tcPr>
            <w:tcW w:w="947" w:type="dxa"/>
            <w:shd w:val="clear" w:color="auto" w:fill="auto"/>
            <w:vAlign w:val="center"/>
          </w:tcPr>
          <w:p w14:paraId="381F8863" w14:textId="44A7F754" w:rsidR="00937C11" w:rsidRPr="00256555" w:rsidRDefault="009E68D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F476B4" w:rsidRPr="00256555">
              <w:rPr>
                <w:rFonts w:ascii="Calibri" w:hAnsi="Calibri" w:cs="Calibri"/>
                <w:color w:val="000000"/>
                <w:sz w:val="20"/>
              </w:rPr>
              <w:t>-24</w:t>
            </w:r>
          </w:p>
        </w:tc>
        <w:tc>
          <w:tcPr>
            <w:tcW w:w="1283" w:type="dxa"/>
            <w:shd w:val="clear" w:color="auto" w:fill="auto"/>
            <w:vAlign w:val="center"/>
          </w:tcPr>
          <w:p w14:paraId="2CC00E70" w14:textId="35B829FB" w:rsidR="00937C11" w:rsidRPr="00256555" w:rsidRDefault="001C0CA4" w:rsidP="009E68D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14.</w:t>
            </w:r>
            <w:r w:rsidR="005D4CDC" w:rsidRPr="00256555">
              <w:rPr>
                <w:rFonts w:ascii="Calibri" w:hAnsi="Calibri" w:cs="Calibri"/>
                <w:color w:val="000000"/>
                <w:sz w:val="20"/>
              </w:rPr>
              <w:t>2</w:t>
            </w:r>
            <w:r w:rsidR="009E68D4">
              <w:rPr>
                <w:rFonts w:ascii="Calibri" w:hAnsi="Calibri" w:cs="Calibri"/>
                <w:color w:val="000000"/>
                <w:sz w:val="20"/>
              </w:rPr>
              <w:t>7</w:t>
            </w:r>
          </w:p>
        </w:tc>
        <w:tc>
          <w:tcPr>
            <w:tcW w:w="1093" w:type="dxa"/>
            <w:shd w:val="clear" w:color="auto" w:fill="auto"/>
            <w:vAlign w:val="center"/>
          </w:tcPr>
          <w:p w14:paraId="5EF6BBAC" w14:textId="0CE1CD7F" w:rsidR="00937C11" w:rsidRPr="00256555" w:rsidRDefault="009B48D2"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9E68D4">
              <w:rPr>
                <w:rFonts w:ascii="Calibri" w:hAnsi="Calibri" w:cs="Calibri"/>
                <w:color w:val="000000"/>
                <w:sz w:val="20"/>
              </w:rPr>
              <w:t>.8</w:t>
            </w:r>
            <w:r w:rsidR="001C0CA4" w:rsidRPr="00256555">
              <w:rPr>
                <w:rFonts w:ascii="Calibri" w:hAnsi="Calibri" w:cs="Calibri"/>
                <w:color w:val="000000"/>
                <w:sz w:val="20"/>
              </w:rPr>
              <w:t>%</w:t>
            </w:r>
          </w:p>
        </w:tc>
        <w:tc>
          <w:tcPr>
            <w:tcW w:w="1086" w:type="dxa"/>
            <w:shd w:val="clear" w:color="auto" w:fill="auto"/>
            <w:vAlign w:val="center"/>
          </w:tcPr>
          <w:p w14:paraId="3A8A9F49" w14:textId="0FFF87C7" w:rsidR="00937C11" w:rsidRPr="00256555" w:rsidRDefault="009E68D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3.2</w:t>
            </w:r>
            <w:r w:rsidR="001C0CA4" w:rsidRPr="00256555">
              <w:rPr>
                <w:rFonts w:ascii="Calibri" w:hAnsi="Calibri" w:cs="Calibri"/>
                <w:color w:val="000000"/>
                <w:sz w:val="20"/>
              </w:rPr>
              <w:t>%</w:t>
            </w:r>
          </w:p>
        </w:tc>
        <w:tc>
          <w:tcPr>
            <w:tcW w:w="1065" w:type="dxa"/>
            <w:shd w:val="clear" w:color="auto" w:fill="auto"/>
            <w:vAlign w:val="center"/>
          </w:tcPr>
          <w:p w14:paraId="730D7946" w14:textId="6BA2325E" w:rsidR="00937C11" w:rsidRPr="00256555" w:rsidRDefault="0020752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3.</w:t>
            </w:r>
            <w:r w:rsidR="00101BA0" w:rsidRPr="00256555">
              <w:rPr>
                <w:rFonts w:ascii="Calibri" w:hAnsi="Calibri" w:cs="Calibri"/>
                <w:color w:val="000000"/>
                <w:sz w:val="20"/>
              </w:rPr>
              <w:t>2</w:t>
            </w:r>
            <w:r w:rsidR="001C0CA4" w:rsidRPr="00256555">
              <w:rPr>
                <w:rFonts w:ascii="Calibri" w:hAnsi="Calibri" w:cs="Calibri"/>
                <w:color w:val="000000"/>
                <w:sz w:val="20"/>
              </w:rPr>
              <w:t>%</w:t>
            </w:r>
          </w:p>
        </w:tc>
        <w:tc>
          <w:tcPr>
            <w:tcW w:w="1448" w:type="dxa"/>
            <w:shd w:val="clear" w:color="auto" w:fill="auto"/>
            <w:vAlign w:val="center"/>
          </w:tcPr>
          <w:p w14:paraId="66F276C0" w14:textId="062E8965" w:rsidR="00937C11" w:rsidRPr="00256555" w:rsidRDefault="005D4CDC"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9</w:t>
            </w:r>
            <w:r w:rsidR="00101BA0" w:rsidRPr="00256555">
              <w:rPr>
                <w:rFonts w:ascii="Calibri" w:hAnsi="Calibri" w:cs="Calibri"/>
                <w:color w:val="000000"/>
                <w:sz w:val="20"/>
              </w:rPr>
              <w:t>.</w:t>
            </w:r>
            <w:r w:rsidR="009E68D4">
              <w:rPr>
                <w:rFonts w:ascii="Calibri" w:hAnsi="Calibri" w:cs="Calibri"/>
                <w:color w:val="000000"/>
                <w:sz w:val="20"/>
              </w:rPr>
              <w:t>7</w:t>
            </w:r>
            <w:r w:rsidR="001C0CA4" w:rsidRPr="00256555">
              <w:rPr>
                <w:rFonts w:ascii="Calibri" w:hAnsi="Calibri" w:cs="Calibri"/>
                <w:color w:val="000000"/>
                <w:sz w:val="20"/>
              </w:rPr>
              <w:t>%</w:t>
            </w:r>
          </w:p>
        </w:tc>
      </w:tr>
      <w:tr w:rsidR="00995976" w:rsidRPr="004A4BC9" w14:paraId="1081F6C8"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D9D9D9" w:themeFill="background1" w:themeFillShade="D9"/>
            <w:vAlign w:val="center"/>
          </w:tcPr>
          <w:p w14:paraId="41D3E135" w14:textId="5EDBAC24" w:rsidR="00995976" w:rsidRPr="00256555" w:rsidRDefault="00995976" w:rsidP="00256555">
            <w:pPr>
              <w:spacing w:before="0" w:after="0"/>
              <w:rPr>
                <w:rFonts w:ascii="Calibri" w:hAnsi="Calibri"/>
                <w:b/>
                <w:sz w:val="20"/>
              </w:rPr>
            </w:pPr>
            <w:r w:rsidRPr="00256555">
              <w:rPr>
                <w:rFonts w:ascii="Calibri" w:hAnsi="Calibri"/>
                <w:b/>
                <w:sz w:val="20"/>
              </w:rPr>
              <w:t>Unemployment</w:t>
            </w:r>
          </w:p>
        </w:tc>
        <w:tc>
          <w:tcPr>
            <w:tcW w:w="947" w:type="dxa"/>
            <w:shd w:val="clear" w:color="auto" w:fill="D9D9D9" w:themeFill="background1" w:themeFillShade="D9"/>
            <w:vAlign w:val="center"/>
          </w:tcPr>
          <w:p w14:paraId="78738E4F" w14:textId="77777777" w:rsidR="00995976" w:rsidRPr="00256555" w:rsidRDefault="00995976"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283" w:type="dxa"/>
            <w:shd w:val="clear" w:color="auto" w:fill="D9D9D9" w:themeFill="background1" w:themeFillShade="D9"/>
            <w:vAlign w:val="center"/>
          </w:tcPr>
          <w:p w14:paraId="042767A9" w14:textId="638F3BC7" w:rsidR="00995976" w:rsidRPr="00256555" w:rsidRDefault="00995976"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rPr>
            </w:pPr>
            <w:r w:rsidRPr="00256555">
              <w:rPr>
                <w:rFonts w:ascii="Calibri" w:hAnsi="Calibri" w:cs="Calibri"/>
                <w:b/>
                <w:color w:val="000000"/>
                <w:sz w:val="20"/>
              </w:rPr>
              <w:t>Rate</w:t>
            </w:r>
          </w:p>
        </w:tc>
        <w:tc>
          <w:tcPr>
            <w:tcW w:w="1093" w:type="dxa"/>
            <w:shd w:val="clear" w:color="auto" w:fill="D9D9D9" w:themeFill="background1" w:themeFillShade="D9"/>
            <w:vAlign w:val="center"/>
          </w:tcPr>
          <w:p w14:paraId="76C074B7" w14:textId="77777777" w:rsidR="00995976" w:rsidRPr="00256555"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86" w:type="dxa"/>
            <w:shd w:val="clear" w:color="auto" w:fill="D9D9D9" w:themeFill="background1" w:themeFillShade="D9"/>
            <w:vAlign w:val="center"/>
          </w:tcPr>
          <w:p w14:paraId="504A84C5" w14:textId="77777777" w:rsidR="00995976" w:rsidRPr="00256555"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65" w:type="dxa"/>
            <w:shd w:val="clear" w:color="auto" w:fill="D9D9D9" w:themeFill="background1" w:themeFillShade="D9"/>
            <w:vAlign w:val="center"/>
          </w:tcPr>
          <w:p w14:paraId="55D44FCF" w14:textId="77777777" w:rsidR="00995976" w:rsidRPr="00256555" w:rsidRDefault="00995976"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448" w:type="dxa"/>
            <w:shd w:val="clear" w:color="auto" w:fill="D9D9D9" w:themeFill="background1" w:themeFillShade="D9"/>
            <w:vAlign w:val="center"/>
          </w:tcPr>
          <w:p w14:paraId="4D0694A9" w14:textId="77777777" w:rsidR="00995976" w:rsidRPr="00256555" w:rsidRDefault="00995976"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r>
      <w:tr w:rsidR="00B243D8" w:rsidRPr="00797CA2" w14:paraId="53215664"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598F1670" w14:textId="77777777"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Unemployment rate (NT) (sa)</w:t>
            </w:r>
          </w:p>
        </w:tc>
        <w:tc>
          <w:tcPr>
            <w:tcW w:w="947" w:type="dxa"/>
            <w:shd w:val="clear" w:color="auto" w:fill="auto"/>
            <w:vAlign w:val="center"/>
          </w:tcPr>
          <w:p w14:paraId="615CB847" w14:textId="379098AA" w:rsidR="00937C11" w:rsidRPr="00256555" w:rsidRDefault="009E68D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1C0CA4" w:rsidRPr="00256555">
              <w:rPr>
                <w:rFonts w:ascii="Calibri" w:hAnsi="Calibri" w:cs="Calibri"/>
                <w:color w:val="000000"/>
                <w:sz w:val="20"/>
              </w:rPr>
              <w:t>-</w:t>
            </w:r>
            <w:r w:rsidR="00F476B4" w:rsidRPr="00256555">
              <w:rPr>
                <w:rFonts w:ascii="Calibri" w:hAnsi="Calibri" w:cs="Calibri"/>
                <w:color w:val="000000"/>
                <w:sz w:val="20"/>
              </w:rPr>
              <w:t>24</w:t>
            </w:r>
          </w:p>
        </w:tc>
        <w:tc>
          <w:tcPr>
            <w:tcW w:w="1283" w:type="dxa"/>
            <w:shd w:val="clear" w:color="auto" w:fill="auto"/>
            <w:vAlign w:val="center"/>
          </w:tcPr>
          <w:p w14:paraId="3D1663B8" w14:textId="4B5F2EDC" w:rsidR="00937C11" w:rsidRPr="00256555" w:rsidRDefault="009E68D4"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4.4</w:t>
            </w:r>
            <w:r w:rsidR="001C0CA4" w:rsidRPr="00256555">
              <w:rPr>
                <w:rFonts w:ascii="Calibri" w:hAnsi="Calibri" w:cs="Calibri"/>
                <w:color w:val="000000"/>
                <w:sz w:val="20"/>
              </w:rPr>
              <w:t>%</w:t>
            </w:r>
          </w:p>
        </w:tc>
        <w:tc>
          <w:tcPr>
            <w:tcW w:w="1093" w:type="dxa"/>
            <w:shd w:val="clear" w:color="auto" w:fill="auto"/>
            <w:vAlign w:val="center"/>
          </w:tcPr>
          <w:p w14:paraId="1EFC6136" w14:textId="1A657B29" w:rsidR="00937C11" w:rsidRPr="00256555" w:rsidRDefault="005D4CDC" w:rsidP="009E68D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1C0CA4" w:rsidRPr="00256555">
              <w:rPr>
                <w:rFonts w:ascii="Calibri" w:hAnsi="Calibri" w:cs="Calibri"/>
                <w:color w:val="000000"/>
                <w:sz w:val="20"/>
              </w:rPr>
              <w:t xml:space="preserve"> ppt</w:t>
            </w:r>
          </w:p>
        </w:tc>
        <w:tc>
          <w:tcPr>
            <w:tcW w:w="1086" w:type="dxa"/>
            <w:shd w:val="clear" w:color="auto" w:fill="auto"/>
            <w:vAlign w:val="center"/>
          </w:tcPr>
          <w:p w14:paraId="532A2683" w14:textId="08F4143A" w:rsidR="00937C11" w:rsidRPr="00256555" w:rsidRDefault="00101BA0" w:rsidP="009E68D4">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9B48D2" w:rsidRPr="00256555">
              <w:rPr>
                <w:rFonts w:ascii="Calibri" w:hAnsi="Calibri" w:cs="Calibri"/>
                <w:color w:val="000000"/>
                <w:sz w:val="20"/>
              </w:rPr>
              <w:t xml:space="preserve"> </w:t>
            </w:r>
            <w:r w:rsidR="001C0CA4" w:rsidRPr="00256555">
              <w:rPr>
                <w:rFonts w:ascii="Calibri" w:hAnsi="Calibri" w:cs="Calibri"/>
                <w:color w:val="000000"/>
                <w:sz w:val="20"/>
              </w:rPr>
              <w:t>ppt</w:t>
            </w:r>
          </w:p>
        </w:tc>
        <w:tc>
          <w:tcPr>
            <w:tcW w:w="1065" w:type="dxa"/>
            <w:shd w:val="clear" w:color="auto" w:fill="auto"/>
            <w:vAlign w:val="center"/>
          </w:tcPr>
          <w:p w14:paraId="13145DE3" w14:textId="562BF2FE" w:rsidR="00937C11" w:rsidRPr="00256555" w:rsidRDefault="001C0CA4"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c>
          <w:tcPr>
            <w:tcW w:w="1448" w:type="dxa"/>
            <w:shd w:val="clear" w:color="auto" w:fill="auto"/>
            <w:vAlign w:val="center"/>
          </w:tcPr>
          <w:p w14:paraId="0F628F55" w14:textId="0575BB80" w:rsidR="00937C11" w:rsidRPr="00256555" w:rsidRDefault="001C0CA4" w:rsidP="009E68D4">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w:t>
            </w:r>
            <w:r w:rsidR="005D4CDC" w:rsidRPr="00256555">
              <w:rPr>
                <w:rFonts w:ascii="Calibri" w:hAnsi="Calibri" w:cs="Calibri"/>
                <w:color w:val="000000"/>
                <w:sz w:val="20"/>
              </w:rPr>
              <w:t>1.</w:t>
            </w:r>
            <w:r w:rsidR="009E68D4">
              <w:rPr>
                <w:rFonts w:ascii="Calibri" w:hAnsi="Calibri" w:cs="Calibri"/>
                <w:color w:val="000000"/>
                <w:sz w:val="20"/>
              </w:rPr>
              <w:t>7</w:t>
            </w:r>
            <w:r w:rsidRPr="00256555">
              <w:rPr>
                <w:rFonts w:ascii="Calibri" w:hAnsi="Calibri" w:cs="Calibri"/>
                <w:color w:val="000000"/>
                <w:sz w:val="20"/>
              </w:rPr>
              <w:t xml:space="preserve"> ppt</w:t>
            </w:r>
          </w:p>
        </w:tc>
      </w:tr>
      <w:tr w:rsidR="00B243D8" w:rsidRPr="00797CA2" w14:paraId="01535E0A"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40FC221B" w14:textId="0D3F8616" w:rsidR="00937C11" w:rsidRPr="00256555" w:rsidRDefault="00720F4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Unemployment rate (Aus</w:t>
            </w:r>
            <w:r w:rsidR="00937C11" w:rsidRPr="00256555">
              <w:rPr>
                <w:rFonts w:ascii="Calibri" w:hAnsi="Calibri" w:cs="Calibri"/>
                <w:iCs/>
                <w:color w:val="000000"/>
                <w:sz w:val="20"/>
              </w:rPr>
              <w:t>) (sa)</w:t>
            </w:r>
          </w:p>
        </w:tc>
        <w:tc>
          <w:tcPr>
            <w:tcW w:w="947" w:type="dxa"/>
            <w:vAlign w:val="center"/>
          </w:tcPr>
          <w:p w14:paraId="23B52F3E" w14:textId="74FA15B7" w:rsidR="00937C11" w:rsidRPr="00256555" w:rsidRDefault="009E68D4"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Feb</w:t>
            </w:r>
            <w:r w:rsidR="00F476B4" w:rsidRPr="00256555">
              <w:rPr>
                <w:rFonts w:ascii="Calibri" w:hAnsi="Calibri" w:cs="Calibri"/>
                <w:color w:val="000000"/>
                <w:sz w:val="20"/>
              </w:rPr>
              <w:t>-24</w:t>
            </w:r>
          </w:p>
        </w:tc>
        <w:tc>
          <w:tcPr>
            <w:tcW w:w="1283" w:type="dxa"/>
            <w:vAlign w:val="center"/>
          </w:tcPr>
          <w:p w14:paraId="78E2114C" w14:textId="12C6CF74" w:rsidR="00937C11" w:rsidRPr="00256555" w:rsidRDefault="009E68D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3.7</w:t>
            </w:r>
            <w:r w:rsidR="001C0CA4" w:rsidRPr="00256555">
              <w:rPr>
                <w:rFonts w:ascii="Calibri" w:hAnsi="Calibri" w:cs="Calibri"/>
                <w:color w:val="000000"/>
                <w:sz w:val="20"/>
              </w:rPr>
              <w:t>%</w:t>
            </w:r>
          </w:p>
        </w:tc>
        <w:tc>
          <w:tcPr>
            <w:tcW w:w="1093" w:type="dxa"/>
            <w:vAlign w:val="center"/>
          </w:tcPr>
          <w:p w14:paraId="13BE7E28" w14:textId="2C5A89CB" w:rsidR="00937C11" w:rsidRPr="00256555" w:rsidRDefault="009E68D4"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w:t>
            </w:r>
            <w:r w:rsidR="009B48D2" w:rsidRPr="00256555">
              <w:rPr>
                <w:rFonts w:ascii="Calibri" w:hAnsi="Calibri" w:cs="Calibri"/>
                <w:color w:val="000000"/>
                <w:sz w:val="20"/>
              </w:rPr>
              <w:t>0</w:t>
            </w:r>
            <w:r w:rsidR="005D4CDC" w:rsidRPr="00256555">
              <w:rPr>
                <w:rFonts w:ascii="Calibri" w:hAnsi="Calibri" w:cs="Calibri"/>
                <w:color w:val="000000"/>
                <w:sz w:val="20"/>
              </w:rPr>
              <w:t>.</w:t>
            </w:r>
            <w:r>
              <w:rPr>
                <w:rFonts w:ascii="Calibri" w:hAnsi="Calibri" w:cs="Calibri"/>
                <w:color w:val="000000"/>
                <w:sz w:val="20"/>
              </w:rPr>
              <w:t>4</w:t>
            </w:r>
            <w:r w:rsidR="009B48D2" w:rsidRPr="00256555">
              <w:rPr>
                <w:rFonts w:ascii="Calibri" w:hAnsi="Calibri" w:cs="Calibri"/>
                <w:color w:val="000000"/>
                <w:sz w:val="20"/>
              </w:rPr>
              <w:t xml:space="preserve"> </w:t>
            </w:r>
            <w:r w:rsidR="001C0CA4" w:rsidRPr="00256555">
              <w:rPr>
                <w:rFonts w:ascii="Calibri" w:hAnsi="Calibri" w:cs="Calibri"/>
                <w:color w:val="000000"/>
                <w:sz w:val="20"/>
              </w:rPr>
              <w:t>ppt</w:t>
            </w:r>
          </w:p>
        </w:tc>
        <w:tc>
          <w:tcPr>
            <w:tcW w:w="1086" w:type="dxa"/>
            <w:vAlign w:val="center"/>
          </w:tcPr>
          <w:p w14:paraId="0DFA8D97" w14:textId="7F306AC7" w:rsidR="00937C11" w:rsidRPr="00256555" w:rsidRDefault="001C0CA4" w:rsidP="009E68D4">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9E68D4">
              <w:rPr>
                <w:rFonts w:ascii="Calibri" w:hAnsi="Calibri" w:cs="Calibri"/>
                <w:color w:val="000000"/>
                <w:sz w:val="20"/>
              </w:rPr>
              <w:t>1</w:t>
            </w:r>
            <w:r w:rsidR="009B48D2" w:rsidRPr="00256555">
              <w:rPr>
                <w:rFonts w:ascii="Calibri" w:hAnsi="Calibri" w:cs="Calibri"/>
                <w:color w:val="000000"/>
                <w:sz w:val="20"/>
              </w:rPr>
              <w:t xml:space="preserve"> </w:t>
            </w:r>
            <w:r w:rsidRPr="00256555">
              <w:rPr>
                <w:rFonts w:ascii="Calibri" w:hAnsi="Calibri" w:cs="Calibri"/>
                <w:color w:val="000000"/>
                <w:sz w:val="20"/>
              </w:rPr>
              <w:t>ppt</w:t>
            </w:r>
          </w:p>
        </w:tc>
        <w:tc>
          <w:tcPr>
            <w:tcW w:w="1065" w:type="dxa"/>
            <w:vAlign w:val="center"/>
          </w:tcPr>
          <w:p w14:paraId="60169127" w14:textId="4509B2B0" w:rsidR="00937C11" w:rsidRPr="00256555" w:rsidRDefault="00187637"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w:t>
            </w:r>
            <w:r w:rsidR="001C0CA4" w:rsidRPr="00256555">
              <w:rPr>
                <w:rFonts w:ascii="Calibri" w:hAnsi="Calibri" w:cs="Calibri"/>
                <w:color w:val="000000"/>
                <w:sz w:val="20"/>
              </w:rPr>
              <w:t>a</w:t>
            </w:r>
          </w:p>
        </w:tc>
        <w:tc>
          <w:tcPr>
            <w:tcW w:w="1448" w:type="dxa"/>
            <w:vAlign w:val="center"/>
          </w:tcPr>
          <w:p w14:paraId="5CCB60F4" w14:textId="724E5DBB" w:rsidR="00937C11" w:rsidRPr="00256555" w:rsidRDefault="001C0CA4" w:rsidP="00256555">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-1.</w:t>
            </w:r>
            <w:r w:rsidR="009E68D4">
              <w:rPr>
                <w:rFonts w:ascii="Calibri" w:hAnsi="Calibri" w:cs="Calibri"/>
                <w:color w:val="000000"/>
                <w:sz w:val="20"/>
              </w:rPr>
              <w:t>4</w:t>
            </w:r>
            <w:r w:rsidRPr="00256555">
              <w:rPr>
                <w:rFonts w:ascii="Calibri" w:hAnsi="Calibri" w:cs="Calibri"/>
                <w:color w:val="000000"/>
                <w:sz w:val="20"/>
              </w:rPr>
              <w:t xml:space="preserve"> ppt</w:t>
            </w:r>
          </w:p>
        </w:tc>
      </w:tr>
      <w:tr w:rsidR="00B243D8" w:rsidRPr="004A4BC9" w14:paraId="3EDA8D03"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764B6099" w14:textId="77777777" w:rsidR="004F7E54" w:rsidRPr="00256555" w:rsidRDefault="004F7E54" w:rsidP="00256555">
            <w:pPr>
              <w:spacing w:before="0" w:after="0"/>
              <w:rPr>
                <w:rFonts w:ascii="Calibri" w:hAnsi="Calibri"/>
                <w:b/>
                <w:sz w:val="20"/>
              </w:rPr>
            </w:pPr>
            <w:r w:rsidRPr="00256555">
              <w:rPr>
                <w:rFonts w:ascii="Calibri" w:hAnsi="Calibri"/>
                <w:b/>
                <w:sz w:val="20"/>
              </w:rPr>
              <w:t>Population</w:t>
            </w:r>
          </w:p>
        </w:tc>
        <w:tc>
          <w:tcPr>
            <w:tcW w:w="947" w:type="dxa"/>
            <w:vAlign w:val="center"/>
          </w:tcPr>
          <w:p w14:paraId="44C5CBEA" w14:textId="77777777" w:rsidR="004F7E54" w:rsidRPr="00256555" w:rsidRDefault="004F7E54"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283" w:type="dxa"/>
            <w:vAlign w:val="center"/>
          </w:tcPr>
          <w:p w14:paraId="732C9876" w14:textId="01CC111F" w:rsidR="004F7E54" w:rsidRPr="00256555" w:rsidRDefault="00493695" w:rsidP="00256555">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b/>
                <w:color w:val="000000"/>
                <w:sz w:val="20"/>
              </w:rPr>
            </w:pPr>
            <w:r w:rsidRPr="00256555">
              <w:rPr>
                <w:rFonts w:ascii="Calibri" w:hAnsi="Calibri" w:cs="Calibri"/>
                <w:b/>
                <w:color w:val="000000"/>
                <w:sz w:val="20"/>
              </w:rPr>
              <w:t>#M</w:t>
            </w:r>
          </w:p>
        </w:tc>
        <w:tc>
          <w:tcPr>
            <w:tcW w:w="1093" w:type="dxa"/>
            <w:vAlign w:val="center"/>
          </w:tcPr>
          <w:p w14:paraId="10E1D983"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86" w:type="dxa"/>
            <w:vAlign w:val="center"/>
          </w:tcPr>
          <w:p w14:paraId="436226C5"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065" w:type="dxa"/>
            <w:vAlign w:val="center"/>
          </w:tcPr>
          <w:p w14:paraId="2776258A" w14:textId="77777777" w:rsidR="004F7E54" w:rsidRPr="00256555" w:rsidRDefault="004F7E54"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c>
          <w:tcPr>
            <w:tcW w:w="1448" w:type="dxa"/>
            <w:vAlign w:val="center"/>
          </w:tcPr>
          <w:p w14:paraId="7A8AEE07" w14:textId="77777777" w:rsidR="004F7E54" w:rsidRPr="00256555" w:rsidRDefault="004F7E54"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 </w:t>
            </w:r>
          </w:p>
        </w:tc>
      </w:tr>
      <w:tr w:rsidR="00B243D8" w:rsidRPr="00797CA2" w14:paraId="72E620D8" w14:textId="77777777" w:rsidTr="00A4499A">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vAlign w:val="center"/>
          </w:tcPr>
          <w:p w14:paraId="61607957" w14:textId="77777777" w:rsidR="00937C11" w:rsidRPr="00256555" w:rsidRDefault="00937C1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Population (NT)</w:t>
            </w:r>
          </w:p>
        </w:tc>
        <w:tc>
          <w:tcPr>
            <w:tcW w:w="947" w:type="dxa"/>
            <w:vAlign w:val="center"/>
          </w:tcPr>
          <w:p w14:paraId="4D1BE2DC" w14:textId="4BADB66C" w:rsidR="00937C11" w:rsidRPr="00256555" w:rsidRDefault="00D5080C" w:rsidP="00256555">
            <w:pPr>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Pr>
                <w:rFonts w:ascii="Calibri" w:hAnsi="Calibri" w:cs="Calibri"/>
                <w:color w:val="000000"/>
                <w:sz w:val="20"/>
              </w:rPr>
              <w:t>Sep</w:t>
            </w:r>
            <w:r w:rsidR="0033684F" w:rsidRPr="00256555">
              <w:rPr>
                <w:rFonts w:ascii="Calibri" w:hAnsi="Calibri" w:cs="Calibri"/>
                <w:color w:val="000000"/>
                <w:sz w:val="20"/>
              </w:rPr>
              <w:t>-23</w:t>
            </w:r>
          </w:p>
        </w:tc>
        <w:tc>
          <w:tcPr>
            <w:tcW w:w="1283" w:type="dxa"/>
            <w:vAlign w:val="center"/>
          </w:tcPr>
          <w:p w14:paraId="41DAED1C" w14:textId="6C14739B" w:rsidR="00937C11" w:rsidRPr="00256555" w:rsidRDefault="00461158" w:rsidP="00256555">
            <w:pPr>
              <w:spacing w:before="0" w:after="0"/>
              <w:ind w:right="94"/>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9B48D2" w:rsidRPr="00256555">
              <w:rPr>
                <w:rFonts w:ascii="Calibri" w:hAnsi="Calibri" w:cs="Calibri"/>
                <w:color w:val="000000"/>
                <w:sz w:val="20"/>
              </w:rPr>
              <w:t>252</w:t>
            </w:r>
          </w:p>
        </w:tc>
        <w:tc>
          <w:tcPr>
            <w:tcW w:w="1093" w:type="dxa"/>
            <w:vAlign w:val="center"/>
          </w:tcPr>
          <w:p w14:paraId="06C72730" w14:textId="2BA65DAB" w:rsidR="00937C11" w:rsidRPr="00256555" w:rsidRDefault="00467461" w:rsidP="00D508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551BCC" w:rsidRPr="00256555">
              <w:rPr>
                <w:rFonts w:ascii="Calibri" w:hAnsi="Calibri" w:cs="Calibri"/>
                <w:color w:val="000000"/>
                <w:sz w:val="20"/>
              </w:rPr>
              <w:t>%</w:t>
            </w:r>
          </w:p>
        </w:tc>
        <w:tc>
          <w:tcPr>
            <w:tcW w:w="1086" w:type="dxa"/>
            <w:vAlign w:val="center"/>
          </w:tcPr>
          <w:p w14:paraId="21371203" w14:textId="7F55B51D" w:rsidR="00937C11" w:rsidRPr="00256555" w:rsidRDefault="009B48D2" w:rsidP="00D5080C">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D5080C">
              <w:rPr>
                <w:rFonts w:ascii="Calibri" w:hAnsi="Calibri" w:cs="Calibri"/>
                <w:color w:val="000000"/>
                <w:sz w:val="20"/>
              </w:rPr>
              <w:t>7</w:t>
            </w:r>
            <w:r w:rsidR="00551BCC" w:rsidRPr="00256555">
              <w:rPr>
                <w:rFonts w:ascii="Calibri" w:hAnsi="Calibri" w:cs="Calibri"/>
                <w:color w:val="000000"/>
                <w:sz w:val="20"/>
              </w:rPr>
              <w:t>%</w:t>
            </w:r>
          </w:p>
        </w:tc>
        <w:tc>
          <w:tcPr>
            <w:tcW w:w="1065" w:type="dxa"/>
            <w:vAlign w:val="center"/>
          </w:tcPr>
          <w:p w14:paraId="58BAD20F" w14:textId="32833293" w:rsidR="00937C11" w:rsidRPr="00256555" w:rsidRDefault="00101BA0" w:rsidP="00256555">
            <w:pPr>
              <w:spacing w:before="0" w:after="0"/>
              <w:ind w:right="9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w:t>
            </w:r>
            <w:r w:rsidR="00CE0C8A" w:rsidRPr="00256555">
              <w:rPr>
                <w:rFonts w:ascii="Calibri" w:hAnsi="Calibri" w:cs="Calibri"/>
                <w:color w:val="000000"/>
                <w:sz w:val="20"/>
              </w:rPr>
              <w:t>a</w:t>
            </w:r>
          </w:p>
        </w:tc>
        <w:tc>
          <w:tcPr>
            <w:tcW w:w="1448" w:type="dxa"/>
            <w:vAlign w:val="center"/>
          </w:tcPr>
          <w:p w14:paraId="1219628B" w14:textId="3F7FA823" w:rsidR="00937C11" w:rsidRPr="00256555" w:rsidRDefault="00B77859" w:rsidP="00D5080C">
            <w:pPr>
              <w:spacing w:before="0" w:after="0"/>
              <w:ind w:right="322"/>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D5080C">
              <w:rPr>
                <w:rFonts w:ascii="Calibri" w:hAnsi="Calibri" w:cs="Calibri"/>
                <w:color w:val="000000"/>
                <w:sz w:val="20"/>
              </w:rPr>
              <w:t>2</w:t>
            </w:r>
            <w:r w:rsidR="00937C11" w:rsidRPr="00256555">
              <w:rPr>
                <w:rFonts w:ascii="Calibri" w:hAnsi="Calibri" w:cs="Calibri"/>
                <w:color w:val="000000"/>
                <w:sz w:val="20"/>
              </w:rPr>
              <w:t>%</w:t>
            </w:r>
          </w:p>
        </w:tc>
      </w:tr>
      <w:tr w:rsidR="00B243D8" w:rsidRPr="00797CA2" w14:paraId="1CBBCE74" w14:textId="77777777" w:rsidTr="00A4499A">
        <w:trPr>
          <w:cnfStyle w:val="000000010000" w:firstRow="0" w:lastRow="0" w:firstColumn="0" w:lastColumn="0" w:oddVBand="0" w:evenVBand="0" w:oddHBand="0" w:evenHBand="1"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3573" w:type="dxa"/>
            <w:shd w:val="clear" w:color="auto" w:fill="auto"/>
            <w:vAlign w:val="center"/>
          </w:tcPr>
          <w:p w14:paraId="01870113" w14:textId="74752514" w:rsidR="00937C11" w:rsidRPr="00256555" w:rsidRDefault="00720F41" w:rsidP="00256555">
            <w:pPr>
              <w:spacing w:before="0" w:after="0"/>
              <w:ind w:firstLineChars="200" w:firstLine="400"/>
              <w:rPr>
                <w:rFonts w:ascii="Calibri" w:hAnsi="Calibri" w:cs="Calibri"/>
                <w:iCs/>
                <w:color w:val="000000"/>
                <w:sz w:val="20"/>
              </w:rPr>
            </w:pPr>
            <w:r w:rsidRPr="00256555">
              <w:rPr>
                <w:rFonts w:ascii="Calibri" w:hAnsi="Calibri" w:cs="Calibri"/>
                <w:iCs/>
                <w:color w:val="000000"/>
                <w:sz w:val="20"/>
              </w:rPr>
              <w:t>Population (Aus</w:t>
            </w:r>
            <w:r w:rsidR="00937C11" w:rsidRPr="00256555">
              <w:rPr>
                <w:rFonts w:ascii="Calibri" w:hAnsi="Calibri" w:cs="Calibri"/>
                <w:iCs/>
                <w:color w:val="000000"/>
                <w:sz w:val="20"/>
              </w:rPr>
              <w:t>)</w:t>
            </w:r>
          </w:p>
        </w:tc>
        <w:tc>
          <w:tcPr>
            <w:tcW w:w="947" w:type="dxa"/>
            <w:shd w:val="clear" w:color="auto" w:fill="auto"/>
            <w:vAlign w:val="center"/>
          </w:tcPr>
          <w:p w14:paraId="3340DA18" w14:textId="6C3846F7" w:rsidR="00937C11" w:rsidRPr="00256555" w:rsidRDefault="00751215" w:rsidP="00256555">
            <w:pPr>
              <w:spacing w:before="0" w:after="0"/>
              <w:jc w:val="center"/>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Pr>
                <w:rFonts w:ascii="Calibri" w:hAnsi="Calibri" w:cs="Calibri"/>
                <w:color w:val="000000"/>
                <w:sz w:val="20"/>
              </w:rPr>
              <w:t>Sep</w:t>
            </w:r>
            <w:r w:rsidR="0033684F" w:rsidRPr="00256555">
              <w:rPr>
                <w:rFonts w:ascii="Calibri" w:hAnsi="Calibri" w:cs="Calibri"/>
                <w:color w:val="000000"/>
                <w:sz w:val="20"/>
              </w:rPr>
              <w:t>-23</w:t>
            </w:r>
          </w:p>
        </w:tc>
        <w:tc>
          <w:tcPr>
            <w:tcW w:w="1283" w:type="dxa"/>
            <w:shd w:val="clear" w:color="auto" w:fill="auto"/>
            <w:vAlign w:val="center"/>
          </w:tcPr>
          <w:p w14:paraId="59FB9A4B" w14:textId="6667D89E" w:rsidR="00937C11" w:rsidRPr="00256555" w:rsidRDefault="00461158" w:rsidP="00D5080C">
            <w:pPr>
              <w:spacing w:before="0" w:after="0"/>
              <w:ind w:right="94"/>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551BCC" w:rsidRPr="00256555">
              <w:rPr>
                <w:rFonts w:ascii="Calibri" w:hAnsi="Calibri" w:cs="Calibri"/>
                <w:color w:val="000000"/>
                <w:sz w:val="20"/>
              </w:rPr>
              <w:t>6</w:t>
            </w:r>
            <w:r w:rsidRPr="00256555">
              <w:rPr>
                <w:rFonts w:ascii="Calibri" w:hAnsi="Calibri" w:cs="Calibri"/>
                <w:color w:val="000000"/>
                <w:sz w:val="20"/>
              </w:rPr>
              <w:t>.</w:t>
            </w:r>
            <w:r w:rsidR="00D5080C">
              <w:rPr>
                <w:rFonts w:ascii="Calibri" w:hAnsi="Calibri" w:cs="Calibri"/>
                <w:color w:val="000000"/>
                <w:sz w:val="20"/>
              </w:rPr>
              <w:t>822</w:t>
            </w:r>
          </w:p>
        </w:tc>
        <w:tc>
          <w:tcPr>
            <w:tcW w:w="1093" w:type="dxa"/>
            <w:shd w:val="clear" w:color="auto" w:fill="auto"/>
            <w:vAlign w:val="center"/>
          </w:tcPr>
          <w:p w14:paraId="245B10D8" w14:textId="2DEDAA36" w:rsidR="00937C11" w:rsidRPr="00256555" w:rsidRDefault="009B48D2"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0</w:t>
            </w:r>
            <w:r w:rsidR="00467461" w:rsidRPr="00256555">
              <w:rPr>
                <w:rFonts w:ascii="Calibri" w:hAnsi="Calibri" w:cs="Calibri"/>
                <w:color w:val="000000"/>
                <w:sz w:val="20"/>
              </w:rPr>
              <w:t>.6</w:t>
            </w:r>
            <w:r w:rsidR="00551BCC" w:rsidRPr="00256555">
              <w:rPr>
                <w:rFonts w:ascii="Calibri" w:hAnsi="Calibri" w:cs="Calibri"/>
                <w:color w:val="000000"/>
                <w:sz w:val="20"/>
              </w:rPr>
              <w:t>%</w:t>
            </w:r>
          </w:p>
        </w:tc>
        <w:tc>
          <w:tcPr>
            <w:tcW w:w="1086" w:type="dxa"/>
            <w:shd w:val="clear" w:color="auto" w:fill="auto"/>
            <w:vAlign w:val="center"/>
          </w:tcPr>
          <w:p w14:paraId="54A1E551" w14:textId="6E932459" w:rsidR="00937C11" w:rsidRPr="00256555" w:rsidRDefault="00467461"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2.</w:t>
            </w:r>
            <w:r w:rsidR="00D5080C">
              <w:rPr>
                <w:rFonts w:ascii="Calibri" w:hAnsi="Calibri" w:cs="Calibri"/>
                <w:color w:val="000000"/>
                <w:sz w:val="20"/>
              </w:rPr>
              <w:t>5</w:t>
            </w:r>
            <w:r w:rsidR="00551BCC" w:rsidRPr="00256555">
              <w:rPr>
                <w:rFonts w:ascii="Calibri" w:hAnsi="Calibri" w:cs="Calibri"/>
                <w:color w:val="000000"/>
                <w:sz w:val="20"/>
              </w:rPr>
              <w:t>%</w:t>
            </w:r>
          </w:p>
        </w:tc>
        <w:tc>
          <w:tcPr>
            <w:tcW w:w="1065" w:type="dxa"/>
            <w:shd w:val="clear" w:color="auto" w:fill="auto"/>
            <w:vAlign w:val="center"/>
          </w:tcPr>
          <w:p w14:paraId="61E72CC4" w14:textId="75015208" w:rsidR="00937C11" w:rsidRPr="00256555" w:rsidRDefault="00CE0C8A" w:rsidP="00256555">
            <w:pPr>
              <w:spacing w:before="0" w:after="0"/>
              <w:ind w:right="9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na</w:t>
            </w:r>
          </w:p>
        </w:tc>
        <w:tc>
          <w:tcPr>
            <w:tcW w:w="1448" w:type="dxa"/>
            <w:shd w:val="clear" w:color="auto" w:fill="auto"/>
            <w:vAlign w:val="center"/>
          </w:tcPr>
          <w:p w14:paraId="7CAD3AF5" w14:textId="6D8F735B" w:rsidR="00937C11" w:rsidRPr="00256555" w:rsidRDefault="00B77859" w:rsidP="00256555">
            <w:pPr>
              <w:spacing w:before="0" w:after="0"/>
              <w:ind w:right="322"/>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0"/>
              </w:rPr>
            </w:pPr>
            <w:r w:rsidRPr="00256555">
              <w:rPr>
                <w:rFonts w:ascii="Calibri" w:hAnsi="Calibri" w:cs="Calibri"/>
                <w:color w:val="000000"/>
                <w:sz w:val="20"/>
              </w:rPr>
              <w:t>4.</w:t>
            </w:r>
            <w:r w:rsidR="00D5080C">
              <w:rPr>
                <w:rFonts w:ascii="Calibri" w:hAnsi="Calibri" w:cs="Calibri"/>
                <w:color w:val="000000"/>
                <w:sz w:val="20"/>
              </w:rPr>
              <w:t>7</w:t>
            </w:r>
            <w:r w:rsidR="00551BCC" w:rsidRPr="00256555">
              <w:rPr>
                <w:rFonts w:ascii="Calibri" w:hAnsi="Calibri" w:cs="Calibri"/>
                <w:color w:val="000000"/>
                <w:sz w:val="20"/>
              </w:rPr>
              <w:t>%</w:t>
            </w:r>
          </w:p>
        </w:tc>
      </w:tr>
    </w:tbl>
    <w:p w14:paraId="57A07CB4" w14:textId="0CC43683" w:rsidR="004F7E54" w:rsidRPr="00EE4666" w:rsidRDefault="004F7E54" w:rsidP="004F7E54">
      <w:pPr>
        <w:spacing w:after="0"/>
        <w:rPr>
          <w:sz w:val="16"/>
          <w:szCs w:val="16"/>
        </w:rPr>
      </w:pPr>
      <w:r>
        <w:rPr>
          <w:sz w:val="16"/>
          <w:szCs w:val="16"/>
        </w:rPr>
        <w:t xml:space="preserve">1. Monthly change for retail sales, goods exports, </w:t>
      </w:r>
      <w:r w:rsidR="005D00F6">
        <w:rPr>
          <w:sz w:val="16"/>
          <w:szCs w:val="16"/>
        </w:rPr>
        <w:t xml:space="preserve">employment and </w:t>
      </w:r>
      <w:r>
        <w:rPr>
          <w:sz w:val="16"/>
          <w:szCs w:val="16"/>
        </w:rPr>
        <w:t>unemployment; quarterly change for all other variables.</w:t>
      </w:r>
    </w:p>
    <w:p w14:paraId="42DCE9B8" w14:textId="2642DB3E" w:rsidR="004F7E54" w:rsidRDefault="004F7E54" w:rsidP="004F7E54">
      <w:pPr>
        <w:spacing w:after="0"/>
        <w:rPr>
          <w:sz w:val="16"/>
          <w:szCs w:val="16"/>
        </w:rPr>
      </w:pPr>
      <w:r>
        <w:rPr>
          <w:sz w:val="16"/>
          <w:szCs w:val="16"/>
        </w:rPr>
        <w:t>2</w:t>
      </w:r>
      <w:r w:rsidRPr="00EE4666">
        <w:rPr>
          <w:sz w:val="16"/>
          <w:szCs w:val="16"/>
        </w:rPr>
        <w:t xml:space="preserve">. Compares the latest </w:t>
      </w:r>
      <w:r w:rsidR="00720F41">
        <w:rPr>
          <w:sz w:val="16"/>
          <w:szCs w:val="16"/>
        </w:rPr>
        <w:t>period</w:t>
      </w:r>
      <w:r w:rsidRPr="00EE4666">
        <w:rPr>
          <w:sz w:val="16"/>
          <w:szCs w:val="16"/>
        </w:rPr>
        <w:t xml:space="preserve"> w</w:t>
      </w:r>
      <w:r>
        <w:rPr>
          <w:sz w:val="16"/>
          <w:szCs w:val="16"/>
        </w:rPr>
        <w:t xml:space="preserve">ith the same </w:t>
      </w:r>
      <w:r w:rsidR="00720F41">
        <w:rPr>
          <w:sz w:val="16"/>
          <w:szCs w:val="16"/>
        </w:rPr>
        <w:t>period</w:t>
      </w:r>
      <w:r>
        <w:rPr>
          <w:sz w:val="16"/>
          <w:szCs w:val="16"/>
        </w:rPr>
        <w:t xml:space="preserve"> last year</w:t>
      </w:r>
      <w:r w:rsidR="00720F41">
        <w:rPr>
          <w:sz w:val="16"/>
          <w:szCs w:val="16"/>
        </w:rPr>
        <w:t>.</w:t>
      </w:r>
    </w:p>
    <w:p w14:paraId="2FFF1A00" w14:textId="5E6BECB2" w:rsidR="004F7E54" w:rsidRDefault="004F7E54" w:rsidP="004F7E54">
      <w:pPr>
        <w:spacing w:after="0"/>
        <w:rPr>
          <w:sz w:val="16"/>
          <w:szCs w:val="16"/>
        </w:rPr>
      </w:pPr>
      <w:r>
        <w:rPr>
          <w:sz w:val="16"/>
          <w:szCs w:val="16"/>
        </w:rPr>
        <w:t>3</w:t>
      </w:r>
      <w:r w:rsidRPr="00EE4666">
        <w:rPr>
          <w:sz w:val="16"/>
          <w:szCs w:val="16"/>
        </w:rPr>
        <w:t xml:space="preserve">. Compares the 12 months up to and including the latest </w:t>
      </w:r>
      <w:r w:rsidR="00720F41">
        <w:rPr>
          <w:sz w:val="16"/>
          <w:szCs w:val="16"/>
        </w:rPr>
        <w:t>period</w:t>
      </w:r>
      <w:r w:rsidRPr="00EE4666">
        <w:rPr>
          <w:sz w:val="16"/>
          <w:szCs w:val="16"/>
        </w:rPr>
        <w:t xml:space="preserve"> with the previous 12-month</w:t>
      </w:r>
      <w:r>
        <w:rPr>
          <w:sz w:val="16"/>
          <w:szCs w:val="16"/>
        </w:rPr>
        <w:t xml:space="preserve"> period</w:t>
      </w:r>
      <w:r w:rsidR="005E7A46">
        <w:rPr>
          <w:sz w:val="16"/>
          <w:szCs w:val="16"/>
        </w:rPr>
        <w:t xml:space="preserve"> using original data.</w:t>
      </w:r>
    </w:p>
    <w:p w14:paraId="689549E4" w14:textId="7F2C5AA2" w:rsidR="004F7E54" w:rsidRDefault="004F7E54" w:rsidP="004F7E54">
      <w:pPr>
        <w:spacing w:after="120"/>
        <w:jc w:val="both"/>
        <w:rPr>
          <w:sz w:val="21"/>
          <w:szCs w:val="21"/>
        </w:rPr>
      </w:pPr>
      <w:r>
        <w:rPr>
          <w:rFonts w:cstheme="minorHAnsi"/>
          <w:sz w:val="16"/>
          <w:szCs w:val="16"/>
        </w:rPr>
        <w:t xml:space="preserve">4. </w:t>
      </w:r>
      <w:r w:rsidR="0020517E">
        <w:rPr>
          <w:rFonts w:cstheme="minorHAnsi"/>
          <w:sz w:val="16"/>
          <w:szCs w:val="16"/>
        </w:rPr>
        <w:t xml:space="preserve">Compares the </w:t>
      </w:r>
      <w:r w:rsidR="004056AA">
        <w:rPr>
          <w:rFonts w:cstheme="minorHAnsi"/>
          <w:sz w:val="16"/>
          <w:szCs w:val="16"/>
        </w:rPr>
        <w:t>12 months</w:t>
      </w:r>
      <w:r w:rsidR="0020517E">
        <w:rPr>
          <w:rFonts w:cstheme="minorHAnsi"/>
          <w:sz w:val="16"/>
          <w:szCs w:val="16"/>
        </w:rPr>
        <w:t xml:space="preserve"> up to and including latest period with the year to December 2019 </w:t>
      </w:r>
      <w:r w:rsidR="004056AA">
        <w:rPr>
          <w:rFonts w:cstheme="minorHAnsi"/>
          <w:sz w:val="16"/>
          <w:szCs w:val="16"/>
        </w:rPr>
        <w:t xml:space="preserve">period </w:t>
      </w:r>
      <w:r w:rsidR="0020517E">
        <w:rPr>
          <w:rFonts w:cstheme="minorHAnsi"/>
          <w:sz w:val="16"/>
          <w:szCs w:val="16"/>
        </w:rPr>
        <w:t>using original data.</w:t>
      </w:r>
    </w:p>
    <w:tbl>
      <w:tblPr>
        <w:tblStyle w:val="PlainTable4"/>
        <w:tblW w:w="10428" w:type="dxa"/>
        <w:tblLook w:val="04A0" w:firstRow="1" w:lastRow="0" w:firstColumn="1" w:lastColumn="0" w:noHBand="0" w:noVBand="1"/>
      </w:tblPr>
      <w:tblGrid>
        <w:gridCol w:w="4876"/>
        <w:gridCol w:w="5552"/>
      </w:tblGrid>
      <w:tr w:rsidR="00482D19" w:rsidRPr="00B55F93" w14:paraId="6A9D9C39" w14:textId="77777777" w:rsidTr="00DC1062">
        <w:trPr>
          <w:cnfStyle w:val="100000000000" w:firstRow="1" w:lastRow="0" w:firstColumn="0" w:lastColumn="0" w:oddVBand="0" w:evenVBand="0" w:oddHBand="0" w:evenHBand="0" w:firstRowFirstColumn="0" w:firstRowLastColumn="0" w:lastRowFirstColumn="0" w:lastRowLastColumn="0"/>
          <w:trHeight w:val="2490"/>
        </w:trPr>
        <w:tc>
          <w:tcPr>
            <w:cnfStyle w:val="001000000000" w:firstRow="0" w:lastRow="0" w:firstColumn="1" w:lastColumn="0" w:oddVBand="0" w:evenVBand="0" w:oddHBand="0" w:evenHBand="0" w:firstRowFirstColumn="0" w:firstRowLastColumn="0" w:lastRowFirstColumn="0" w:lastRowLastColumn="0"/>
            <w:tcW w:w="4876" w:type="dxa"/>
            <w:shd w:val="clear" w:color="auto" w:fill="auto"/>
          </w:tcPr>
          <w:p w14:paraId="44CC8987" w14:textId="15290D2E" w:rsidR="0055662D" w:rsidRPr="00E128F4" w:rsidRDefault="00E24FCF" w:rsidP="00296D8F">
            <w:pPr>
              <w:spacing w:after="120"/>
              <w:jc w:val="both"/>
              <w:rPr>
                <w:b w:val="0"/>
                <w:bCs w:val="0"/>
                <w:noProof/>
                <w:spacing w:val="-2"/>
                <w:sz w:val="20"/>
                <w:szCs w:val="20"/>
                <w:lang w:eastAsia="en-AU"/>
              </w:rPr>
            </w:pPr>
            <w:r w:rsidRPr="00E128F4">
              <w:rPr>
                <w:bCs w:val="0"/>
                <w:noProof/>
                <w:spacing w:val="-2"/>
                <w:sz w:val="20"/>
                <w:szCs w:val="20"/>
                <w:lang w:eastAsia="en-AU"/>
              </w:rPr>
              <w:lastRenderedPageBreak/>
              <w:t>Chart</w:t>
            </w:r>
            <w:r w:rsidR="003B0FF0" w:rsidRPr="00E128F4">
              <w:rPr>
                <w:bCs w:val="0"/>
                <w:noProof/>
                <w:spacing w:val="-2"/>
                <w:sz w:val="20"/>
                <w:szCs w:val="20"/>
                <w:lang w:eastAsia="en-AU"/>
              </w:rPr>
              <w:t xml:space="preserve"> 1</w:t>
            </w:r>
            <w:r w:rsidR="001D13F9" w:rsidRPr="00E128F4">
              <w:rPr>
                <w:b w:val="0"/>
                <w:bCs w:val="0"/>
                <w:noProof/>
                <w:spacing w:val="-2"/>
                <w:sz w:val="20"/>
                <w:szCs w:val="20"/>
                <w:lang w:eastAsia="en-AU"/>
              </w:rPr>
              <w:t xml:space="preserve">: </w:t>
            </w:r>
            <w:r w:rsidR="00F74273" w:rsidRPr="00E128F4">
              <w:rPr>
                <w:b w:val="0"/>
                <w:bCs w:val="0"/>
                <w:noProof/>
                <w:spacing w:val="-2"/>
                <w:sz w:val="20"/>
                <w:szCs w:val="20"/>
                <w:lang w:eastAsia="en-AU"/>
              </w:rPr>
              <w:t xml:space="preserve">In 2023 </w:t>
            </w:r>
            <w:r w:rsidR="005E66EB" w:rsidRPr="00E128F4">
              <w:rPr>
                <w:b w:val="0"/>
                <w:bCs w:val="0"/>
                <w:noProof/>
                <w:spacing w:val="-2"/>
                <w:sz w:val="20"/>
                <w:szCs w:val="20"/>
                <w:lang w:eastAsia="en-AU"/>
              </w:rPr>
              <w:t>Territory SFD increased by 1.</w:t>
            </w:r>
            <w:r w:rsidR="000252E2" w:rsidRPr="00E128F4">
              <w:rPr>
                <w:b w:val="0"/>
                <w:bCs w:val="0"/>
                <w:noProof/>
                <w:spacing w:val="-2"/>
                <w:sz w:val="20"/>
                <w:szCs w:val="20"/>
                <w:lang w:eastAsia="en-AU"/>
              </w:rPr>
              <w:t>3</w:t>
            </w:r>
            <w:r w:rsidR="002D0EC2" w:rsidRPr="00E128F4">
              <w:rPr>
                <w:b w:val="0"/>
                <w:bCs w:val="0"/>
                <w:noProof/>
                <w:spacing w:val="-2"/>
                <w:sz w:val="20"/>
                <w:szCs w:val="20"/>
                <w:lang w:eastAsia="en-AU"/>
              </w:rPr>
              <w:t>%,</w:t>
            </w:r>
            <w:r w:rsidR="0049159B" w:rsidRPr="00E128F4">
              <w:rPr>
                <w:b w:val="0"/>
                <w:bCs w:val="0"/>
                <w:noProof/>
                <w:spacing w:val="-2"/>
                <w:sz w:val="20"/>
                <w:szCs w:val="20"/>
                <w:lang w:eastAsia="en-AU"/>
              </w:rPr>
              <w:t xml:space="preserve"> </w:t>
            </w:r>
            <w:r w:rsidR="00E41C08" w:rsidRPr="00E128F4">
              <w:rPr>
                <w:b w:val="0"/>
                <w:bCs w:val="0"/>
                <w:noProof/>
                <w:spacing w:val="-2"/>
                <w:sz w:val="20"/>
                <w:szCs w:val="20"/>
                <w:lang w:eastAsia="en-AU"/>
              </w:rPr>
              <w:t xml:space="preserve">with </w:t>
            </w:r>
            <w:r w:rsidR="002D0EC2" w:rsidRPr="00E128F4">
              <w:rPr>
                <w:b w:val="0"/>
                <w:bCs w:val="0"/>
                <w:noProof/>
                <w:spacing w:val="-2"/>
                <w:sz w:val="20"/>
                <w:szCs w:val="20"/>
                <w:lang w:eastAsia="en-AU"/>
              </w:rPr>
              <w:t>increased</w:t>
            </w:r>
            <w:r w:rsidR="005E66EB" w:rsidRPr="00E128F4">
              <w:rPr>
                <w:b w:val="0"/>
                <w:bCs w:val="0"/>
                <w:noProof/>
                <w:spacing w:val="-2"/>
                <w:sz w:val="20"/>
                <w:szCs w:val="20"/>
                <w:lang w:eastAsia="en-AU"/>
              </w:rPr>
              <w:t xml:space="preserve"> </w:t>
            </w:r>
            <w:r w:rsidR="00A934B9" w:rsidRPr="00E128F4">
              <w:rPr>
                <w:b w:val="0"/>
                <w:bCs w:val="0"/>
                <w:noProof/>
                <w:spacing w:val="-2"/>
                <w:sz w:val="20"/>
                <w:szCs w:val="20"/>
                <w:lang w:eastAsia="en-AU"/>
              </w:rPr>
              <w:t>government</w:t>
            </w:r>
            <w:r w:rsidR="005E66EB" w:rsidRPr="00E128F4">
              <w:rPr>
                <w:b w:val="0"/>
                <w:bCs w:val="0"/>
                <w:noProof/>
                <w:spacing w:val="-2"/>
                <w:sz w:val="20"/>
                <w:szCs w:val="20"/>
                <w:lang w:eastAsia="en-AU"/>
              </w:rPr>
              <w:t xml:space="preserve"> investment (</w:t>
            </w:r>
            <w:r w:rsidR="000252E2" w:rsidRPr="00E128F4">
              <w:rPr>
                <w:b w:val="0"/>
                <w:bCs w:val="0"/>
                <w:noProof/>
                <w:spacing w:val="-2"/>
                <w:sz w:val="20"/>
                <w:szCs w:val="20"/>
                <w:lang w:eastAsia="en-AU"/>
              </w:rPr>
              <w:t>15.2%</w:t>
            </w:r>
            <w:r w:rsidR="0064519D" w:rsidRPr="00E128F4">
              <w:rPr>
                <w:b w:val="0"/>
                <w:bCs w:val="0"/>
                <w:noProof/>
                <w:spacing w:val="-2"/>
                <w:sz w:val="20"/>
                <w:szCs w:val="20"/>
                <w:lang w:eastAsia="en-AU"/>
              </w:rPr>
              <w:t>, 1.</w:t>
            </w:r>
            <w:r w:rsidR="00A934B9" w:rsidRPr="00E128F4">
              <w:rPr>
                <w:b w:val="0"/>
                <w:bCs w:val="0"/>
                <w:noProof/>
                <w:spacing w:val="-2"/>
                <w:sz w:val="20"/>
                <w:szCs w:val="20"/>
                <w:lang w:eastAsia="en-AU"/>
              </w:rPr>
              <w:t>0 </w:t>
            </w:r>
            <w:r w:rsidR="0064519D" w:rsidRPr="00E128F4">
              <w:rPr>
                <w:b w:val="0"/>
                <w:bCs w:val="0"/>
                <w:noProof/>
                <w:spacing w:val="-2"/>
                <w:sz w:val="20"/>
                <w:szCs w:val="20"/>
                <w:lang w:eastAsia="en-AU"/>
              </w:rPr>
              <w:t>ppt</w:t>
            </w:r>
            <w:r w:rsidR="002D0EC2" w:rsidRPr="00E128F4">
              <w:rPr>
                <w:b w:val="0"/>
                <w:bCs w:val="0"/>
                <w:noProof/>
                <w:spacing w:val="-2"/>
                <w:sz w:val="20"/>
                <w:szCs w:val="20"/>
                <w:lang w:eastAsia="en-AU"/>
              </w:rPr>
              <w:t xml:space="preserve">) </w:t>
            </w:r>
            <w:r w:rsidR="0049159B" w:rsidRPr="00E128F4">
              <w:rPr>
                <w:b w:val="0"/>
                <w:bCs w:val="0"/>
                <w:noProof/>
                <w:spacing w:val="-2"/>
                <w:sz w:val="20"/>
                <w:szCs w:val="20"/>
                <w:lang w:eastAsia="en-AU"/>
              </w:rPr>
              <w:t>and government consumption (</w:t>
            </w:r>
            <w:r w:rsidR="007D7029" w:rsidRPr="00E128F4">
              <w:rPr>
                <w:b w:val="0"/>
                <w:bCs w:val="0"/>
                <w:noProof/>
                <w:spacing w:val="-2"/>
                <w:sz w:val="20"/>
                <w:szCs w:val="20"/>
                <w:lang w:eastAsia="en-AU"/>
              </w:rPr>
              <w:t>1.1</w:t>
            </w:r>
            <w:r w:rsidR="0049159B" w:rsidRPr="00E128F4">
              <w:rPr>
                <w:b w:val="0"/>
                <w:bCs w:val="0"/>
                <w:noProof/>
                <w:spacing w:val="-2"/>
                <w:sz w:val="20"/>
                <w:szCs w:val="20"/>
                <w:lang w:eastAsia="en-AU"/>
              </w:rPr>
              <w:t>%</w:t>
            </w:r>
            <w:r w:rsidR="00A934B9" w:rsidRPr="00E128F4">
              <w:rPr>
                <w:b w:val="0"/>
                <w:bCs w:val="0"/>
                <w:noProof/>
                <w:spacing w:val="-2"/>
                <w:sz w:val="20"/>
                <w:szCs w:val="20"/>
                <w:lang w:eastAsia="en-AU"/>
              </w:rPr>
              <w:t>, 0.4 ppt</w:t>
            </w:r>
            <w:r w:rsidR="0049159B" w:rsidRPr="00E128F4">
              <w:rPr>
                <w:b w:val="0"/>
                <w:bCs w:val="0"/>
                <w:noProof/>
                <w:spacing w:val="-2"/>
                <w:sz w:val="20"/>
                <w:szCs w:val="20"/>
                <w:lang w:eastAsia="en-AU"/>
              </w:rPr>
              <w:t>)</w:t>
            </w:r>
            <w:r w:rsidR="00A934B9" w:rsidRPr="00E128F4">
              <w:rPr>
                <w:b w:val="0"/>
                <w:bCs w:val="0"/>
                <w:noProof/>
                <w:spacing w:val="-2"/>
                <w:sz w:val="20"/>
                <w:szCs w:val="20"/>
                <w:lang w:eastAsia="en-AU"/>
              </w:rPr>
              <w:t>. Business investment remain</w:t>
            </w:r>
            <w:r w:rsidR="00E41C08" w:rsidRPr="00E128F4">
              <w:rPr>
                <w:b w:val="0"/>
                <w:bCs w:val="0"/>
                <w:noProof/>
                <w:spacing w:val="-2"/>
                <w:sz w:val="20"/>
                <w:szCs w:val="20"/>
                <w:lang w:eastAsia="en-AU"/>
              </w:rPr>
              <w:t xml:space="preserve">ed </w:t>
            </w:r>
            <w:r w:rsidR="00A934B9" w:rsidRPr="00E128F4">
              <w:rPr>
                <w:b w:val="0"/>
                <w:bCs w:val="0"/>
                <w:noProof/>
                <w:spacing w:val="-2"/>
                <w:sz w:val="20"/>
                <w:szCs w:val="20"/>
                <w:lang w:eastAsia="en-AU"/>
              </w:rPr>
              <w:t xml:space="preserve">at </w:t>
            </w:r>
            <w:r w:rsidR="00E128F4">
              <w:rPr>
                <w:b w:val="0"/>
                <w:bCs w:val="0"/>
                <w:noProof/>
                <w:spacing w:val="-2"/>
                <w:sz w:val="20"/>
                <w:szCs w:val="20"/>
                <w:lang w:eastAsia="en-AU"/>
              </w:rPr>
              <w:t>high</w:t>
            </w:r>
            <w:r w:rsidR="00A934B9" w:rsidRPr="00E128F4">
              <w:rPr>
                <w:b w:val="0"/>
                <w:bCs w:val="0"/>
                <w:noProof/>
                <w:spacing w:val="-2"/>
                <w:sz w:val="20"/>
                <w:szCs w:val="20"/>
                <w:lang w:eastAsia="en-AU"/>
              </w:rPr>
              <w:t xml:space="preserve"> levels, while household spending and confidence continued to be impacted by economic uncertainty.</w:t>
            </w:r>
            <w:r w:rsidR="002D0EC2" w:rsidRPr="00E128F4">
              <w:rPr>
                <w:b w:val="0"/>
                <w:bCs w:val="0"/>
                <w:noProof/>
                <w:spacing w:val="-2"/>
                <w:sz w:val="20"/>
                <w:szCs w:val="20"/>
                <w:lang w:eastAsia="en-AU"/>
              </w:rPr>
              <w:t xml:space="preserve"> </w:t>
            </w:r>
            <w:r w:rsidR="00A934B9" w:rsidRPr="00E128F4">
              <w:rPr>
                <w:b w:val="0"/>
                <w:bCs w:val="0"/>
                <w:noProof/>
                <w:spacing w:val="-2"/>
                <w:sz w:val="20"/>
                <w:szCs w:val="20"/>
                <w:lang w:eastAsia="en-AU"/>
              </w:rPr>
              <w:t>The Australian Government’</w:t>
            </w:r>
            <w:r w:rsidR="00076009" w:rsidRPr="00E128F4">
              <w:rPr>
                <w:b w:val="0"/>
                <w:bCs w:val="0"/>
                <w:noProof/>
                <w:spacing w:val="-2"/>
                <w:sz w:val="20"/>
                <w:szCs w:val="20"/>
                <w:lang w:eastAsia="en-AU"/>
              </w:rPr>
              <w:t>s</w:t>
            </w:r>
            <w:r w:rsidR="00A934B9" w:rsidRPr="00E128F4">
              <w:rPr>
                <w:b w:val="0"/>
                <w:bCs w:val="0"/>
                <w:noProof/>
                <w:spacing w:val="-2"/>
                <w:sz w:val="20"/>
                <w:szCs w:val="20"/>
                <w:lang w:eastAsia="en-AU"/>
              </w:rPr>
              <w:t xml:space="preserve"> announc</w:t>
            </w:r>
            <w:r w:rsidR="00076009" w:rsidRPr="00E128F4">
              <w:rPr>
                <w:b w:val="0"/>
                <w:bCs w:val="0"/>
                <w:noProof/>
                <w:spacing w:val="-2"/>
                <w:sz w:val="20"/>
                <w:szCs w:val="20"/>
                <w:lang w:eastAsia="en-AU"/>
              </w:rPr>
              <w:t>ement of funding supp</w:t>
            </w:r>
            <w:r w:rsidR="00E41C08" w:rsidRPr="00E128F4">
              <w:rPr>
                <w:b w:val="0"/>
                <w:bCs w:val="0"/>
                <w:noProof/>
                <w:spacing w:val="-2"/>
                <w:sz w:val="20"/>
                <w:szCs w:val="20"/>
                <w:lang w:eastAsia="en-AU"/>
              </w:rPr>
              <w:t>or</w:t>
            </w:r>
            <w:r w:rsidR="00076009" w:rsidRPr="00E128F4">
              <w:rPr>
                <w:b w:val="0"/>
                <w:bCs w:val="0"/>
                <w:noProof/>
                <w:spacing w:val="-2"/>
                <w:sz w:val="20"/>
                <w:szCs w:val="20"/>
                <w:lang w:eastAsia="en-AU"/>
              </w:rPr>
              <w:t>t for</w:t>
            </w:r>
            <w:r w:rsidR="00A934B9" w:rsidRPr="00E128F4">
              <w:rPr>
                <w:b w:val="0"/>
                <w:bCs w:val="0"/>
                <w:noProof/>
                <w:spacing w:val="-2"/>
                <w:sz w:val="20"/>
                <w:szCs w:val="20"/>
                <w:lang w:eastAsia="en-AU"/>
              </w:rPr>
              <w:t xml:space="preserve"> </w:t>
            </w:r>
            <w:r w:rsidR="00076009" w:rsidRPr="00E128F4">
              <w:rPr>
                <w:b w:val="0"/>
                <w:bCs w:val="0"/>
                <w:noProof/>
                <w:spacing w:val="-2"/>
                <w:sz w:val="20"/>
                <w:szCs w:val="20"/>
                <w:lang w:eastAsia="en-AU"/>
              </w:rPr>
              <w:t xml:space="preserve">Arafura Resources’ $1.6 billion rare earths mine and refinery project in Central Australia will </w:t>
            </w:r>
            <w:r w:rsidR="00296D8F">
              <w:rPr>
                <w:b w:val="0"/>
                <w:bCs w:val="0"/>
                <w:noProof/>
                <w:spacing w:val="-2"/>
                <w:sz w:val="20"/>
                <w:szCs w:val="20"/>
                <w:lang w:eastAsia="en-AU"/>
              </w:rPr>
              <w:t>support</w:t>
            </w:r>
            <w:r w:rsidR="00076009" w:rsidRPr="00E128F4">
              <w:rPr>
                <w:b w:val="0"/>
                <w:bCs w:val="0"/>
                <w:noProof/>
                <w:spacing w:val="-2"/>
                <w:sz w:val="20"/>
                <w:szCs w:val="20"/>
                <w:lang w:eastAsia="en-AU"/>
              </w:rPr>
              <w:t xml:space="preserve"> co</w:t>
            </w:r>
            <w:r w:rsidR="00076009" w:rsidRPr="00E128F4">
              <w:rPr>
                <w:b w:val="0"/>
                <w:noProof/>
                <w:spacing w:val="-2"/>
                <w:sz w:val="20"/>
                <w:szCs w:val="20"/>
                <w:lang w:eastAsia="en-AU"/>
              </w:rPr>
              <w:t>nfidence</w:t>
            </w:r>
            <w:r w:rsidR="00FB7050" w:rsidRPr="00E128F4">
              <w:rPr>
                <w:b w:val="0"/>
                <w:noProof/>
                <w:spacing w:val="-2"/>
                <w:sz w:val="20"/>
                <w:szCs w:val="20"/>
                <w:lang w:eastAsia="en-AU"/>
              </w:rPr>
              <w:t xml:space="preserve"> and </w:t>
            </w:r>
            <w:r w:rsidR="00E41C08" w:rsidRPr="00E128F4">
              <w:rPr>
                <w:b w:val="0"/>
                <w:noProof/>
                <w:spacing w:val="-2"/>
                <w:sz w:val="20"/>
                <w:szCs w:val="20"/>
                <w:lang w:eastAsia="en-AU"/>
              </w:rPr>
              <w:t xml:space="preserve">create </w:t>
            </w:r>
            <w:r w:rsidR="00FB7050" w:rsidRPr="00E128F4">
              <w:rPr>
                <w:b w:val="0"/>
                <w:noProof/>
                <w:spacing w:val="-2"/>
                <w:sz w:val="20"/>
                <w:szCs w:val="20"/>
                <w:lang w:eastAsia="en-AU"/>
              </w:rPr>
              <w:t>local business and employment opportunities</w:t>
            </w:r>
            <w:r w:rsidR="00076009" w:rsidRPr="00E128F4">
              <w:rPr>
                <w:b w:val="0"/>
                <w:bCs w:val="0"/>
                <w:noProof/>
                <w:spacing w:val="-2"/>
                <w:sz w:val="20"/>
                <w:szCs w:val="20"/>
                <w:lang w:eastAsia="en-AU"/>
              </w:rPr>
              <w:t>.</w:t>
            </w:r>
          </w:p>
        </w:tc>
        <w:tc>
          <w:tcPr>
            <w:tcW w:w="5552" w:type="dxa"/>
            <w:shd w:val="clear" w:color="auto" w:fill="auto"/>
          </w:tcPr>
          <w:p w14:paraId="1C04437C" w14:textId="056828F2" w:rsidR="003B0FF0" w:rsidRPr="00E128F4" w:rsidRDefault="00E24FCF" w:rsidP="00845A73">
            <w:pPr>
              <w:spacing w:after="120"/>
              <w:jc w:val="both"/>
              <w:cnfStyle w:val="100000000000" w:firstRow="1" w:lastRow="0" w:firstColumn="0" w:lastColumn="0" w:oddVBand="0" w:evenVBand="0" w:oddHBand="0" w:evenHBand="0" w:firstRowFirstColumn="0" w:firstRowLastColumn="0" w:lastRowFirstColumn="0" w:lastRowLastColumn="0"/>
              <w:rPr>
                <w:b w:val="0"/>
                <w:bCs w:val="0"/>
                <w:noProof/>
                <w:spacing w:val="-2"/>
                <w:sz w:val="20"/>
                <w:szCs w:val="20"/>
                <w:lang w:eastAsia="en-AU"/>
              </w:rPr>
            </w:pPr>
            <w:r w:rsidRPr="00E128F4">
              <w:rPr>
                <w:noProof/>
                <w:spacing w:val="-2"/>
                <w:sz w:val="20"/>
                <w:szCs w:val="20"/>
                <w:lang w:eastAsia="en-AU"/>
              </w:rPr>
              <w:t>Chart</w:t>
            </w:r>
            <w:r w:rsidR="003B0FF0" w:rsidRPr="00E128F4">
              <w:rPr>
                <w:noProof/>
                <w:spacing w:val="-2"/>
                <w:sz w:val="20"/>
                <w:szCs w:val="20"/>
                <w:lang w:eastAsia="en-AU"/>
              </w:rPr>
              <w:t xml:space="preserve"> 2</w:t>
            </w:r>
            <w:r w:rsidR="00B45E33" w:rsidRPr="00E128F4">
              <w:rPr>
                <w:b w:val="0"/>
                <w:noProof/>
                <w:spacing w:val="-2"/>
                <w:sz w:val="20"/>
                <w:szCs w:val="20"/>
                <w:lang w:eastAsia="en-AU"/>
              </w:rPr>
              <w:t>:</w:t>
            </w:r>
            <w:r w:rsidR="004A7DDB" w:rsidRPr="00E128F4">
              <w:rPr>
                <w:b w:val="0"/>
                <w:noProof/>
                <w:spacing w:val="-2"/>
                <w:sz w:val="20"/>
                <w:szCs w:val="20"/>
                <w:lang w:eastAsia="en-AU"/>
              </w:rPr>
              <w:t xml:space="preserve"> </w:t>
            </w:r>
            <w:r w:rsidR="00076009" w:rsidRPr="00E139D0">
              <w:rPr>
                <w:b w:val="0"/>
                <w:noProof/>
                <w:spacing w:val="-2"/>
                <w:sz w:val="20"/>
                <w:szCs w:val="20"/>
                <w:lang w:eastAsia="en-AU"/>
              </w:rPr>
              <w:t>The m</w:t>
            </w:r>
            <w:r w:rsidR="00E22B0B" w:rsidRPr="00E139D0">
              <w:rPr>
                <w:b w:val="0"/>
                <w:noProof/>
                <w:spacing w:val="-2"/>
                <w:sz w:val="20"/>
                <w:szCs w:val="20"/>
                <w:lang w:eastAsia="en-AU"/>
              </w:rPr>
              <w:t xml:space="preserve">ining </w:t>
            </w:r>
            <w:r w:rsidR="00076009" w:rsidRPr="00E139D0">
              <w:rPr>
                <w:b w:val="0"/>
                <w:noProof/>
                <w:spacing w:val="-2"/>
                <w:sz w:val="20"/>
                <w:szCs w:val="20"/>
                <w:lang w:eastAsia="en-AU"/>
              </w:rPr>
              <w:t xml:space="preserve">industry (which includes oil and gas) is the largest contributor to economic activity in the </w:t>
            </w:r>
            <w:r w:rsidR="00FA151B" w:rsidRPr="00E139D0">
              <w:rPr>
                <w:b w:val="0"/>
                <w:noProof/>
                <w:spacing w:val="-2"/>
                <w:sz w:val="20"/>
                <w:szCs w:val="20"/>
                <w:lang w:eastAsia="en-AU"/>
              </w:rPr>
              <w:t>NT</w:t>
            </w:r>
            <w:r w:rsidR="00076009" w:rsidRPr="00E139D0">
              <w:rPr>
                <w:b w:val="0"/>
                <w:noProof/>
                <w:spacing w:val="-2"/>
                <w:sz w:val="20"/>
                <w:szCs w:val="20"/>
                <w:lang w:eastAsia="en-AU"/>
              </w:rPr>
              <w:t>, account</w:t>
            </w:r>
            <w:r w:rsidR="00E64602" w:rsidRPr="00E139D0">
              <w:rPr>
                <w:b w:val="0"/>
                <w:noProof/>
                <w:spacing w:val="-2"/>
                <w:sz w:val="20"/>
                <w:szCs w:val="20"/>
                <w:lang w:eastAsia="en-AU"/>
              </w:rPr>
              <w:t>in</w:t>
            </w:r>
            <w:r w:rsidR="00FA151B" w:rsidRPr="00E139D0">
              <w:rPr>
                <w:b w:val="0"/>
                <w:noProof/>
                <w:spacing w:val="-2"/>
                <w:sz w:val="20"/>
                <w:szCs w:val="20"/>
                <w:lang w:eastAsia="en-AU"/>
              </w:rPr>
              <w:t>g</w:t>
            </w:r>
            <w:r w:rsidR="00076009" w:rsidRPr="00E139D0">
              <w:rPr>
                <w:b w:val="0"/>
                <w:noProof/>
                <w:spacing w:val="-2"/>
                <w:sz w:val="20"/>
                <w:szCs w:val="20"/>
                <w:lang w:eastAsia="en-AU"/>
              </w:rPr>
              <w:t xml:space="preserve"> for </w:t>
            </w:r>
            <w:r w:rsidR="00C62E2C" w:rsidRPr="00E139D0">
              <w:rPr>
                <w:b w:val="0"/>
                <w:noProof/>
                <w:spacing w:val="-2"/>
                <w:sz w:val="20"/>
                <w:szCs w:val="20"/>
                <w:lang w:eastAsia="en-AU"/>
              </w:rPr>
              <w:t>27</w:t>
            </w:r>
            <w:r w:rsidR="00743B5B" w:rsidRPr="00E139D0">
              <w:rPr>
                <w:b w:val="0"/>
                <w:noProof/>
                <w:spacing w:val="-2"/>
                <w:sz w:val="20"/>
                <w:szCs w:val="20"/>
                <w:lang w:eastAsia="en-AU"/>
              </w:rPr>
              <w:t>%</w:t>
            </w:r>
            <w:r w:rsidR="00E95B44" w:rsidRPr="00E139D0">
              <w:rPr>
                <w:b w:val="0"/>
                <w:noProof/>
                <w:spacing w:val="-2"/>
                <w:sz w:val="20"/>
                <w:szCs w:val="20"/>
                <w:lang w:eastAsia="en-AU"/>
              </w:rPr>
              <w:t xml:space="preserve"> </w:t>
            </w:r>
            <w:r w:rsidR="00076009" w:rsidRPr="00E139D0">
              <w:rPr>
                <w:b w:val="0"/>
                <w:noProof/>
                <w:spacing w:val="-2"/>
                <w:sz w:val="20"/>
                <w:szCs w:val="20"/>
                <w:lang w:eastAsia="en-AU"/>
              </w:rPr>
              <w:t>of output in 2022</w:t>
            </w:r>
            <w:r w:rsidR="00076009" w:rsidRPr="00E139D0">
              <w:rPr>
                <w:b w:val="0"/>
                <w:noProof/>
                <w:spacing w:val="-2"/>
                <w:sz w:val="20"/>
                <w:szCs w:val="20"/>
                <w:lang w:eastAsia="en-AU"/>
              </w:rPr>
              <w:noBreakHyphen/>
              <w:t xml:space="preserve">23. The value of </w:t>
            </w:r>
            <w:r w:rsidR="0088662E" w:rsidRPr="00E139D0">
              <w:rPr>
                <w:b w:val="0"/>
                <w:noProof/>
                <w:spacing w:val="-2"/>
                <w:sz w:val="20"/>
                <w:szCs w:val="20"/>
                <w:lang w:eastAsia="en-AU"/>
              </w:rPr>
              <w:t>mineral</w:t>
            </w:r>
            <w:r w:rsidR="00B932A7" w:rsidRPr="00E139D0">
              <w:rPr>
                <w:b w:val="0"/>
                <w:noProof/>
                <w:spacing w:val="-2"/>
                <w:sz w:val="20"/>
                <w:szCs w:val="20"/>
                <w:lang w:eastAsia="en-AU"/>
              </w:rPr>
              <w:t xml:space="preserve"> production </w:t>
            </w:r>
            <w:r w:rsidR="00FB7050" w:rsidRPr="00E139D0">
              <w:rPr>
                <w:b w:val="0"/>
                <w:noProof/>
                <w:spacing w:val="-2"/>
                <w:sz w:val="20"/>
                <w:szCs w:val="20"/>
                <w:lang w:eastAsia="en-AU"/>
              </w:rPr>
              <w:t>in 2022</w:t>
            </w:r>
            <w:r w:rsidR="00FB7050" w:rsidRPr="00E139D0">
              <w:rPr>
                <w:b w:val="0"/>
                <w:noProof/>
                <w:spacing w:val="-2"/>
                <w:sz w:val="20"/>
                <w:szCs w:val="20"/>
                <w:lang w:eastAsia="en-AU"/>
              </w:rPr>
              <w:noBreakHyphen/>
              <w:t xml:space="preserve">23 </w:t>
            </w:r>
            <w:r w:rsidR="00076009" w:rsidRPr="00E139D0">
              <w:rPr>
                <w:b w:val="0"/>
                <w:noProof/>
                <w:spacing w:val="-2"/>
                <w:sz w:val="20"/>
                <w:szCs w:val="20"/>
                <w:lang w:eastAsia="en-AU"/>
              </w:rPr>
              <w:t xml:space="preserve">was </w:t>
            </w:r>
            <w:r w:rsidR="00881A33" w:rsidRPr="00E139D0">
              <w:rPr>
                <w:b w:val="0"/>
                <w:noProof/>
                <w:spacing w:val="-2"/>
                <w:sz w:val="20"/>
                <w:szCs w:val="20"/>
                <w:lang w:eastAsia="en-AU"/>
              </w:rPr>
              <w:t>$4.4</w:t>
            </w:r>
            <w:r w:rsidR="00A6389A" w:rsidRPr="00E139D0">
              <w:rPr>
                <w:b w:val="0"/>
                <w:noProof/>
                <w:spacing w:val="-2"/>
                <w:sz w:val="20"/>
                <w:szCs w:val="20"/>
                <w:lang w:eastAsia="en-AU"/>
              </w:rPr>
              <w:t> </w:t>
            </w:r>
            <w:r w:rsidR="00A33158" w:rsidRPr="00E139D0">
              <w:rPr>
                <w:b w:val="0"/>
                <w:noProof/>
                <w:spacing w:val="-2"/>
                <w:sz w:val="20"/>
                <w:szCs w:val="20"/>
                <w:lang w:eastAsia="en-AU"/>
              </w:rPr>
              <w:t>billion</w:t>
            </w:r>
            <w:r w:rsidR="00B932A7" w:rsidRPr="00E139D0">
              <w:rPr>
                <w:b w:val="0"/>
                <w:noProof/>
                <w:spacing w:val="-2"/>
                <w:sz w:val="20"/>
                <w:szCs w:val="20"/>
                <w:lang w:eastAsia="en-AU"/>
              </w:rPr>
              <w:t>.</w:t>
            </w:r>
            <w:r w:rsidR="00FE3D8D" w:rsidRPr="00E139D0">
              <w:rPr>
                <w:b w:val="0"/>
                <w:noProof/>
                <w:spacing w:val="-2"/>
                <w:sz w:val="20"/>
                <w:szCs w:val="20"/>
                <w:lang w:eastAsia="en-AU"/>
              </w:rPr>
              <w:t xml:space="preserve"> </w:t>
            </w:r>
            <w:r w:rsidR="00FB7050" w:rsidRPr="00E139D0">
              <w:rPr>
                <w:b w:val="0"/>
                <w:noProof/>
                <w:spacing w:val="-2"/>
                <w:sz w:val="20"/>
                <w:szCs w:val="20"/>
                <w:lang w:eastAsia="en-AU"/>
              </w:rPr>
              <w:t>Exploration is the life blood o</w:t>
            </w:r>
            <w:r w:rsidR="00FA151B" w:rsidRPr="00E139D0">
              <w:rPr>
                <w:b w:val="0"/>
                <w:noProof/>
                <w:spacing w:val="-2"/>
                <w:sz w:val="20"/>
                <w:szCs w:val="20"/>
                <w:lang w:eastAsia="en-AU"/>
              </w:rPr>
              <w:t>f</w:t>
            </w:r>
            <w:r w:rsidR="00FB7050" w:rsidRPr="00E139D0">
              <w:rPr>
                <w:b w:val="0"/>
                <w:noProof/>
                <w:spacing w:val="-2"/>
                <w:sz w:val="20"/>
                <w:szCs w:val="20"/>
                <w:lang w:eastAsia="en-AU"/>
              </w:rPr>
              <w:t xml:space="preserve"> the i</w:t>
            </w:r>
            <w:r w:rsidR="00AB2DDD" w:rsidRPr="00E139D0">
              <w:rPr>
                <w:b w:val="0"/>
                <w:noProof/>
                <w:spacing w:val="-2"/>
                <w:sz w:val="20"/>
                <w:szCs w:val="20"/>
                <w:lang w:eastAsia="en-AU"/>
              </w:rPr>
              <w:t>ndustry</w:t>
            </w:r>
            <w:r w:rsidR="00FB7050" w:rsidRPr="00E139D0">
              <w:rPr>
                <w:b w:val="0"/>
                <w:noProof/>
                <w:spacing w:val="-2"/>
                <w:sz w:val="20"/>
                <w:szCs w:val="20"/>
                <w:lang w:eastAsia="en-AU"/>
              </w:rPr>
              <w:t xml:space="preserve"> and</w:t>
            </w:r>
            <w:r w:rsidR="00AB2DDD" w:rsidRPr="00E139D0">
              <w:rPr>
                <w:b w:val="0"/>
                <w:noProof/>
                <w:spacing w:val="-2"/>
                <w:sz w:val="20"/>
                <w:szCs w:val="20"/>
                <w:lang w:eastAsia="en-AU"/>
              </w:rPr>
              <w:t>, like the industry,</w:t>
            </w:r>
            <w:r w:rsidR="00FB7050" w:rsidRPr="00E139D0">
              <w:rPr>
                <w:b w:val="0"/>
                <w:noProof/>
                <w:spacing w:val="-2"/>
                <w:sz w:val="20"/>
                <w:szCs w:val="20"/>
                <w:lang w:eastAsia="en-AU"/>
              </w:rPr>
              <w:t xml:space="preserve"> is highly cyclical. Growth in </w:t>
            </w:r>
            <w:r w:rsidR="00E64602" w:rsidRPr="00E139D0">
              <w:rPr>
                <w:b w:val="0"/>
                <w:noProof/>
                <w:spacing w:val="-2"/>
                <w:sz w:val="20"/>
                <w:szCs w:val="20"/>
                <w:lang w:eastAsia="en-AU"/>
              </w:rPr>
              <w:t xml:space="preserve">the Territory’s </w:t>
            </w:r>
            <w:r w:rsidR="00FB7050" w:rsidRPr="00E139D0">
              <w:rPr>
                <w:b w:val="0"/>
                <w:noProof/>
                <w:spacing w:val="-2"/>
                <w:sz w:val="20"/>
                <w:szCs w:val="20"/>
                <w:lang w:eastAsia="en-AU"/>
              </w:rPr>
              <w:t>mineral exploration spending</w:t>
            </w:r>
            <w:r w:rsidR="00E64602" w:rsidRPr="00E139D0">
              <w:rPr>
                <w:b w:val="0"/>
                <w:noProof/>
                <w:spacing w:val="-2"/>
                <w:sz w:val="20"/>
                <w:szCs w:val="20"/>
                <w:lang w:eastAsia="en-AU"/>
              </w:rPr>
              <w:t xml:space="preserve"> (</w:t>
            </w:r>
            <w:r w:rsidR="00FB7050" w:rsidRPr="00E139D0">
              <w:rPr>
                <w:b w:val="0"/>
                <w:noProof/>
                <w:spacing w:val="-2"/>
                <w:sz w:val="20"/>
                <w:szCs w:val="20"/>
                <w:lang w:eastAsia="en-AU"/>
              </w:rPr>
              <w:t xml:space="preserve">excluding oil and gas) moderated over 2023 </w:t>
            </w:r>
            <w:r w:rsidR="00AB2DDD" w:rsidRPr="00E139D0">
              <w:rPr>
                <w:b w:val="0"/>
                <w:noProof/>
                <w:spacing w:val="-2"/>
                <w:sz w:val="20"/>
                <w:szCs w:val="20"/>
                <w:lang w:eastAsia="en-AU"/>
              </w:rPr>
              <w:t>but, in level terms, is at its highest level in more than a decade, with gold, base metals and copper the major commodites being targeted. St</w:t>
            </w:r>
            <w:r w:rsidR="00BD2E80">
              <w:rPr>
                <w:b w:val="0"/>
                <w:noProof/>
                <w:spacing w:val="-2"/>
                <w:sz w:val="20"/>
                <w:szCs w:val="20"/>
                <w:lang w:eastAsia="en-AU"/>
              </w:rPr>
              <w:t>r</w:t>
            </w:r>
            <w:r w:rsidR="00AB2DDD" w:rsidRPr="00E139D0">
              <w:rPr>
                <w:b w:val="0"/>
                <w:noProof/>
                <w:spacing w:val="-2"/>
                <w:sz w:val="20"/>
                <w:szCs w:val="20"/>
                <w:lang w:eastAsia="en-AU"/>
              </w:rPr>
              <w:t xml:space="preserve">ong </w:t>
            </w:r>
            <w:r w:rsidR="005838EC" w:rsidRPr="00E139D0">
              <w:rPr>
                <w:b w:val="0"/>
                <w:bCs w:val="0"/>
                <w:noProof/>
                <w:spacing w:val="-2"/>
                <w:sz w:val="20"/>
                <w:szCs w:val="20"/>
                <w:lang w:eastAsia="en-AU"/>
              </w:rPr>
              <w:t xml:space="preserve">exploration </w:t>
            </w:r>
            <w:r w:rsidR="00AB2DDD" w:rsidRPr="00E139D0">
              <w:rPr>
                <w:b w:val="0"/>
                <w:noProof/>
                <w:spacing w:val="-2"/>
                <w:sz w:val="20"/>
                <w:szCs w:val="20"/>
                <w:lang w:eastAsia="en-AU"/>
              </w:rPr>
              <w:t xml:space="preserve">expenditure </w:t>
            </w:r>
            <w:r w:rsidR="00E41C08" w:rsidRPr="00E139D0">
              <w:rPr>
                <w:b w:val="0"/>
                <w:noProof/>
                <w:spacing w:val="-2"/>
                <w:sz w:val="20"/>
                <w:szCs w:val="20"/>
                <w:lang w:eastAsia="en-AU"/>
              </w:rPr>
              <w:t>augur</w:t>
            </w:r>
            <w:r w:rsidR="00AB2DDD" w:rsidRPr="00E139D0">
              <w:rPr>
                <w:b w:val="0"/>
                <w:noProof/>
                <w:spacing w:val="-2"/>
                <w:sz w:val="20"/>
                <w:szCs w:val="20"/>
                <w:lang w:eastAsia="en-AU"/>
              </w:rPr>
              <w:t xml:space="preserve">s well for future </w:t>
            </w:r>
            <w:r w:rsidR="005838EC" w:rsidRPr="00E139D0">
              <w:rPr>
                <w:b w:val="0"/>
                <w:bCs w:val="0"/>
                <w:noProof/>
                <w:spacing w:val="-2"/>
                <w:sz w:val="20"/>
                <w:szCs w:val="20"/>
                <w:lang w:eastAsia="en-AU"/>
              </w:rPr>
              <w:t>industry production</w:t>
            </w:r>
            <w:r w:rsidR="00AB2DDD" w:rsidRPr="00194639">
              <w:rPr>
                <w:b w:val="0"/>
                <w:noProof/>
                <w:spacing w:val="-2"/>
                <w:sz w:val="20"/>
                <w:szCs w:val="20"/>
                <w:lang w:eastAsia="en-AU"/>
              </w:rPr>
              <w:t>.</w:t>
            </w:r>
          </w:p>
        </w:tc>
      </w:tr>
      <w:tr w:rsidR="000775CB" w:rsidRPr="00482D19" w14:paraId="582FE79B" w14:textId="77777777" w:rsidTr="00DC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shd w:val="clear" w:color="auto" w:fill="auto"/>
          </w:tcPr>
          <w:p w14:paraId="4F2C27B3" w14:textId="44A037C2" w:rsidR="000775CB" w:rsidRPr="00472E9F" w:rsidRDefault="000775CB" w:rsidP="000775CB">
            <w:pPr>
              <w:jc w:val="center"/>
              <w:rPr>
                <w:sz w:val="20"/>
                <w:szCs w:val="20"/>
              </w:rPr>
            </w:pPr>
            <w:r w:rsidRPr="00472E9F">
              <w:rPr>
                <w:sz w:val="20"/>
                <w:szCs w:val="20"/>
              </w:rPr>
              <w:t>State Final Demand – NT</w:t>
            </w:r>
          </w:p>
          <w:p w14:paraId="7D6843EB" w14:textId="2A3EE4EB" w:rsidR="000775CB" w:rsidRDefault="000775CB" w:rsidP="000775CB">
            <w:pPr>
              <w:jc w:val="center"/>
              <w:rPr>
                <w:sz w:val="16"/>
                <w:szCs w:val="16"/>
              </w:rPr>
            </w:pPr>
            <w:r w:rsidRPr="00472E9F">
              <w:rPr>
                <w:sz w:val="16"/>
                <w:szCs w:val="16"/>
              </w:rPr>
              <w:t>Components, moving annual total</w:t>
            </w:r>
            <w:r w:rsidR="00DE0A02">
              <w:rPr>
                <w:sz w:val="16"/>
                <w:szCs w:val="16"/>
              </w:rPr>
              <w:t xml:space="preserve"> ($B)</w:t>
            </w:r>
          </w:p>
          <w:p w14:paraId="1787A566" w14:textId="64CDAC69" w:rsidR="000775CB" w:rsidRPr="00542A1B" w:rsidRDefault="007F0840" w:rsidP="000775CB">
            <w:pPr>
              <w:jc w:val="center"/>
              <w:rPr>
                <w:noProof/>
                <w:sz w:val="16"/>
                <w:szCs w:val="16"/>
                <w:lang w:eastAsia="en-AU"/>
              </w:rPr>
            </w:pPr>
            <w:r>
              <w:rPr>
                <w:noProof/>
                <w:sz w:val="16"/>
                <w:szCs w:val="16"/>
                <w:lang w:eastAsia="en-AU"/>
              </w:rPr>
              <w:drawing>
                <wp:inline distT="0" distB="0" distL="0" distR="0" wp14:anchorId="6353B2B5" wp14:editId="41E9EF15">
                  <wp:extent cx="2930400" cy="2700000"/>
                  <wp:effectExtent l="0" t="0" r="381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0400" cy="2700000"/>
                          </a:xfrm>
                          <a:prstGeom prst="rect">
                            <a:avLst/>
                          </a:prstGeom>
                          <a:noFill/>
                        </pic:spPr>
                      </pic:pic>
                    </a:graphicData>
                  </a:graphic>
                </wp:inline>
              </w:drawing>
            </w:r>
          </w:p>
        </w:tc>
        <w:tc>
          <w:tcPr>
            <w:tcW w:w="5552" w:type="dxa"/>
            <w:shd w:val="clear" w:color="auto" w:fill="auto"/>
          </w:tcPr>
          <w:p w14:paraId="77FBF9BB" w14:textId="1CB33184" w:rsidR="00C27FFE" w:rsidRPr="00EC73A2" w:rsidRDefault="00124846" w:rsidP="00C27FFE">
            <w:pPr>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Mineral </w:t>
            </w:r>
            <w:r w:rsidR="00B014A7">
              <w:rPr>
                <w:b/>
                <w:sz w:val="20"/>
                <w:szCs w:val="20"/>
              </w:rPr>
              <w:t>Exploration Expenditure</w:t>
            </w:r>
          </w:p>
          <w:p w14:paraId="18A881BB" w14:textId="1B9A212E" w:rsidR="00C27FFE" w:rsidRPr="00EC73A2" w:rsidRDefault="008A54B9" w:rsidP="00C27FFE">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Y</w:t>
            </w:r>
            <w:r w:rsidR="002F4186">
              <w:rPr>
                <w:b/>
                <w:sz w:val="16"/>
                <w:szCs w:val="16"/>
              </w:rPr>
              <w:t xml:space="preserve">ear on </w:t>
            </w:r>
            <w:r w:rsidR="00573460">
              <w:rPr>
                <w:b/>
                <w:sz w:val="16"/>
                <w:szCs w:val="16"/>
              </w:rPr>
              <w:t>y</w:t>
            </w:r>
            <w:r w:rsidR="00267034">
              <w:rPr>
                <w:b/>
                <w:sz w:val="16"/>
                <w:szCs w:val="16"/>
              </w:rPr>
              <w:t>ear growth</w:t>
            </w:r>
            <w:r w:rsidR="00573460">
              <w:rPr>
                <w:b/>
                <w:sz w:val="16"/>
                <w:szCs w:val="16"/>
              </w:rPr>
              <w:t xml:space="preserve"> (%)</w:t>
            </w:r>
          </w:p>
          <w:p w14:paraId="49E102A9" w14:textId="0F58FBFA" w:rsidR="000775CB" w:rsidRPr="00542A1B" w:rsidRDefault="008F7287">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noProof/>
                <w:sz w:val="16"/>
                <w:szCs w:val="16"/>
                <w:lang w:eastAsia="en-AU"/>
              </w:rPr>
              <w:drawing>
                <wp:inline distT="0" distB="0" distL="0" distR="0" wp14:anchorId="7D37FFC0" wp14:editId="373131CE">
                  <wp:extent cx="2930400" cy="2696400"/>
                  <wp:effectExtent l="0" t="0" r="381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0400" cy="2696400"/>
                          </a:xfrm>
                          <a:prstGeom prst="rect">
                            <a:avLst/>
                          </a:prstGeom>
                          <a:noFill/>
                        </pic:spPr>
                      </pic:pic>
                    </a:graphicData>
                  </a:graphic>
                </wp:inline>
              </w:drawing>
            </w:r>
          </w:p>
        </w:tc>
      </w:tr>
      <w:tr w:rsidR="001337CA" w:rsidRPr="00482D19" w14:paraId="0EEE78EC" w14:textId="77777777" w:rsidTr="00DC1062">
        <w:trPr>
          <w:trHeight w:val="2314"/>
        </w:trPr>
        <w:tc>
          <w:tcPr>
            <w:cnfStyle w:val="001000000000" w:firstRow="0" w:lastRow="0" w:firstColumn="1" w:lastColumn="0" w:oddVBand="0" w:evenVBand="0" w:oddHBand="0" w:evenHBand="0" w:firstRowFirstColumn="0" w:firstRowLastColumn="0" w:lastRowFirstColumn="0" w:lastRowLastColumn="0"/>
            <w:tcW w:w="4876" w:type="dxa"/>
            <w:shd w:val="clear" w:color="auto" w:fill="auto"/>
          </w:tcPr>
          <w:p w14:paraId="435E2B66" w14:textId="17AD2CDF" w:rsidR="00971641" w:rsidRPr="00FA151B" w:rsidRDefault="001337CA" w:rsidP="00E128F4">
            <w:pPr>
              <w:spacing w:before="120"/>
              <w:jc w:val="both"/>
              <w:rPr>
                <w:b w:val="0"/>
                <w:bCs w:val="0"/>
                <w:noProof/>
                <w:spacing w:val="-2"/>
                <w:sz w:val="20"/>
                <w:szCs w:val="20"/>
                <w:lang w:eastAsia="en-AU"/>
              </w:rPr>
            </w:pPr>
            <w:r w:rsidRPr="00E128F4">
              <w:rPr>
                <w:bCs w:val="0"/>
                <w:noProof/>
                <w:spacing w:val="-2"/>
                <w:sz w:val="20"/>
                <w:szCs w:val="20"/>
                <w:lang w:eastAsia="en-AU"/>
              </w:rPr>
              <w:t>Chart 3</w:t>
            </w:r>
            <w:r w:rsidRPr="00E128F4">
              <w:rPr>
                <w:b w:val="0"/>
                <w:bCs w:val="0"/>
                <w:noProof/>
                <w:spacing w:val="-2"/>
                <w:sz w:val="20"/>
                <w:szCs w:val="20"/>
                <w:lang w:eastAsia="en-AU"/>
              </w:rPr>
              <w:t>:</w:t>
            </w:r>
            <w:r w:rsidR="009B0DC9" w:rsidRPr="00E128F4">
              <w:rPr>
                <w:b w:val="0"/>
                <w:bCs w:val="0"/>
                <w:noProof/>
                <w:spacing w:val="-2"/>
                <w:sz w:val="20"/>
                <w:szCs w:val="20"/>
                <w:lang w:eastAsia="en-AU"/>
              </w:rPr>
              <w:t xml:space="preserve"> </w:t>
            </w:r>
            <w:r w:rsidR="00E41C08" w:rsidRPr="003C0A72">
              <w:rPr>
                <w:b w:val="0"/>
                <w:bCs w:val="0"/>
                <w:noProof/>
                <w:spacing w:val="-2"/>
                <w:sz w:val="20"/>
                <w:szCs w:val="20"/>
                <w:lang w:eastAsia="en-AU"/>
              </w:rPr>
              <w:t>L</w:t>
            </w:r>
            <w:r w:rsidR="00FE0439" w:rsidRPr="003C0A72">
              <w:rPr>
                <w:b w:val="0"/>
                <w:bCs w:val="0"/>
                <w:noProof/>
                <w:spacing w:val="-2"/>
                <w:sz w:val="20"/>
                <w:szCs w:val="20"/>
                <w:lang w:eastAsia="en-AU"/>
              </w:rPr>
              <w:t>ithium</w:t>
            </w:r>
            <w:r w:rsidR="005B394F" w:rsidRPr="003C0A72">
              <w:rPr>
                <w:b w:val="0"/>
                <w:bCs w:val="0"/>
                <w:noProof/>
                <w:spacing w:val="-2"/>
                <w:sz w:val="20"/>
                <w:szCs w:val="20"/>
                <w:lang w:eastAsia="en-AU"/>
              </w:rPr>
              <w:t xml:space="preserve"> was among the best-performing commodities in 2021 and 2022, </w:t>
            </w:r>
            <w:r w:rsidR="00FE0439" w:rsidRPr="003C0A72">
              <w:rPr>
                <w:b w:val="0"/>
                <w:bCs w:val="0"/>
                <w:noProof/>
                <w:spacing w:val="-2"/>
                <w:sz w:val="20"/>
                <w:szCs w:val="20"/>
                <w:lang w:eastAsia="en-AU"/>
              </w:rPr>
              <w:t>underpinn</w:t>
            </w:r>
            <w:r w:rsidR="00FA151B" w:rsidRPr="003C0A72">
              <w:rPr>
                <w:b w:val="0"/>
                <w:bCs w:val="0"/>
                <w:noProof/>
                <w:spacing w:val="-2"/>
                <w:sz w:val="20"/>
                <w:szCs w:val="20"/>
                <w:lang w:eastAsia="en-AU"/>
              </w:rPr>
              <w:t>ed by strong</w:t>
            </w:r>
            <w:r w:rsidR="005B394F" w:rsidRPr="003C0A72">
              <w:rPr>
                <w:b w:val="0"/>
                <w:bCs w:val="0"/>
                <w:noProof/>
                <w:spacing w:val="-2"/>
                <w:sz w:val="20"/>
                <w:szCs w:val="20"/>
                <w:lang w:eastAsia="en-AU"/>
              </w:rPr>
              <w:t xml:space="preserve"> </w:t>
            </w:r>
            <w:r w:rsidR="00BB50E2" w:rsidRPr="003C0A72">
              <w:rPr>
                <w:b w:val="0"/>
                <w:bCs w:val="0"/>
                <w:noProof/>
                <w:spacing w:val="-2"/>
                <w:sz w:val="20"/>
                <w:szCs w:val="20"/>
                <w:lang w:eastAsia="en-AU"/>
              </w:rPr>
              <w:t>electric vehicle (EV) sales</w:t>
            </w:r>
            <w:r w:rsidR="005B394F" w:rsidRPr="003C0A72">
              <w:rPr>
                <w:b w:val="0"/>
                <w:bCs w:val="0"/>
                <w:noProof/>
                <w:spacing w:val="-2"/>
                <w:sz w:val="20"/>
                <w:szCs w:val="20"/>
                <w:lang w:eastAsia="en-AU"/>
              </w:rPr>
              <w:t xml:space="preserve">. </w:t>
            </w:r>
            <w:r w:rsidR="00FE0439" w:rsidRPr="003C0A72">
              <w:rPr>
                <w:b w:val="0"/>
                <w:noProof/>
                <w:spacing w:val="-2"/>
                <w:sz w:val="20"/>
                <w:szCs w:val="20"/>
                <w:lang w:eastAsia="en-AU"/>
              </w:rPr>
              <w:t>A</w:t>
            </w:r>
            <w:r w:rsidR="00BB50E2" w:rsidRPr="003C0A72">
              <w:rPr>
                <w:b w:val="0"/>
                <w:noProof/>
                <w:spacing w:val="-2"/>
                <w:sz w:val="20"/>
                <w:szCs w:val="20"/>
                <w:lang w:eastAsia="en-AU"/>
              </w:rPr>
              <w:t xml:space="preserve"> different picture emerged through 2023, </w:t>
            </w:r>
            <w:r w:rsidR="00FA151B" w:rsidRPr="003C0A72">
              <w:rPr>
                <w:b w:val="0"/>
                <w:bCs w:val="0"/>
                <w:noProof/>
                <w:spacing w:val="-2"/>
                <w:sz w:val="20"/>
                <w:szCs w:val="20"/>
                <w:lang w:eastAsia="en-AU"/>
              </w:rPr>
              <w:t>with a</w:t>
            </w:r>
            <w:r w:rsidR="005B394F" w:rsidRPr="003C0A72">
              <w:rPr>
                <w:b w:val="0"/>
                <w:bCs w:val="0"/>
                <w:noProof/>
                <w:spacing w:val="-2"/>
                <w:sz w:val="20"/>
                <w:szCs w:val="20"/>
                <w:lang w:eastAsia="en-AU"/>
              </w:rPr>
              <w:t xml:space="preserve"> less bullish outlook for EV sales </w:t>
            </w:r>
            <w:r w:rsidR="00BB50E2" w:rsidRPr="003C0A72">
              <w:rPr>
                <w:b w:val="0"/>
                <w:bCs w:val="0"/>
                <w:noProof/>
                <w:spacing w:val="-2"/>
                <w:sz w:val="20"/>
                <w:szCs w:val="20"/>
                <w:lang w:eastAsia="en-AU"/>
              </w:rPr>
              <w:t>as China’s subsidies expired and household confidence fell. At the same tim</w:t>
            </w:r>
            <w:r w:rsidR="000910EA" w:rsidRPr="003C0A72">
              <w:rPr>
                <w:b w:val="0"/>
                <w:bCs w:val="0"/>
                <w:noProof/>
                <w:spacing w:val="-2"/>
                <w:sz w:val="20"/>
                <w:szCs w:val="20"/>
                <w:lang w:eastAsia="en-AU"/>
              </w:rPr>
              <w:t>e supply increased dramatically in 2023, with some analyst</w:t>
            </w:r>
            <w:r w:rsidR="00D66F24">
              <w:rPr>
                <w:b w:val="0"/>
                <w:bCs w:val="0"/>
                <w:noProof/>
                <w:spacing w:val="-2"/>
                <w:sz w:val="20"/>
                <w:szCs w:val="20"/>
                <w:lang w:eastAsia="en-AU"/>
              </w:rPr>
              <w:t>s</w:t>
            </w:r>
            <w:r w:rsidR="000910EA" w:rsidRPr="003C0A72">
              <w:rPr>
                <w:b w:val="0"/>
                <w:bCs w:val="0"/>
                <w:noProof/>
                <w:spacing w:val="-2"/>
                <w:sz w:val="20"/>
                <w:szCs w:val="20"/>
                <w:lang w:eastAsia="en-AU"/>
              </w:rPr>
              <w:t xml:space="preserve"> estimating production </w:t>
            </w:r>
            <w:r w:rsidR="000910EA" w:rsidRPr="003C0A72">
              <w:rPr>
                <w:b w:val="0"/>
                <w:noProof/>
                <w:spacing w:val="-2"/>
                <w:sz w:val="20"/>
                <w:szCs w:val="20"/>
                <w:lang w:eastAsia="en-AU"/>
              </w:rPr>
              <w:t>increased by up to 40%, led by Australia and China</w:t>
            </w:r>
            <w:r w:rsidR="007268E1" w:rsidRPr="003C0A72">
              <w:rPr>
                <w:b w:val="0"/>
                <w:noProof/>
                <w:spacing w:val="-2"/>
                <w:sz w:val="20"/>
                <w:szCs w:val="20"/>
                <w:lang w:eastAsia="en-AU"/>
              </w:rPr>
              <w:t>, and with Chile and Iran known to have significant reserves.</w:t>
            </w:r>
          </w:p>
        </w:tc>
        <w:tc>
          <w:tcPr>
            <w:tcW w:w="5552" w:type="dxa"/>
            <w:shd w:val="clear" w:color="auto" w:fill="auto"/>
          </w:tcPr>
          <w:p w14:paraId="1E36CCB1" w14:textId="4CED5998" w:rsidR="00476C59" w:rsidRPr="007268E1" w:rsidRDefault="001337CA" w:rsidP="00E62813">
            <w:pPr>
              <w:spacing w:before="120" w:after="120"/>
              <w:jc w:val="both"/>
              <w:cnfStyle w:val="000000000000" w:firstRow="0" w:lastRow="0" w:firstColumn="0" w:lastColumn="0" w:oddVBand="0" w:evenVBand="0" w:oddHBand="0" w:evenHBand="0" w:firstRowFirstColumn="0" w:firstRowLastColumn="0" w:lastRowFirstColumn="0" w:lastRowLastColumn="0"/>
              <w:rPr>
                <w:noProof/>
                <w:spacing w:val="-2"/>
                <w:sz w:val="20"/>
                <w:szCs w:val="20"/>
                <w:lang w:eastAsia="en-AU"/>
              </w:rPr>
            </w:pPr>
            <w:r w:rsidRPr="00E41C08">
              <w:rPr>
                <w:b/>
                <w:noProof/>
                <w:spacing w:val="-2"/>
                <w:sz w:val="20"/>
                <w:szCs w:val="20"/>
                <w:lang w:eastAsia="en-AU"/>
              </w:rPr>
              <w:t>Chart 4:</w:t>
            </w:r>
            <w:r w:rsidR="00AB7E95" w:rsidRPr="00E41C08">
              <w:rPr>
                <w:noProof/>
                <w:spacing w:val="-2"/>
                <w:sz w:val="20"/>
                <w:szCs w:val="20"/>
                <w:lang w:eastAsia="en-AU"/>
              </w:rPr>
              <w:t xml:space="preserve"> </w:t>
            </w:r>
            <w:r w:rsidR="00E64602" w:rsidRPr="00E41C08">
              <w:rPr>
                <w:noProof/>
                <w:spacing w:val="-2"/>
                <w:sz w:val="20"/>
                <w:szCs w:val="20"/>
                <w:lang w:eastAsia="en-AU"/>
              </w:rPr>
              <w:t>T</w:t>
            </w:r>
            <w:r w:rsidR="003318EB">
              <w:rPr>
                <w:noProof/>
                <w:spacing w:val="-2"/>
                <w:sz w:val="20"/>
                <w:szCs w:val="20"/>
                <w:lang w:eastAsia="en-AU"/>
              </w:rPr>
              <w:t>hough t</w:t>
            </w:r>
            <w:r w:rsidR="003969FC" w:rsidRPr="00E41C08">
              <w:rPr>
                <w:noProof/>
                <w:spacing w:val="-2"/>
                <w:sz w:val="20"/>
                <w:szCs w:val="20"/>
                <w:lang w:eastAsia="en-AU"/>
              </w:rPr>
              <w:t xml:space="preserve">he </w:t>
            </w:r>
            <w:r w:rsidR="003318EB">
              <w:rPr>
                <w:noProof/>
                <w:spacing w:val="-2"/>
                <w:sz w:val="20"/>
                <w:szCs w:val="20"/>
                <w:lang w:eastAsia="en-AU"/>
              </w:rPr>
              <w:t>short</w:t>
            </w:r>
            <w:r w:rsidR="003969FC" w:rsidRPr="00E41C08">
              <w:rPr>
                <w:noProof/>
                <w:spacing w:val="-2"/>
                <w:sz w:val="20"/>
                <w:szCs w:val="20"/>
                <w:lang w:eastAsia="en-AU"/>
              </w:rPr>
              <w:t xml:space="preserve"> term</w:t>
            </w:r>
            <w:r w:rsidR="00BB3725" w:rsidRPr="00E41C08">
              <w:rPr>
                <w:noProof/>
                <w:spacing w:val="-2"/>
                <w:sz w:val="20"/>
                <w:szCs w:val="20"/>
                <w:lang w:eastAsia="en-AU"/>
              </w:rPr>
              <w:t xml:space="preserve"> </w:t>
            </w:r>
            <w:r w:rsidR="000910EA" w:rsidRPr="00E41C08">
              <w:rPr>
                <w:noProof/>
                <w:spacing w:val="-2"/>
                <w:sz w:val="20"/>
                <w:szCs w:val="20"/>
                <w:lang w:eastAsia="en-AU"/>
              </w:rPr>
              <w:t>pro</w:t>
            </w:r>
            <w:r w:rsidR="00845A73">
              <w:rPr>
                <w:noProof/>
                <w:spacing w:val="-2"/>
                <w:sz w:val="20"/>
                <w:szCs w:val="20"/>
                <w:lang w:eastAsia="en-AU"/>
              </w:rPr>
              <w:t>s</w:t>
            </w:r>
            <w:r w:rsidR="000910EA" w:rsidRPr="00E41C08">
              <w:rPr>
                <w:noProof/>
                <w:spacing w:val="-2"/>
                <w:sz w:val="20"/>
                <w:szCs w:val="20"/>
                <w:lang w:eastAsia="en-AU"/>
              </w:rPr>
              <w:t xml:space="preserve">pects </w:t>
            </w:r>
            <w:r w:rsidR="00BB3725" w:rsidRPr="00E41C08">
              <w:rPr>
                <w:noProof/>
                <w:spacing w:val="-2"/>
                <w:sz w:val="20"/>
                <w:szCs w:val="20"/>
                <w:lang w:eastAsia="en-AU"/>
              </w:rPr>
              <w:t xml:space="preserve">for </w:t>
            </w:r>
            <w:r w:rsidR="00271B9A" w:rsidRPr="00E41C08">
              <w:rPr>
                <w:noProof/>
                <w:spacing w:val="-2"/>
                <w:sz w:val="20"/>
                <w:szCs w:val="20"/>
                <w:lang w:eastAsia="en-AU"/>
              </w:rPr>
              <w:t xml:space="preserve">lithium </w:t>
            </w:r>
            <w:r w:rsidR="00E64602" w:rsidRPr="00E41C08">
              <w:rPr>
                <w:noProof/>
                <w:spacing w:val="-2"/>
                <w:sz w:val="20"/>
                <w:szCs w:val="20"/>
                <w:lang w:eastAsia="en-AU"/>
              </w:rPr>
              <w:t>produc</w:t>
            </w:r>
            <w:r w:rsidR="00B91624">
              <w:rPr>
                <w:noProof/>
                <w:spacing w:val="-2"/>
                <w:sz w:val="20"/>
                <w:szCs w:val="20"/>
                <w:lang w:eastAsia="en-AU"/>
              </w:rPr>
              <w:t>tion</w:t>
            </w:r>
            <w:r w:rsidR="00E64602" w:rsidRPr="00E41C08">
              <w:rPr>
                <w:noProof/>
                <w:spacing w:val="-2"/>
                <w:sz w:val="20"/>
                <w:szCs w:val="20"/>
                <w:lang w:eastAsia="en-AU"/>
              </w:rPr>
              <w:t xml:space="preserve"> </w:t>
            </w:r>
            <w:r w:rsidR="003318EB">
              <w:rPr>
                <w:noProof/>
                <w:spacing w:val="-2"/>
                <w:sz w:val="20"/>
                <w:szCs w:val="20"/>
                <w:lang w:eastAsia="en-AU"/>
              </w:rPr>
              <w:t>are</w:t>
            </w:r>
            <w:r w:rsidR="00E64602" w:rsidRPr="00E41C08">
              <w:rPr>
                <w:noProof/>
                <w:spacing w:val="-2"/>
                <w:sz w:val="20"/>
                <w:szCs w:val="20"/>
                <w:lang w:eastAsia="en-AU"/>
              </w:rPr>
              <w:t xml:space="preserve"> </w:t>
            </w:r>
            <w:r w:rsidR="0041099B">
              <w:rPr>
                <w:noProof/>
                <w:spacing w:val="-2"/>
                <w:sz w:val="20"/>
                <w:szCs w:val="20"/>
                <w:lang w:eastAsia="en-AU"/>
              </w:rPr>
              <w:t xml:space="preserve">for </w:t>
            </w:r>
            <w:r w:rsidR="00E64602" w:rsidRPr="00E41C08">
              <w:rPr>
                <w:noProof/>
                <w:spacing w:val="-2"/>
                <w:sz w:val="20"/>
                <w:szCs w:val="20"/>
                <w:lang w:eastAsia="en-AU"/>
              </w:rPr>
              <w:t xml:space="preserve">continued </w:t>
            </w:r>
            <w:r w:rsidR="003969FC" w:rsidRPr="00E41C08">
              <w:rPr>
                <w:noProof/>
                <w:spacing w:val="-2"/>
                <w:sz w:val="20"/>
                <w:szCs w:val="20"/>
                <w:lang w:eastAsia="en-AU"/>
              </w:rPr>
              <w:t>headwinds</w:t>
            </w:r>
            <w:r w:rsidR="003318EB" w:rsidRPr="00E41C08">
              <w:rPr>
                <w:noProof/>
                <w:spacing w:val="-2"/>
                <w:sz w:val="20"/>
                <w:szCs w:val="20"/>
                <w:lang w:eastAsia="en-AU"/>
              </w:rPr>
              <w:t xml:space="preserve">, </w:t>
            </w:r>
            <w:r w:rsidR="003318EB">
              <w:rPr>
                <w:noProof/>
                <w:spacing w:val="-2"/>
                <w:sz w:val="20"/>
                <w:szCs w:val="20"/>
                <w:lang w:eastAsia="en-AU"/>
              </w:rPr>
              <w:t>the International Energy Agency expects demand to strengthen significantly over the next decade as the global net zero transition gains pace, and notably as households transition to EV’s</w:t>
            </w:r>
            <w:r w:rsidR="00E41C08">
              <w:rPr>
                <w:noProof/>
                <w:spacing w:val="-2"/>
                <w:sz w:val="20"/>
                <w:szCs w:val="20"/>
                <w:lang w:eastAsia="en-AU"/>
              </w:rPr>
              <w:t>.</w:t>
            </w:r>
            <w:r w:rsidR="00821927" w:rsidRPr="00E128F4">
              <w:rPr>
                <w:noProof/>
                <w:spacing w:val="-2"/>
                <w:sz w:val="20"/>
                <w:szCs w:val="20"/>
                <w:lang w:eastAsia="en-AU"/>
              </w:rPr>
              <w:t xml:space="preserve"> </w:t>
            </w:r>
            <w:r w:rsidR="00780A4D">
              <w:rPr>
                <w:noProof/>
                <w:spacing w:val="-2"/>
                <w:sz w:val="20"/>
                <w:szCs w:val="20"/>
                <w:lang w:eastAsia="en-AU"/>
              </w:rPr>
              <w:t xml:space="preserve">Beyond 2035 growth in </w:t>
            </w:r>
            <w:r w:rsidR="00CC6AB1">
              <w:rPr>
                <w:noProof/>
                <w:spacing w:val="-2"/>
                <w:sz w:val="20"/>
                <w:szCs w:val="20"/>
                <w:lang w:eastAsia="en-AU"/>
              </w:rPr>
              <w:t xml:space="preserve">lithium </w:t>
            </w:r>
            <w:r w:rsidR="00780A4D">
              <w:rPr>
                <w:noProof/>
                <w:spacing w:val="-2"/>
                <w:sz w:val="20"/>
                <w:szCs w:val="20"/>
                <w:lang w:eastAsia="en-AU"/>
              </w:rPr>
              <w:t>demand is expected to moderate.</w:t>
            </w:r>
            <w:r w:rsidR="00F11368">
              <w:rPr>
                <w:noProof/>
                <w:spacing w:val="-2"/>
                <w:sz w:val="20"/>
                <w:szCs w:val="20"/>
                <w:lang w:eastAsia="en-AU"/>
              </w:rPr>
              <w:t xml:space="preserve"> </w:t>
            </w:r>
            <w:r w:rsidR="00821927" w:rsidRPr="00E128F4">
              <w:rPr>
                <w:noProof/>
                <w:spacing w:val="-2"/>
                <w:sz w:val="20"/>
                <w:szCs w:val="20"/>
                <w:lang w:eastAsia="en-AU"/>
              </w:rPr>
              <w:t>Notwithstanding</w:t>
            </w:r>
            <w:r w:rsidR="003969FC" w:rsidRPr="00E128F4">
              <w:rPr>
                <w:noProof/>
                <w:spacing w:val="-2"/>
                <w:sz w:val="20"/>
                <w:szCs w:val="20"/>
                <w:lang w:eastAsia="en-AU"/>
              </w:rPr>
              <w:t xml:space="preserve"> </w:t>
            </w:r>
            <w:r w:rsidR="002F3D8B" w:rsidRPr="00E128F4">
              <w:rPr>
                <w:noProof/>
                <w:spacing w:val="-2"/>
                <w:sz w:val="20"/>
                <w:szCs w:val="20"/>
                <w:lang w:eastAsia="en-AU"/>
              </w:rPr>
              <w:t>positive</w:t>
            </w:r>
            <w:r w:rsidR="00821927" w:rsidRPr="00E128F4">
              <w:rPr>
                <w:noProof/>
                <w:spacing w:val="-2"/>
                <w:sz w:val="20"/>
                <w:szCs w:val="20"/>
                <w:lang w:eastAsia="en-AU"/>
              </w:rPr>
              <w:t xml:space="preserve"> </w:t>
            </w:r>
            <w:r w:rsidR="004F7865" w:rsidRPr="00E128F4">
              <w:rPr>
                <w:noProof/>
                <w:spacing w:val="-2"/>
                <w:sz w:val="20"/>
                <w:szCs w:val="20"/>
                <w:lang w:eastAsia="en-AU"/>
              </w:rPr>
              <w:t>projections for future</w:t>
            </w:r>
            <w:r w:rsidR="00EE0C6B" w:rsidRPr="00E128F4">
              <w:rPr>
                <w:noProof/>
                <w:spacing w:val="-2"/>
                <w:sz w:val="20"/>
                <w:szCs w:val="20"/>
                <w:lang w:eastAsia="en-AU"/>
              </w:rPr>
              <w:t xml:space="preserve"> </w:t>
            </w:r>
            <w:r w:rsidR="00821927" w:rsidRPr="00E128F4">
              <w:rPr>
                <w:noProof/>
                <w:spacing w:val="-2"/>
                <w:sz w:val="20"/>
                <w:szCs w:val="20"/>
                <w:lang w:eastAsia="en-AU"/>
              </w:rPr>
              <w:t>lithium demand</w:t>
            </w:r>
            <w:r w:rsidR="004F7865" w:rsidRPr="00E128F4">
              <w:rPr>
                <w:noProof/>
                <w:spacing w:val="-2"/>
                <w:sz w:val="20"/>
                <w:szCs w:val="20"/>
                <w:lang w:eastAsia="en-AU"/>
              </w:rPr>
              <w:t>,</w:t>
            </w:r>
            <w:r w:rsidR="00C22E8D" w:rsidRPr="00E128F4">
              <w:rPr>
                <w:noProof/>
                <w:spacing w:val="-2"/>
                <w:sz w:val="20"/>
                <w:szCs w:val="20"/>
                <w:lang w:eastAsia="en-AU"/>
              </w:rPr>
              <w:t xml:space="preserve"> </w:t>
            </w:r>
            <w:r w:rsidR="004F7865" w:rsidRPr="00E128F4">
              <w:rPr>
                <w:noProof/>
                <w:spacing w:val="-2"/>
                <w:sz w:val="20"/>
                <w:szCs w:val="20"/>
                <w:lang w:eastAsia="en-AU"/>
              </w:rPr>
              <w:t xml:space="preserve">low cost producers are </w:t>
            </w:r>
            <w:r w:rsidR="00705079" w:rsidRPr="00E128F4">
              <w:rPr>
                <w:noProof/>
                <w:spacing w:val="-2"/>
                <w:sz w:val="20"/>
                <w:szCs w:val="20"/>
                <w:lang w:eastAsia="en-AU"/>
              </w:rPr>
              <w:t xml:space="preserve">more </w:t>
            </w:r>
            <w:r w:rsidR="004F7865" w:rsidRPr="00E128F4">
              <w:rPr>
                <w:noProof/>
                <w:spacing w:val="-2"/>
                <w:sz w:val="20"/>
                <w:szCs w:val="20"/>
                <w:lang w:eastAsia="en-AU"/>
              </w:rPr>
              <w:t xml:space="preserve">likely to survive market </w:t>
            </w:r>
            <w:r w:rsidR="00FB421D" w:rsidRPr="007268E1">
              <w:rPr>
                <w:noProof/>
                <w:spacing w:val="-2"/>
                <w:sz w:val="20"/>
                <w:szCs w:val="20"/>
                <w:lang w:eastAsia="en-AU"/>
              </w:rPr>
              <w:t>volatility</w:t>
            </w:r>
            <w:r w:rsidR="004F7865" w:rsidRPr="007268E1">
              <w:rPr>
                <w:noProof/>
                <w:spacing w:val="-2"/>
                <w:sz w:val="20"/>
                <w:szCs w:val="20"/>
                <w:lang w:eastAsia="en-AU"/>
              </w:rPr>
              <w:t xml:space="preserve"> </w:t>
            </w:r>
            <w:r w:rsidR="00705079" w:rsidRPr="007268E1">
              <w:rPr>
                <w:noProof/>
                <w:spacing w:val="-2"/>
                <w:sz w:val="20"/>
                <w:szCs w:val="20"/>
                <w:lang w:eastAsia="en-AU"/>
              </w:rPr>
              <w:t>in the rapidly evolving critical minerals market.</w:t>
            </w:r>
            <w:r w:rsidR="008A54B9">
              <w:rPr>
                <w:noProof/>
                <w:spacing w:val="-2"/>
                <w:sz w:val="20"/>
                <w:szCs w:val="20"/>
                <w:lang w:eastAsia="en-AU"/>
              </w:rPr>
              <w:t xml:space="preserve"> </w:t>
            </w:r>
          </w:p>
        </w:tc>
      </w:tr>
      <w:tr w:rsidR="001337CA" w:rsidRPr="00482D19" w14:paraId="53EF8C2D" w14:textId="77777777" w:rsidTr="00DC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6" w:type="dxa"/>
            <w:shd w:val="clear" w:color="auto" w:fill="auto"/>
          </w:tcPr>
          <w:p w14:paraId="75A5059E" w14:textId="3EE742EB" w:rsidR="005439AD" w:rsidRDefault="003E222F" w:rsidP="00471A41">
            <w:pPr>
              <w:jc w:val="center"/>
              <w:rPr>
                <w:sz w:val="16"/>
                <w:szCs w:val="16"/>
              </w:rPr>
            </w:pPr>
            <w:r>
              <w:rPr>
                <w:sz w:val="20"/>
                <w:szCs w:val="20"/>
              </w:rPr>
              <w:t>Lithium</w:t>
            </w:r>
            <w:r w:rsidR="00A51C4D">
              <w:rPr>
                <w:b w:val="0"/>
                <w:sz w:val="20"/>
                <w:szCs w:val="20"/>
              </w:rPr>
              <w:t xml:space="preserve"> </w:t>
            </w:r>
            <w:r w:rsidR="00A55F6E">
              <w:rPr>
                <w:sz w:val="20"/>
                <w:szCs w:val="20"/>
              </w:rPr>
              <w:t>Spodumene</w:t>
            </w:r>
          </w:p>
          <w:p w14:paraId="193C87E6" w14:textId="7B5D4B11" w:rsidR="001337CA" w:rsidRPr="00D80414" w:rsidRDefault="00FD1179" w:rsidP="00A4499A">
            <w:pPr>
              <w:jc w:val="center"/>
              <w:rPr>
                <w:b w:val="0"/>
                <w:sz w:val="16"/>
                <w:szCs w:val="16"/>
              </w:rPr>
            </w:pPr>
            <w:r>
              <w:rPr>
                <w:sz w:val="16"/>
                <w:szCs w:val="16"/>
              </w:rPr>
              <w:t xml:space="preserve">Commodity </w:t>
            </w:r>
            <w:r w:rsidR="00D41EFC">
              <w:rPr>
                <w:sz w:val="16"/>
                <w:szCs w:val="16"/>
              </w:rPr>
              <w:t xml:space="preserve">spot </w:t>
            </w:r>
            <w:r w:rsidR="00B004BC">
              <w:rPr>
                <w:sz w:val="16"/>
                <w:szCs w:val="16"/>
              </w:rPr>
              <w:t>price</w:t>
            </w:r>
            <w:r w:rsidR="008575DB">
              <w:rPr>
                <w:sz w:val="16"/>
                <w:szCs w:val="16"/>
              </w:rPr>
              <w:t xml:space="preserve"> </w:t>
            </w:r>
            <w:r w:rsidR="00B004BC">
              <w:rPr>
                <w:sz w:val="16"/>
                <w:szCs w:val="16"/>
              </w:rPr>
              <w:t>(USD per ton)</w:t>
            </w:r>
          </w:p>
        </w:tc>
        <w:tc>
          <w:tcPr>
            <w:tcW w:w="5552" w:type="dxa"/>
            <w:shd w:val="clear" w:color="auto" w:fill="auto"/>
          </w:tcPr>
          <w:p w14:paraId="042FB597" w14:textId="1A8DFDDB" w:rsidR="005439AD" w:rsidRPr="00D80414" w:rsidRDefault="00FA06B7" w:rsidP="005439AD">
            <w:pPr>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Lithium Demand Projections</w:t>
            </w:r>
          </w:p>
          <w:p w14:paraId="364D70DD" w14:textId="7D3CF19C" w:rsidR="001337CA" w:rsidRPr="00C27FFE" w:rsidRDefault="00FA06B7" w:rsidP="00745440">
            <w:pPr>
              <w:jc w:val="center"/>
              <w:cnfStyle w:val="000000100000" w:firstRow="0" w:lastRow="0" w:firstColumn="0" w:lastColumn="0" w:oddVBand="0" w:evenVBand="0" w:oddHBand="1" w:evenHBand="0" w:firstRowFirstColumn="0" w:firstRowLastColumn="0" w:lastRowFirstColumn="0" w:lastRowLastColumn="0"/>
              <w:rPr>
                <w:b/>
                <w:sz w:val="16"/>
                <w:szCs w:val="16"/>
              </w:rPr>
            </w:pPr>
            <w:r>
              <w:rPr>
                <w:b/>
                <w:bCs/>
                <w:sz w:val="16"/>
                <w:szCs w:val="16"/>
              </w:rPr>
              <w:t xml:space="preserve">Net Zero by 2050 Scenario, </w:t>
            </w:r>
            <w:r w:rsidR="00745440">
              <w:rPr>
                <w:b/>
                <w:bCs/>
                <w:sz w:val="16"/>
                <w:szCs w:val="16"/>
              </w:rPr>
              <w:t>c</w:t>
            </w:r>
            <w:r>
              <w:rPr>
                <w:b/>
                <w:bCs/>
                <w:sz w:val="16"/>
                <w:szCs w:val="16"/>
              </w:rPr>
              <w:t>omponents</w:t>
            </w:r>
            <w:r w:rsidR="00482078">
              <w:rPr>
                <w:b/>
                <w:bCs/>
                <w:sz w:val="16"/>
                <w:szCs w:val="16"/>
              </w:rPr>
              <w:t xml:space="preserve"> (</w:t>
            </w:r>
            <w:r>
              <w:rPr>
                <w:b/>
                <w:bCs/>
                <w:sz w:val="16"/>
                <w:szCs w:val="16"/>
              </w:rPr>
              <w:t>Kilo</w:t>
            </w:r>
            <w:r w:rsidR="006323C3">
              <w:rPr>
                <w:b/>
                <w:bCs/>
                <w:sz w:val="16"/>
                <w:szCs w:val="16"/>
              </w:rPr>
              <w:t>ton</w:t>
            </w:r>
            <w:r w:rsidR="00482078">
              <w:rPr>
                <w:b/>
                <w:bCs/>
                <w:sz w:val="16"/>
                <w:szCs w:val="16"/>
              </w:rPr>
              <w:t>)</w:t>
            </w:r>
          </w:p>
        </w:tc>
      </w:tr>
      <w:tr w:rsidR="00FF6F32" w:rsidRPr="00482D19" w14:paraId="6F0888B8" w14:textId="77777777" w:rsidTr="00DC1062">
        <w:tc>
          <w:tcPr>
            <w:cnfStyle w:val="001000000000" w:firstRow="0" w:lastRow="0" w:firstColumn="1" w:lastColumn="0" w:oddVBand="0" w:evenVBand="0" w:oddHBand="0" w:evenHBand="0" w:firstRowFirstColumn="0" w:firstRowLastColumn="0" w:lastRowFirstColumn="0" w:lastRowLastColumn="0"/>
            <w:tcW w:w="4876" w:type="dxa"/>
            <w:shd w:val="clear" w:color="auto" w:fill="auto"/>
          </w:tcPr>
          <w:p w14:paraId="0E2B0C7B" w14:textId="61F728B1" w:rsidR="00FF6F32" w:rsidRDefault="00AD2A0B" w:rsidP="001337CA">
            <w:pPr>
              <w:jc w:val="center"/>
              <w:rPr>
                <w:sz w:val="20"/>
                <w:szCs w:val="20"/>
              </w:rPr>
            </w:pPr>
            <w:r>
              <w:rPr>
                <w:noProof/>
                <w:sz w:val="20"/>
                <w:szCs w:val="20"/>
                <w:lang w:eastAsia="en-AU"/>
              </w:rPr>
              <w:drawing>
                <wp:inline distT="0" distB="0" distL="0" distR="0" wp14:anchorId="18F45BCA" wp14:editId="68DC728A">
                  <wp:extent cx="2930400" cy="2696400"/>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400" cy="2696400"/>
                          </a:xfrm>
                          <a:prstGeom prst="rect">
                            <a:avLst/>
                          </a:prstGeom>
                          <a:noFill/>
                        </pic:spPr>
                      </pic:pic>
                    </a:graphicData>
                  </a:graphic>
                </wp:inline>
              </w:drawing>
            </w:r>
          </w:p>
        </w:tc>
        <w:tc>
          <w:tcPr>
            <w:tcW w:w="5552" w:type="dxa"/>
            <w:shd w:val="clear" w:color="auto" w:fill="auto"/>
          </w:tcPr>
          <w:p w14:paraId="248A771E" w14:textId="49E27492" w:rsidR="00FF6F32" w:rsidRDefault="004F2EA3" w:rsidP="001337CA">
            <w:pPr>
              <w:jc w:val="center"/>
              <w:cnfStyle w:val="000000000000" w:firstRow="0" w:lastRow="0" w:firstColumn="0" w:lastColumn="0" w:oddVBand="0" w:evenVBand="0" w:oddHBand="0" w:evenHBand="0" w:firstRowFirstColumn="0" w:firstRowLastColumn="0" w:lastRowFirstColumn="0" w:lastRowLastColumn="0"/>
              <w:rPr>
                <w:b/>
                <w:sz w:val="20"/>
                <w:szCs w:val="20"/>
              </w:rPr>
            </w:pPr>
            <w:r>
              <w:rPr>
                <w:b/>
                <w:noProof/>
                <w:sz w:val="20"/>
                <w:szCs w:val="20"/>
                <w:lang w:eastAsia="en-AU"/>
              </w:rPr>
              <w:drawing>
                <wp:inline distT="0" distB="0" distL="0" distR="0" wp14:anchorId="7AF1142A" wp14:editId="1BC704D8">
                  <wp:extent cx="2955600" cy="269640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5600" cy="2696400"/>
                          </a:xfrm>
                          <a:prstGeom prst="rect">
                            <a:avLst/>
                          </a:prstGeom>
                          <a:noFill/>
                        </pic:spPr>
                      </pic:pic>
                    </a:graphicData>
                  </a:graphic>
                </wp:inline>
              </w:drawing>
            </w:r>
          </w:p>
        </w:tc>
      </w:tr>
    </w:tbl>
    <w:p w14:paraId="215AF235" w14:textId="66EE1622" w:rsidR="009B0DC9" w:rsidRPr="00E139D0" w:rsidRDefault="00967EFF" w:rsidP="00BC265F">
      <w:pPr>
        <w:spacing w:after="120"/>
        <w:jc w:val="both"/>
        <w:rPr>
          <w:i/>
          <w:iCs/>
          <w:sz w:val="10"/>
          <w:szCs w:val="10"/>
        </w:rPr>
      </w:pPr>
      <w:r>
        <w:rPr>
          <w:i/>
          <w:iCs/>
          <w:color w:val="808080" w:themeColor="background1" w:themeShade="80"/>
          <w:sz w:val="10"/>
          <w:szCs w:val="10"/>
        </w:rPr>
        <w:br/>
      </w:r>
      <w:r w:rsidR="00B8103F" w:rsidRPr="00E139D0">
        <w:rPr>
          <w:i/>
          <w:iCs/>
          <w:color w:val="808080" w:themeColor="background1" w:themeShade="80"/>
          <w:sz w:val="10"/>
          <w:szCs w:val="10"/>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r w:rsidR="00B8103F" w:rsidRPr="00E139D0">
        <w:rPr>
          <w:i/>
          <w:iCs/>
          <w:sz w:val="10"/>
          <w:szCs w:val="10"/>
        </w:rPr>
        <w:t>.</w:t>
      </w:r>
    </w:p>
    <w:sectPr w:rsidR="009B0DC9" w:rsidRPr="00E139D0" w:rsidSect="00E128F4">
      <w:headerReference w:type="default" r:id="rId13"/>
      <w:footerReference w:type="default" r:id="rId14"/>
      <w:headerReference w:type="first" r:id="rId15"/>
      <w:footerReference w:type="first" r:id="rId16"/>
      <w:pgSz w:w="11906" w:h="16838" w:code="9"/>
      <w:pgMar w:top="425" w:right="794" w:bottom="142" w:left="794" w:header="680"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35FD" w14:textId="77777777" w:rsidR="008E4007" w:rsidRDefault="008E4007" w:rsidP="007332FF">
      <w:r>
        <w:separator/>
      </w:r>
    </w:p>
  </w:endnote>
  <w:endnote w:type="continuationSeparator" w:id="0">
    <w:p w14:paraId="29676DE1" w14:textId="77777777" w:rsidR="008E4007" w:rsidRDefault="008E400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AC70" w14:textId="77777777" w:rsidR="00B00979" w:rsidRPr="00DD607E" w:rsidRDefault="00B00979" w:rsidP="00450636">
    <w:pPr>
      <w:spacing w:after="0"/>
      <w:rPr>
        <w:sz w:val="4"/>
        <w:szCs w:val="4"/>
      </w:rPr>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00979" w:rsidRPr="00132658" w14:paraId="76144F35" w14:textId="77777777" w:rsidTr="00DD607E">
      <w:trPr>
        <w:cantSplit/>
        <w:trHeight w:hRule="exact" w:val="850"/>
      </w:trPr>
      <w:tc>
        <w:tcPr>
          <w:tcW w:w="10318" w:type="dxa"/>
          <w:vAlign w:val="center"/>
        </w:tcPr>
        <w:p w14:paraId="47143647" w14:textId="31EFF08C" w:rsidR="00B00979" w:rsidRDefault="00B00979" w:rsidP="00DD607E">
          <w:pPr>
            <w:spacing w:after="0"/>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Content>
              <w:r>
                <w:rPr>
                  <w:rStyle w:val="PageNumber"/>
                  <w:b/>
                </w:rPr>
                <w:t>Industry, Tourism and Trade</w:t>
              </w:r>
            </w:sdtContent>
          </w:sdt>
        </w:p>
        <w:p w14:paraId="6D7329B7" w14:textId="1F157874" w:rsidR="00B00979" w:rsidRPr="00AC4488" w:rsidRDefault="00000000" w:rsidP="00FA6384">
          <w:pPr>
            <w:spacing w:after="0"/>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4-03-25T00:00:00Z">
                <w:dateFormat w:val="d MMMM yyyy"/>
                <w:lid w:val="en-AU"/>
                <w:storeMappedDataAs w:val="dateTime"/>
                <w:calendar w:val="gregorian"/>
              </w:date>
            </w:sdtPr>
            <w:sdtContent>
              <w:r w:rsidR="00F11F52">
                <w:rPr>
                  <w:rStyle w:val="PageNumber"/>
                </w:rPr>
                <w:t>25</w:t>
              </w:r>
              <w:r w:rsidR="00FA6384">
                <w:rPr>
                  <w:rStyle w:val="PageNumber"/>
                </w:rPr>
                <w:t xml:space="preserve"> March 2024</w:t>
              </w:r>
            </w:sdtContent>
          </w:sdt>
          <w:r w:rsidR="00B00979" w:rsidRPr="00CE6614">
            <w:rPr>
              <w:rStyle w:val="PageNumber"/>
            </w:rPr>
            <w:t xml:space="preserve"> | </w:t>
          </w:r>
          <w:r w:rsidR="00B00979" w:rsidRPr="00AC4488">
            <w:rPr>
              <w:rStyle w:val="PageNumber"/>
            </w:rPr>
            <w:t xml:space="preserve">Page </w:t>
          </w:r>
          <w:r w:rsidR="00B00979" w:rsidRPr="00AC4488">
            <w:rPr>
              <w:rStyle w:val="PageNumber"/>
            </w:rPr>
            <w:fldChar w:fldCharType="begin"/>
          </w:r>
          <w:r w:rsidR="00B00979" w:rsidRPr="00AC4488">
            <w:rPr>
              <w:rStyle w:val="PageNumber"/>
            </w:rPr>
            <w:instrText xml:space="preserve"> PAGE  \* Arabic  \* MERGEFORMAT </w:instrText>
          </w:r>
          <w:r w:rsidR="00B00979" w:rsidRPr="00AC4488">
            <w:rPr>
              <w:rStyle w:val="PageNumber"/>
            </w:rPr>
            <w:fldChar w:fldCharType="separate"/>
          </w:r>
          <w:r w:rsidR="008D7C14">
            <w:rPr>
              <w:rStyle w:val="PageNumber"/>
              <w:noProof/>
            </w:rPr>
            <w:t>2</w:t>
          </w:r>
          <w:r w:rsidR="00B00979" w:rsidRPr="00AC4488">
            <w:rPr>
              <w:rStyle w:val="PageNumber"/>
            </w:rPr>
            <w:fldChar w:fldCharType="end"/>
          </w:r>
          <w:r w:rsidR="00B00979" w:rsidRPr="00AC4488">
            <w:rPr>
              <w:rStyle w:val="PageNumber"/>
            </w:rPr>
            <w:t xml:space="preserve"> of </w:t>
          </w:r>
          <w:r w:rsidR="00B00979" w:rsidRPr="00AC4488">
            <w:rPr>
              <w:rStyle w:val="PageNumber"/>
            </w:rPr>
            <w:fldChar w:fldCharType="begin"/>
          </w:r>
          <w:r w:rsidR="00B00979" w:rsidRPr="00AC4488">
            <w:rPr>
              <w:rStyle w:val="PageNumber"/>
            </w:rPr>
            <w:instrText xml:space="preserve"> NUMPAGES  \* Arabic  \* MERGEFORMAT </w:instrText>
          </w:r>
          <w:r w:rsidR="00B00979" w:rsidRPr="00AC4488">
            <w:rPr>
              <w:rStyle w:val="PageNumber"/>
            </w:rPr>
            <w:fldChar w:fldCharType="separate"/>
          </w:r>
          <w:r w:rsidR="008D7C14">
            <w:rPr>
              <w:rStyle w:val="PageNumber"/>
              <w:noProof/>
            </w:rPr>
            <w:t>2</w:t>
          </w:r>
          <w:r w:rsidR="00B00979" w:rsidRPr="00AC4488">
            <w:rPr>
              <w:rStyle w:val="PageNumber"/>
            </w:rPr>
            <w:fldChar w:fldCharType="end"/>
          </w:r>
        </w:p>
      </w:tc>
    </w:tr>
  </w:tbl>
  <w:p w14:paraId="042F9CAB" w14:textId="77777777" w:rsidR="00B00979" w:rsidRPr="00B11C67" w:rsidRDefault="00B00979"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771F" w14:textId="24DBC4F7" w:rsidR="00B00979" w:rsidRPr="00DD607E" w:rsidRDefault="00B00979" w:rsidP="0071700C">
    <w:pPr>
      <w:spacing w:after="0"/>
      <w:rPr>
        <w:sz w:val="4"/>
        <w:szCs w:val="4"/>
      </w:rPr>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B00979" w:rsidRPr="00132658" w14:paraId="06641354" w14:textId="77777777" w:rsidTr="00DD607E">
      <w:trPr>
        <w:cantSplit/>
        <w:trHeight w:hRule="exact" w:val="1134"/>
      </w:trPr>
      <w:tc>
        <w:tcPr>
          <w:tcW w:w="7767" w:type="dxa"/>
          <w:vAlign w:val="center"/>
        </w:tcPr>
        <w:p w14:paraId="53DBAA4A" w14:textId="7BDEE23F" w:rsidR="00B00979" w:rsidRDefault="00B00979" w:rsidP="00DD607E">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Pr>
                  <w:rStyle w:val="PageNumber"/>
                  <w:b/>
                </w:rPr>
                <w:t>Industry, Tourism and Trade</w:t>
              </w:r>
            </w:sdtContent>
          </w:sdt>
        </w:p>
        <w:p w14:paraId="2D20C468" w14:textId="4642010F" w:rsidR="00B00979" w:rsidRPr="00CE30CF" w:rsidRDefault="00000000" w:rsidP="00FB3BAB">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3-25T00:00:00Z">
                <w:dateFormat w:val="d MMMM yyyy"/>
                <w:lid w:val="en-AU"/>
                <w:storeMappedDataAs w:val="dateTime"/>
                <w:calendar w:val="gregorian"/>
              </w:date>
            </w:sdtPr>
            <w:sdtContent>
              <w:r w:rsidR="00F11F52">
                <w:rPr>
                  <w:rStyle w:val="PageNumber"/>
                </w:rPr>
                <w:t>25 March 2024</w:t>
              </w:r>
            </w:sdtContent>
          </w:sdt>
          <w:r w:rsidR="00B00979" w:rsidRPr="00CE6614">
            <w:rPr>
              <w:rStyle w:val="PageNumber"/>
            </w:rPr>
            <w:t xml:space="preserve"> </w:t>
          </w:r>
          <w:r w:rsidR="00B00979">
            <w:rPr>
              <w:rStyle w:val="PageNumber"/>
            </w:rPr>
            <w:t xml:space="preserve">| </w:t>
          </w:r>
          <w:r w:rsidR="00B00979" w:rsidRPr="00AC4488">
            <w:rPr>
              <w:rStyle w:val="PageNumber"/>
            </w:rPr>
            <w:t xml:space="preserve">Page </w:t>
          </w:r>
          <w:r w:rsidR="00B00979" w:rsidRPr="00AC4488">
            <w:rPr>
              <w:rStyle w:val="PageNumber"/>
            </w:rPr>
            <w:fldChar w:fldCharType="begin"/>
          </w:r>
          <w:r w:rsidR="00B00979" w:rsidRPr="00AC4488">
            <w:rPr>
              <w:rStyle w:val="PageNumber"/>
            </w:rPr>
            <w:instrText xml:space="preserve"> PAGE  \* Arabic  \* MERGEFORMAT </w:instrText>
          </w:r>
          <w:r w:rsidR="00B00979" w:rsidRPr="00AC4488">
            <w:rPr>
              <w:rStyle w:val="PageNumber"/>
            </w:rPr>
            <w:fldChar w:fldCharType="separate"/>
          </w:r>
          <w:r w:rsidR="008D7C14">
            <w:rPr>
              <w:rStyle w:val="PageNumber"/>
              <w:noProof/>
            </w:rPr>
            <w:t>1</w:t>
          </w:r>
          <w:r w:rsidR="00B00979" w:rsidRPr="00AC4488">
            <w:rPr>
              <w:rStyle w:val="PageNumber"/>
            </w:rPr>
            <w:fldChar w:fldCharType="end"/>
          </w:r>
          <w:r w:rsidR="00B00979" w:rsidRPr="00AC4488">
            <w:rPr>
              <w:rStyle w:val="PageNumber"/>
            </w:rPr>
            <w:t xml:space="preserve"> of </w:t>
          </w:r>
          <w:r w:rsidR="00B00979" w:rsidRPr="00AC4488">
            <w:rPr>
              <w:rStyle w:val="PageNumber"/>
            </w:rPr>
            <w:fldChar w:fldCharType="begin"/>
          </w:r>
          <w:r w:rsidR="00B00979" w:rsidRPr="00AC4488">
            <w:rPr>
              <w:rStyle w:val="PageNumber"/>
            </w:rPr>
            <w:instrText xml:space="preserve"> NUMPAGES  \* Arabic  \* MERGEFORMAT </w:instrText>
          </w:r>
          <w:r w:rsidR="00B00979" w:rsidRPr="00AC4488">
            <w:rPr>
              <w:rStyle w:val="PageNumber"/>
            </w:rPr>
            <w:fldChar w:fldCharType="separate"/>
          </w:r>
          <w:r w:rsidR="008D7C14">
            <w:rPr>
              <w:rStyle w:val="PageNumber"/>
              <w:noProof/>
            </w:rPr>
            <w:t>2</w:t>
          </w:r>
          <w:r w:rsidR="00B00979" w:rsidRPr="00AC4488">
            <w:rPr>
              <w:rStyle w:val="PageNumber"/>
            </w:rPr>
            <w:fldChar w:fldCharType="end"/>
          </w:r>
        </w:p>
      </w:tc>
      <w:tc>
        <w:tcPr>
          <w:tcW w:w="2551" w:type="dxa"/>
          <w:vAlign w:val="bottom"/>
        </w:tcPr>
        <w:p w14:paraId="5D1B965B" w14:textId="1E1FEF1B" w:rsidR="00B00979" w:rsidRPr="001E14EB" w:rsidRDefault="00356810" w:rsidP="0071700C">
          <w:pPr>
            <w:spacing w:after="0"/>
            <w:jc w:val="right"/>
          </w:pPr>
          <w:r>
            <w:rPr>
              <w:noProof/>
              <w:lang w:eastAsia="en-AU"/>
            </w:rPr>
            <w:drawing>
              <wp:anchor distT="0" distB="0" distL="114300" distR="114300" simplePos="0" relativeHeight="251658240" behindDoc="0" locked="0" layoutInCell="1" allowOverlap="1" wp14:anchorId="78D51D7A" wp14:editId="58AE2C66">
                <wp:simplePos x="0" y="0"/>
                <wp:positionH relativeFrom="column">
                  <wp:posOffset>2540</wp:posOffset>
                </wp:positionH>
                <wp:positionV relativeFrom="paragraph">
                  <wp:posOffset>-518160</wp:posOffset>
                </wp:positionV>
                <wp:extent cx="1572260" cy="561340"/>
                <wp:effectExtent l="0" t="0" r="8890" b="0"/>
                <wp:wrapNone/>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26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0979" w:rsidRPr="00785C24">
            <w:rPr>
              <w:rStyle w:val="PageNumber"/>
              <w:noProof/>
              <w:lang w:eastAsia="en-AU"/>
            </w:rPr>
            <w:t xml:space="preserve"> </w:t>
          </w:r>
        </w:p>
      </w:tc>
    </w:tr>
  </w:tbl>
  <w:p w14:paraId="48463111" w14:textId="77777777" w:rsidR="00B00979" w:rsidRPr="00661BE1" w:rsidRDefault="00B00979"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6C27D" w14:textId="77777777" w:rsidR="008E4007" w:rsidRDefault="008E4007" w:rsidP="007332FF">
      <w:r>
        <w:separator/>
      </w:r>
    </w:p>
  </w:footnote>
  <w:footnote w:type="continuationSeparator" w:id="0">
    <w:p w14:paraId="1975D186" w14:textId="77777777" w:rsidR="008E4007" w:rsidRDefault="008E400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7D10" w14:textId="0A5AFA6E" w:rsidR="00B00979"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750ACB">
          <w:t>State of the Economy – December Q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spacing w:val="-10"/>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B59E8FA" w14:textId="6FA6E020" w:rsidR="00B00979" w:rsidRDefault="00B00979" w:rsidP="0008691E">
        <w:pPr>
          <w:pStyle w:val="Title"/>
          <w:spacing w:after="120"/>
        </w:pPr>
        <w:r w:rsidRPr="00F96702">
          <w:rPr>
            <w:rStyle w:val="TitleChar"/>
            <w:spacing w:val="-10"/>
            <w:sz w:val="56"/>
            <w:szCs w:val="56"/>
          </w:rPr>
          <w:t xml:space="preserve">State of the Economy – </w:t>
        </w:r>
        <w:r w:rsidR="00750ACB">
          <w:rPr>
            <w:rStyle w:val="TitleChar"/>
            <w:spacing w:val="-10"/>
            <w:sz w:val="56"/>
            <w:szCs w:val="56"/>
          </w:rPr>
          <w:t>December</w:t>
        </w:r>
        <w:r w:rsidRPr="00F96702">
          <w:rPr>
            <w:rStyle w:val="TitleChar"/>
            <w:spacing w:val="-10"/>
            <w:sz w:val="56"/>
            <w:szCs w:val="56"/>
          </w:rPr>
          <w:t xml:space="preserve"> Q 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4"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6"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7" w15:restartNumberingAfterBreak="0">
    <w:nsid w:val="3BE61945"/>
    <w:multiLevelType w:val="multilevel"/>
    <w:tmpl w:val="3928FD02"/>
    <w:name w:val="NTG Table Bullet List332222222222222222"/>
    <w:numStyleLink w:val="Bullet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6"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E21323"/>
    <w:multiLevelType w:val="multilevel"/>
    <w:tmpl w:val="4E6AC8F6"/>
    <w:numStyleLink w:val="Numberlist"/>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9"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1"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3"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9262556"/>
    <w:multiLevelType w:val="multilevel"/>
    <w:tmpl w:val="3E5E177A"/>
    <w:name w:val="NTG Table Bullet List3322222222222222"/>
    <w:numStyleLink w:val="Tablenumberlist"/>
  </w:abstractNum>
  <w:abstractNum w:abstractNumId="65"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453664D"/>
    <w:multiLevelType w:val="multilevel"/>
    <w:tmpl w:val="0C78A7AC"/>
    <w:name w:val="NTG Table Bullet List3322222222222222222"/>
    <w:numStyleLink w:val="Tablebulletlist"/>
  </w:abstractNum>
  <w:abstractNum w:abstractNumId="68" w15:restartNumberingAfterBreak="0">
    <w:nsid w:val="76141D1E"/>
    <w:multiLevelType w:val="multilevel"/>
    <w:tmpl w:val="0C78A7AC"/>
    <w:name w:val="NTG Table Bullet List332222222222"/>
    <w:numStyleLink w:val="Tablebulletlist"/>
  </w:abstractNum>
  <w:abstractNum w:abstractNumId="69" w15:restartNumberingAfterBreak="0">
    <w:nsid w:val="765A32D4"/>
    <w:multiLevelType w:val="multilevel"/>
    <w:tmpl w:val="4E6AC8F6"/>
    <w:numStyleLink w:val="Numberlist"/>
  </w:abstractNum>
  <w:abstractNum w:abstractNumId="70"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317681984">
    <w:abstractNumId w:val="33"/>
  </w:num>
  <w:num w:numId="2" w16cid:durableId="244265913">
    <w:abstractNumId w:val="21"/>
  </w:num>
  <w:num w:numId="3" w16cid:durableId="20590599">
    <w:abstractNumId w:val="71"/>
  </w:num>
  <w:num w:numId="4" w16cid:durableId="1706363653">
    <w:abstractNumId w:val="43"/>
  </w:num>
  <w:num w:numId="5" w16cid:durableId="860125119">
    <w:abstractNumId w:val="27"/>
  </w:num>
  <w:num w:numId="6" w16cid:durableId="1931890325">
    <w:abstractNumId w:val="15"/>
  </w:num>
  <w:num w:numId="7" w16cid:durableId="1050804683">
    <w:abstractNumId w:val="48"/>
  </w:num>
  <w:num w:numId="8" w16cid:durableId="2094158263">
    <w:abstractNumId w:val="24"/>
  </w:num>
  <w:num w:numId="9" w16cid:durableId="677580895">
    <w:abstractNumId w:val="55"/>
  </w:num>
  <w:num w:numId="10" w16cid:durableId="1900510314">
    <w:abstractNumId w:val="20"/>
  </w:num>
  <w:num w:numId="11" w16cid:durableId="1133526265">
    <w:abstractNumId w:val="61"/>
  </w:num>
  <w:num w:numId="12" w16cid:durableId="709261178">
    <w:abstractNumId w:val="17"/>
  </w:num>
  <w:num w:numId="13" w16cid:durableId="1253971255">
    <w:abstractNumId w:val="1"/>
  </w:num>
  <w:num w:numId="14" w16cid:durableId="947270440">
    <w:abstractNumId w:val="59"/>
  </w:num>
  <w:num w:numId="15" w16cid:durableId="374741575">
    <w:abstractNumId w:val="26"/>
  </w:num>
  <w:num w:numId="16" w16cid:durableId="2046517836">
    <w:abstractNumId w:val="60"/>
  </w:num>
  <w:num w:numId="17" w16cid:durableId="620382863">
    <w:abstractNumId w:val="69"/>
  </w:num>
  <w:num w:numId="18" w16cid:durableId="955021913">
    <w:abstractNumId w:val="54"/>
  </w:num>
  <w:num w:numId="19" w16cid:durableId="699160532">
    <w:abstractNumId w:val="46"/>
  </w:num>
  <w:num w:numId="20" w16cid:durableId="456529218">
    <w:abstractNumId w:val="50"/>
  </w:num>
  <w:num w:numId="21" w16cid:durableId="1659193139">
    <w:abstractNumId w:val="38"/>
  </w:num>
  <w:num w:numId="22" w16cid:durableId="424768744">
    <w:abstractNumId w:val="53"/>
  </w:num>
  <w:num w:numId="23" w16cid:durableId="1734498302">
    <w:abstractNumId w:val="45"/>
  </w:num>
  <w:num w:numId="24" w16cid:durableId="1021932638">
    <w:abstractNumId w:val="40"/>
  </w:num>
  <w:num w:numId="25" w16cid:durableId="1910459148">
    <w:abstractNumId w:val="36"/>
  </w:num>
  <w:num w:numId="26" w16cid:durableId="376130805">
    <w:abstractNumId w:val="10"/>
  </w:num>
  <w:num w:numId="27" w16cid:durableId="1209494458">
    <w:abstractNumId w:val="70"/>
  </w:num>
  <w:num w:numId="28" w16cid:durableId="632368026">
    <w:abstractNumId w:val="35"/>
  </w:num>
  <w:num w:numId="29" w16cid:durableId="2136945202">
    <w:abstractNumId w:val="28"/>
  </w:num>
  <w:num w:numId="30" w16cid:durableId="1521118772">
    <w:abstractNumId w:val="0"/>
  </w:num>
  <w:num w:numId="31" w16cid:durableId="1817451526">
    <w:abstractNumId w:val="39"/>
  </w:num>
  <w:num w:numId="32" w16cid:durableId="402728388">
    <w:abstractNumId w:val="9"/>
  </w:num>
  <w:num w:numId="33" w16cid:durableId="967197974">
    <w:abstractNumId w:val="62"/>
  </w:num>
  <w:num w:numId="34" w16cid:durableId="288820616">
    <w:abstractNumId w:val="31"/>
  </w:num>
  <w:num w:numId="35" w16cid:durableId="1080904795">
    <w:abstractNumId w:val="47"/>
  </w:num>
  <w:num w:numId="36" w16cid:durableId="1312297065">
    <w:abstractNumId w:val="63"/>
  </w:num>
  <w:num w:numId="37" w16cid:durableId="1061056112">
    <w:abstractNumId w:val="65"/>
  </w:num>
  <w:num w:numId="38" w16cid:durableId="2095592956">
    <w:abstractNumId w:val="14"/>
  </w:num>
  <w:num w:numId="39" w16cid:durableId="1714500250">
    <w:abstractNumId w:val="25"/>
  </w:num>
  <w:num w:numId="40" w16cid:durableId="1463500496">
    <w:abstractNumId w:val="66"/>
  </w:num>
  <w:num w:numId="41" w16cid:durableId="1913197911">
    <w:abstractNumId w:val="2"/>
  </w:num>
  <w:num w:numId="42" w16cid:durableId="1664090468">
    <w:abstractNumId w:val="58"/>
  </w:num>
  <w:num w:numId="43" w16cid:durableId="1082096701">
    <w:abstractNumId w:val="11"/>
  </w:num>
  <w:num w:numId="44" w16cid:durableId="513569107">
    <w:abstractNumId w:val="34"/>
  </w:num>
  <w:num w:numId="45" w16cid:durableId="158929600">
    <w:abstractNumId w:val="41"/>
  </w:num>
  <w:num w:numId="46" w16cid:durableId="5063608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983234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9C"/>
    <w:rsid w:val="00000AF0"/>
    <w:rsid w:val="00000AFA"/>
    <w:rsid w:val="00001C92"/>
    <w:rsid w:val="00001D51"/>
    <w:rsid w:val="00001DDF"/>
    <w:rsid w:val="000021F7"/>
    <w:rsid w:val="0000322D"/>
    <w:rsid w:val="000037A6"/>
    <w:rsid w:val="00004F8E"/>
    <w:rsid w:val="00005EE4"/>
    <w:rsid w:val="00007670"/>
    <w:rsid w:val="000077FE"/>
    <w:rsid w:val="00010665"/>
    <w:rsid w:val="000106AC"/>
    <w:rsid w:val="00011E6B"/>
    <w:rsid w:val="0001581A"/>
    <w:rsid w:val="00017A14"/>
    <w:rsid w:val="00017F79"/>
    <w:rsid w:val="000204DB"/>
    <w:rsid w:val="0002393A"/>
    <w:rsid w:val="0002438A"/>
    <w:rsid w:val="000246C7"/>
    <w:rsid w:val="000252E2"/>
    <w:rsid w:val="000258F8"/>
    <w:rsid w:val="0002779D"/>
    <w:rsid w:val="000278C6"/>
    <w:rsid w:val="00027DB8"/>
    <w:rsid w:val="00031A96"/>
    <w:rsid w:val="00032AFD"/>
    <w:rsid w:val="00032B0B"/>
    <w:rsid w:val="0003465A"/>
    <w:rsid w:val="00034E2A"/>
    <w:rsid w:val="0003699C"/>
    <w:rsid w:val="0003746F"/>
    <w:rsid w:val="00040BF3"/>
    <w:rsid w:val="00040D2C"/>
    <w:rsid w:val="0004211C"/>
    <w:rsid w:val="00042768"/>
    <w:rsid w:val="00042E05"/>
    <w:rsid w:val="0004508D"/>
    <w:rsid w:val="00046C59"/>
    <w:rsid w:val="000477A2"/>
    <w:rsid w:val="00050164"/>
    <w:rsid w:val="00050262"/>
    <w:rsid w:val="00051362"/>
    <w:rsid w:val="00051BFD"/>
    <w:rsid w:val="00051F45"/>
    <w:rsid w:val="00052953"/>
    <w:rsid w:val="00053312"/>
    <w:rsid w:val="00053336"/>
    <w:rsid w:val="0005341A"/>
    <w:rsid w:val="0005591A"/>
    <w:rsid w:val="00055CBC"/>
    <w:rsid w:val="00056DEF"/>
    <w:rsid w:val="00056EDC"/>
    <w:rsid w:val="000576D2"/>
    <w:rsid w:val="00060C85"/>
    <w:rsid w:val="0006258E"/>
    <w:rsid w:val="00062862"/>
    <w:rsid w:val="000641B1"/>
    <w:rsid w:val="00065D13"/>
    <w:rsid w:val="0006635A"/>
    <w:rsid w:val="000669A1"/>
    <w:rsid w:val="00066B95"/>
    <w:rsid w:val="00067C3D"/>
    <w:rsid w:val="000720BE"/>
    <w:rsid w:val="0007259C"/>
    <w:rsid w:val="000727F2"/>
    <w:rsid w:val="00073494"/>
    <w:rsid w:val="0007388D"/>
    <w:rsid w:val="00073DF0"/>
    <w:rsid w:val="00075BE8"/>
    <w:rsid w:val="00076009"/>
    <w:rsid w:val="0007619B"/>
    <w:rsid w:val="00076273"/>
    <w:rsid w:val="00076469"/>
    <w:rsid w:val="0007719F"/>
    <w:rsid w:val="000775CB"/>
    <w:rsid w:val="000801B3"/>
    <w:rsid w:val="00080202"/>
    <w:rsid w:val="000809D1"/>
    <w:rsid w:val="00080DCD"/>
    <w:rsid w:val="00080E22"/>
    <w:rsid w:val="00081247"/>
    <w:rsid w:val="00082573"/>
    <w:rsid w:val="000840A3"/>
    <w:rsid w:val="00085062"/>
    <w:rsid w:val="00085B4D"/>
    <w:rsid w:val="0008691E"/>
    <w:rsid w:val="00086A5F"/>
    <w:rsid w:val="0008798A"/>
    <w:rsid w:val="00090115"/>
    <w:rsid w:val="000910EA"/>
    <w:rsid w:val="000911EF"/>
    <w:rsid w:val="0009430C"/>
    <w:rsid w:val="00094A8D"/>
    <w:rsid w:val="000953E0"/>
    <w:rsid w:val="000962C5"/>
    <w:rsid w:val="0009738D"/>
    <w:rsid w:val="00097865"/>
    <w:rsid w:val="000A1234"/>
    <w:rsid w:val="000A24B2"/>
    <w:rsid w:val="000A4317"/>
    <w:rsid w:val="000A439F"/>
    <w:rsid w:val="000A4767"/>
    <w:rsid w:val="000A559C"/>
    <w:rsid w:val="000A57C7"/>
    <w:rsid w:val="000A6DA4"/>
    <w:rsid w:val="000A6EF8"/>
    <w:rsid w:val="000A6FAA"/>
    <w:rsid w:val="000A7CB6"/>
    <w:rsid w:val="000B0B71"/>
    <w:rsid w:val="000B0C9D"/>
    <w:rsid w:val="000B2CA1"/>
    <w:rsid w:val="000B2FCC"/>
    <w:rsid w:val="000B464D"/>
    <w:rsid w:val="000B7AE2"/>
    <w:rsid w:val="000B7B69"/>
    <w:rsid w:val="000C1538"/>
    <w:rsid w:val="000C1A5B"/>
    <w:rsid w:val="000C2812"/>
    <w:rsid w:val="000C2D0A"/>
    <w:rsid w:val="000C344D"/>
    <w:rsid w:val="000D04AF"/>
    <w:rsid w:val="000D0C98"/>
    <w:rsid w:val="000D1F29"/>
    <w:rsid w:val="000D43EA"/>
    <w:rsid w:val="000D4503"/>
    <w:rsid w:val="000D4C48"/>
    <w:rsid w:val="000D5B97"/>
    <w:rsid w:val="000D633D"/>
    <w:rsid w:val="000D63B5"/>
    <w:rsid w:val="000E2753"/>
    <w:rsid w:val="000E33C4"/>
    <w:rsid w:val="000E342B"/>
    <w:rsid w:val="000E3847"/>
    <w:rsid w:val="000E3ED2"/>
    <w:rsid w:val="000E49D5"/>
    <w:rsid w:val="000E4F4B"/>
    <w:rsid w:val="000E599A"/>
    <w:rsid w:val="000E5DD2"/>
    <w:rsid w:val="000E60AF"/>
    <w:rsid w:val="000E73F9"/>
    <w:rsid w:val="000F00A7"/>
    <w:rsid w:val="000F0287"/>
    <w:rsid w:val="000F2958"/>
    <w:rsid w:val="000F3850"/>
    <w:rsid w:val="000F41BE"/>
    <w:rsid w:val="000F4762"/>
    <w:rsid w:val="000F4F08"/>
    <w:rsid w:val="000F604F"/>
    <w:rsid w:val="000F62A7"/>
    <w:rsid w:val="000F6F78"/>
    <w:rsid w:val="000F7863"/>
    <w:rsid w:val="0010052D"/>
    <w:rsid w:val="00101BA0"/>
    <w:rsid w:val="0010243F"/>
    <w:rsid w:val="00102EC4"/>
    <w:rsid w:val="001034F8"/>
    <w:rsid w:val="00104E7F"/>
    <w:rsid w:val="001070D5"/>
    <w:rsid w:val="001073E0"/>
    <w:rsid w:val="00111FD1"/>
    <w:rsid w:val="001124F2"/>
    <w:rsid w:val="001137EC"/>
    <w:rsid w:val="001152F5"/>
    <w:rsid w:val="001161FF"/>
    <w:rsid w:val="0011630E"/>
    <w:rsid w:val="00117322"/>
    <w:rsid w:val="00117743"/>
    <w:rsid w:val="00117F5B"/>
    <w:rsid w:val="0012023D"/>
    <w:rsid w:val="0012025E"/>
    <w:rsid w:val="00120E95"/>
    <w:rsid w:val="00121EF2"/>
    <w:rsid w:val="0012314C"/>
    <w:rsid w:val="00123BE1"/>
    <w:rsid w:val="00124846"/>
    <w:rsid w:val="00126613"/>
    <w:rsid w:val="00126AD3"/>
    <w:rsid w:val="00127262"/>
    <w:rsid w:val="00127EDC"/>
    <w:rsid w:val="001319FB"/>
    <w:rsid w:val="00132658"/>
    <w:rsid w:val="001330EE"/>
    <w:rsid w:val="001337CA"/>
    <w:rsid w:val="001356E5"/>
    <w:rsid w:val="001367C4"/>
    <w:rsid w:val="00140DFA"/>
    <w:rsid w:val="00141ABA"/>
    <w:rsid w:val="00141DA4"/>
    <w:rsid w:val="00143DC6"/>
    <w:rsid w:val="0014473F"/>
    <w:rsid w:val="00144FB9"/>
    <w:rsid w:val="00145247"/>
    <w:rsid w:val="001453CC"/>
    <w:rsid w:val="00145AB1"/>
    <w:rsid w:val="00146F12"/>
    <w:rsid w:val="00150307"/>
    <w:rsid w:val="00150DC0"/>
    <w:rsid w:val="0015394D"/>
    <w:rsid w:val="00155FB0"/>
    <w:rsid w:val="00156BE0"/>
    <w:rsid w:val="00156CD4"/>
    <w:rsid w:val="00157B87"/>
    <w:rsid w:val="0016153B"/>
    <w:rsid w:val="00162207"/>
    <w:rsid w:val="00164A3E"/>
    <w:rsid w:val="00164AB3"/>
    <w:rsid w:val="00165169"/>
    <w:rsid w:val="001659F6"/>
    <w:rsid w:val="00166FF6"/>
    <w:rsid w:val="00170846"/>
    <w:rsid w:val="00170A6F"/>
    <w:rsid w:val="001713EA"/>
    <w:rsid w:val="001717BC"/>
    <w:rsid w:val="00173D4E"/>
    <w:rsid w:val="00176123"/>
    <w:rsid w:val="00180338"/>
    <w:rsid w:val="00181620"/>
    <w:rsid w:val="001823F3"/>
    <w:rsid w:val="00182F97"/>
    <w:rsid w:val="001840E1"/>
    <w:rsid w:val="00184C51"/>
    <w:rsid w:val="00186D0A"/>
    <w:rsid w:val="00186E76"/>
    <w:rsid w:val="00187130"/>
    <w:rsid w:val="00187637"/>
    <w:rsid w:val="00190682"/>
    <w:rsid w:val="001944A5"/>
    <w:rsid w:val="00194639"/>
    <w:rsid w:val="00194B21"/>
    <w:rsid w:val="001957AD"/>
    <w:rsid w:val="00195B89"/>
    <w:rsid w:val="00195B9C"/>
    <w:rsid w:val="00196053"/>
    <w:rsid w:val="00196F8E"/>
    <w:rsid w:val="00197221"/>
    <w:rsid w:val="001A2B7F"/>
    <w:rsid w:val="001A3807"/>
    <w:rsid w:val="001A3AFD"/>
    <w:rsid w:val="001A496C"/>
    <w:rsid w:val="001A576A"/>
    <w:rsid w:val="001A5CF0"/>
    <w:rsid w:val="001A7144"/>
    <w:rsid w:val="001B1434"/>
    <w:rsid w:val="001B2252"/>
    <w:rsid w:val="001B25F5"/>
    <w:rsid w:val="001B28DA"/>
    <w:rsid w:val="001B2B6C"/>
    <w:rsid w:val="001B4A00"/>
    <w:rsid w:val="001B4B9F"/>
    <w:rsid w:val="001B6ACF"/>
    <w:rsid w:val="001C0CA4"/>
    <w:rsid w:val="001C31C6"/>
    <w:rsid w:val="001C3AD0"/>
    <w:rsid w:val="001C416F"/>
    <w:rsid w:val="001C52FA"/>
    <w:rsid w:val="001C5C22"/>
    <w:rsid w:val="001C62BD"/>
    <w:rsid w:val="001C7D27"/>
    <w:rsid w:val="001D01C4"/>
    <w:rsid w:val="001D13F9"/>
    <w:rsid w:val="001D2FF7"/>
    <w:rsid w:val="001D4F99"/>
    <w:rsid w:val="001D52B0"/>
    <w:rsid w:val="001D582E"/>
    <w:rsid w:val="001D5A18"/>
    <w:rsid w:val="001D5FAC"/>
    <w:rsid w:val="001D7BC6"/>
    <w:rsid w:val="001D7CA4"/>
    <w:rsid w:val="001E0579"/>
    <w:rsid w:val="001E057F"/>
    <w:rsid w:val="001E137A"/>
    <w:rsid w:val="001E14B0"/>
    <w:rsid w:val="001E14EB"/>
    <w:rsid w:val="001E2192"/>
    <w:rsid w:val="001E48F1"/>
    <w:rsid w:val="001E6588"/>
    <w:rsid w:val="001E6821"/>
    <w:rsid w:val="001E6BA6"/>
    <w:rsid w:val="001F0CA2"/>
    <w:rsid w:val="001F1600"/>
    <w:rsid w:val="001F2C24"/>
    <w:rsid w:val="001F4793"/>
    <w:rsid w:val="001F59E6"/>
    <w:rsid w:val="001F5EDA"/>
    <w:rsid w:val="001F6A55"/>
    <w:rsid w:val="001F74D7"/>
    <w:rsid w:val="00200964"/>
    <w:rsid w:val="00200EFE"/>
    <w:rsid w:val="00201A37"/>
    <w:rsid w:val="00203F1C"/>
    <w:rsid w:val="0020517E"/>
    <w:rsid w:val="002054D0"/>
    <w:rsid w:val="00205C44"/>
    <w:rsid w:val="00206936"/>
    <w:rsid w:val="00206C6F"/>
    <w:rsid w:val="00206FBD"/>
    <w:rsid w:val="00207360"/>
    <w:rsid w:val="00207524"/>
    <w:rsid w:val="00207746"/>
    <w:rsid w:val="002078B8"/>
    <w:rsid w:val="002102E5"/>
    <w:rsid w:val="00210C9C"/>
    <w:rsid w:val="00212414"/>
    <w:rsid w:val="0021462C"/>
    <w:rsid w:val="00215B99"/>
    <w:rsid w:val="00220CAC"/>
    <w:rsid w:val="00222195"/>
    <w:rsid w:val="00223374"/>
    <w:rsid w:val="002237F0"/>
    <w:rsid w:val="0022537F"/>
    <w:rsid w:val="00226C17"/>
    <w:rsid w:val="00226E0B"/>
    <w:rsid w:val="00230031"/>
    <w:rsid w:val="00232FE7"/>
    <w:rsid w:val="00235C01"/>
    <w:rsid w:val="00237B6A"/>
    <w:rsid w:val="00237C9A"/>
    <w:rsid w:val="00240BD3"/>
    <w:rsid w:val="00244EEA"/>
    <w:rsid w:val="002456A4"/>
    <w:rsid w:val="00247343"/>
    <w:rsid w:val="00254D84"/>
    <w:rsid w:val="00255007"/>
    <w:rsid w:val="00256555"/>
    <w:rsid w:val="00257981"/>
    <w:rsid w:val="00260660"/>
    <w:rsid w:val="0026162A"/>
    <w:rsid w:val="00262669"/>
    <w:rsid w:val="002644AF"/>
    <w:rsid w:val="00265C56"/>
    <w:rsid w:val="00265E14"/>
    <w:rsid w:val="00267034"/>
    <w:rsid w:val="0027159D"/>
    <w:rsid w:val="002716CD"/>
    <w:rsid w:val="00271B9A"/>
    <w:rsid w:val="0027337A"/>
    <w:rsid w:val="00274D4B"/>
    <w:rsid w:val="00275972"/>
    <w:rsid w:val="002762DE"/>
    <w:rsid w:val="00276E71"/>
    <w:rsid w:val="002806F5"/>
    <w:rsid w:val="00280B70"/>
    <w:rsid w:val="00281577"/>
    <w:rsid w:val="00284024"/>
    <w:rsid w:val="00286B5E"/>
    <w:rsid w:val="00287D73"/>
    <w:rsid w:val="00290388"/>
    <w:rsid w:val="002903CF"/>
    <w:rsid w:val="00291005"/>
    <w:rsid w:val="002926BC"/>
    <w:rsid w:val="00292870"/>
    <w:rsid w:val="00292F85"/>
    <w:rsid w:val="00293A72"/>
    <w:rsid w:val="00293F79"/>
    <w:rsid w:val="00294002"/>
    <w:rsid w:val="0029403A"/>
    <w:rsid w:val="0029562C"/>
    <w:rsid w:val="00296D8F"/>
    <w:rsid w:val="002A0160"/>
    <w:rsid w:val="002A0924"/>
    <w:rsid w:val="002A2363"/>
    <w:rsid w:val="002A30C3"/>
    <w:rsid w:val="002A4183"/>
    <w:rsid w:val="002A553D"/>
    <w:rsid w:val="002A6F6A"/>
    <w:rsid w:val="002A7712"/>
    <w:rsid w:val="002B0BD5"/>
    <w:rsid w:val="002B38F7"/>
    <w:rsid w:val="002B4F50"/>
    <w:rsid w:val="002B4F88"/>
    <w:rsid w:val="002B5591"/>
    <w:rsid w:val="002B6454"/>
    <w:rsid w:val="002B6AA4"/>
    <w:rsid w:val="002B72DF"/>
    <w:rsid w:val="002C0154"/>
    <w:rsid w:val="002C0EA2"/>
    <w:rsid w:val="002C1FE9"/>
    <w:rsid w:val="002C2641"/>
    <w:rsid w:val="002C5A67"/>
    <w:rsid w:val="002C5B87"/>
    <w:rsid w:val="002C64A8"/>
    <w:rsid w:val="002D0EC2"/>
    <w:rsid w:val="002D14CA"/>
    <w:rsid w:val="002D281B"/>
    <w:rsid w:val="002D307F"/>
    <w:rsid w:val="002D3A57"/>
    <w:rsid w:val="002D3EF8"/>
    <w:rsid w:val="002D568F"/>
    <w:rsid w:val="002D6295"/>
    <w:rsid w:val="002D6524"/>
    <w:rsid w:val="002D6B5C"/>
    <w:rsid w:val="002D7D05"/>
    <w:rsid w:val="002E1677"/>
    <w:rsid w:val="002E20C8"/>
    <w:rsid w:val="002E4290"/>
    <w:rsid w:val="002E66A6"/>
    <w:rsid w:val="002E71F0"/>
    <w:rsid w:val="002E76A0"/>
    <w:rsid w:val="002F0DB1"/>
    <w:rsid w:val="002F1287"/>
    <w:rsid w:val="002F1C38"/>
    <w:rsid w:val="002F27D6"/>
    <w:rsid w:val="002F2885"/>
    <w:rsid w:val="002F2AD8"/>
    <w:rsid w:val="002F2F39"/>
    <w:rsid w:val="002F3D8B"/>
    <w:rsid w:val="002F4186"/>
    <w:rsid w:val="002F45A1"/>
    <w:rsid w:val="002F4E74"/>
    <w:rsid w:val="002F5C9A"/>
    <w:rsid w:val="002F648D"/>
    <w:rsid w:val="002F70A5"/>
    <w:rsid w:val="0030203D"/>
    <w:rsid w:val="00302889"/>
    <w:rsid w:val="00302AB6"/>
    <w:rsid w:val="003037F9"/>
    <w:rsid w:val="0030384C"/>
    <w:rsid w:val="00303C5B"/>
    <w:rsid w:val="00304F41"/>
    <w:rsid w:val="0030583E"/>
    <w:rsid w:val="00307FE1"/>
    <w:rsid w:val="0031155D"/>
    <w:rsid w:val="0031380C"/>
    <w:rsid w:val="00313B64"/>
    <w:rsid w:val="00314CBE"/>
    <w:rsid w:val="003164BA"/>
    <w:rsid w:val="00316822"/>
    <w:rsid w:val="0032227A"/>
    <w:rsid w:val="003258E6"/>
    <w:rsid w:val="00330977"/>
    <w:rsid w:val="00331475"/>
    <w:rsid w:val="003318EB"/>
    <w:rsid w:val="00332E54"/>
    <w:rsid w:val="00333A7E"/>
    <w:rsid w:val="003351E1"/>
    <w:rsid w:val="0033684F"/>
    <w:rsid w:val="0033687A"/>
    <w:rsid w:val="00337853"/>
    <w:rsid w:val="00341095"/>
    <w:rsid w:val="00342283"/>
    <w:rsid w:val="00343100"/>
    <w:rsid w:val="00343505"/>
    <w:rsid w:val="00343A87"/>
    <w:rsid w:val="0034488B"/>
    <w:rsid w:val="00344A36"/>
    <w:rsid w:val="003450F2"/>
    <w:rsid w:val="003456F4"/>
    <w:rsid w:val="003461DE"/>
    <w:rsid w:val="003479FA"/>
    <w:rsid w:val="00347E44"/>
    <w:rsid w:val="00347ECC"/>
    <w:rsid w:val="00347FB6"/>
    <w:rsid w:val="0035004A"/>
    <w:rsid w:val="003504FD"/>
    <w:rsid w:val="00350881"/>
    <w:rsid w:val="00350C94"/>
    <w:rsid w:val="003523CB"/>
    <w:rsid w:val="00354B8C"/>
    <w:rsid w:val="00356810"/>
    <w:rsid w:val="003568EE"/>
    <w:rsid w:val="00357D55"/>
    <w:rsid w:val="003603A8"/>
    <w:rsid w:val="0036197F"/>
    <w:rsid w:val="00361BB3"/>
    <w:rsid w:val="00361F15"/>
    <w:rsid w:val="00363513"/>
    <w:rsid w:val="00364509"/>
    <w:rsid w:val="0036485A"/>
    <w:rsid w:val="0036563F"/>
    <w:rsid w:val="003657E5"/>
    <w:rsid w:val="0036589C"/>
    <w:rsid w:val="00365C48"/>
    <w:rsid w:val="00366EC1"/>
    <w:rsid w:val="003670BB"/>
    <w:rsid w:val="00367196"/>
    <w:rsid w:val="003678F4"/>
    <w:rsid w:val="00370543"/>
    <w:rsid w:val="00371312"/>
    <w:rsid w:val="00371DC7"/>
    <w:rsid w:val="00371E07"/>
    <w:rsid w:val="00372E5C"/>
    <w:rsid w:val="003763FC"/>
    <w:rsid w:val="00377B21"/>
    <w:rsid w:val="00380686"/>
    <w:rsid w:val="00381183"/>
    <w:rsid w:val="00381429"/>
    <w:rsid w:val="00382689"/>
    <w:rsid w:val="00382A7F"/>
    <w:rsid w:val="00382AEE"/>
    <w:rsid w:val="00383349"/>
    <w:rsid w:val="003849BD"/>
    <w:rsid w:val="00384C20"/>
    <w:rsid w:val="0038616F"/>
    <w:rsid w:val="00386364"/>
    <w:rsid w:val="003878F0"/>
    <w:rsid w:val="00390862"/>
    <w:rsid w:val="0039092C"/>
    <w:rsid w:val="00390CE3"/>
    <w:rsid w:val="00392EA0"/>
    <w:rsid w:val="00392F44"/>
    <w:rsid w:val="00394876"/>
    <w:rsid w:val="00394AAF"/>
    <w:rsid w:val="00394CE5"/>
    <w:rsid w:val="003954DD"/>
    <w:rsid w:val="003969FC"/>
    <w:rsid w:val="00397C41"/>
    <w:rsid w:val="003A049C"/>
    <w:rsid w:val="003A1EAA"/>
    <w:rsid w:val="003A2160"/>
    <w:rsid w:val="003A52A2"/>
    <w:rsid w:val="003A5A25"/>
    <w:rsid w:val="003A6341"/>
    <w:rsid w:val="003A707E"/>
    <w:rsid w:val="003B0FF0"/>
    <w:rsid w:val="003B15E0"/>
    <w:rsid w:val="003B2912"/>
    <w:rsid w:val="003B62AD"/>
    <w:rsid w:val="003B67FD"/>
    <w:rsid w:val="003B6A61"/>
    <w:rsid w:val="003B7CF3"/>
    <w:rsid w:val="003C0A72"/>
    <w:rsid w:val="003C1967"/>
    <w:rsid w:val="003C2198"/>
    <w:rsid w:val="003C2F6D"/>
    <w:rsid w:val="003C4941"/>
    <w:rsid w:val="003C4DAA"/>
    <w:rsid w:val="003C51F3"/>
    <w:rsid w:val="003D0C20"/>
    <w:rsid w:val="003D0F63"/>
    <w:rsid w:val="003D10AB"/>
    <w:rsid w:val="003D3136"/>
    <w:rsid w:val="003D4080"/>
    <w:rsid w:val="003D42C0"/>
    <w:rsid w:val="003D4A8F"/>
    <w:rsid w:val="003D5B29"/>
    <w:rsid w:val="003D7818"/>
    <w:rsid w:val="003E11C6"/>
    <w:rsid w:val="003E222F"/>
    <w:rsid w:val="003E2445"/>
    <w:rsid w:val="003E28BE"/>
    <w:rsid w:val="003E377D"/>
    <w:rsid w:val="003E3BB2"/>
    <w:rsid w:val="003E5606"/>
    <w:rsid w:val="003E77E6"/>
    <w:rsid w:val="003F05E4"/>
    <w:rsid w:val="003F45CD"/>
    <w:rsid w:val="003F545A"/>
    <w:rsid w:val="003F56CB"/>
    <w:rsid w:val="003F5B58"/>
    <w:rsid w:val="00400E91"/>
    <w:rsid w:val="0040145E"/>
    <w:rsid w:val="004018E0"/>
    <w:rsid w:val="0040222A"/>
    <w:rsid w:val="00402DC2"/>
    <w:rsid w:val="00403A99"/>
    <w:rsid w:val="00403E1F"/>
    <w:rsid w:val="004047BC"/>
    <w:rsid w:val="0040494B"/>
    <w:rsid w:val="004056AA"/>
    <w:rsid w:val="004067D0"/>
    <w:rsid w:val="00407ABA"/>
    <w:rsid w:val="004100F7"/>
    <w:rsid w:val="0041099B"/>
    <w:rsid w:val="00414CB3"/>
    <w:rsid w:val="004155A2"/>
    <w:rsid w:val="0041563D"/>
    <w:rsid w:val="004168F4"/>
    <w:rsid w:val="00416D47"/>
    <w:rsid w:val="00420059"/>
    <w:rsid w:val="00420F71"/>
    <w:rsid w:val="00421F57"/>
    <w:rsid w:val="00421F7E"/>
    <w:rsid w:val="0042273D"/>
    <w:rsid w:val="00426E25"/>
    <w:rsid w:val="00427D9C"/>
    <w:rsid w:val="00427E7E"/>
    <w:rsid w:val="00430711"/>
    <w:rsid w:val="00430816"/>
    <w:rsid w:val="004314F6"/>
    <w:rsid w:val="00431562"/>
    <w:rsid w:val="00431794"/>
    <w:rsid w:val="0043278A"/>
    <w:rsid w:val="0043407E"/>
    <w:rsid w:val="00434567"/>
    <w:rsid w:val="0043465D"/>
    <w:rsid w:val="00435082"/>
    <w:rsid w:val="004351DF"/>
    <w:rsid w:val="00437DC3"/>
    <w:rsid w:val="00441BA9"/>
    <w:rsid w:val="00443B6E"/>
    <w:rsid w:val="00444DBF"/>
    <w:rsid w:val="00446444"/>
    <w:rsid w:val="00446E6F"/>
    <w:rsid w:val="00447AB3"/>
    <w:rsid w:val="00450636"/>
    <w:rsid w:val="0045147E"/>
    <w:rsid w:val="00452BFD"/>
    <w:rsid w:val="0045420A"/>
    <w:rsid w:val="00454925"/>
    <w:rsid w:val="004554D4"/>
    <w:rsid w:val="00456B4C"/>
    <w:rsid w:val="00460BDF"/>
    <w:rsid w:val="00461158"/>
    <w:rsid w:val="00461744"/>
    <w:rsid w:val="004617C9"/>
    <w:rsid w:val="00462E61"/>
    <w:rsid w:val="00464495"/>
    <w:rsid w:val="00464EFF"/>
    <w:rsid w:val="00465BE2"/>
    <w:rsid w:val="00466185"/>
    <w:rsid w:val="00466303"/>
    <w:rsid w:val="004668A7"/>
    <w:rsid w:val="00466D96"/>
    <w:rsid w:val="00467461"/>
    <w:rsid w:val="00467747"/>
    <w:rsid w:val="00470017"/>
    <w:rsid w:val="0047105A"/>
    <w:rsid w:val="004713C1"/>
    <w:rsid w:val="00471693"/>
    <w:rsid w:val="00471A41"/>
    <w:rsid w:val="00473C98"/>
    <w:rsid w:val="00474965"/>
    <w:rsid w:val="004749EB"/>
    <w:rsid w:val="00475C20"/>
    <w:rsid w:val="00475DF9"/>
    <w:rsid w:val="00476C59"/>
    <w:rsid w:val="004778F4"/>
    <w:rsid w:val="00477C5A"/>
    <w:rsid w:val="00481C23"/>
    <w:rsid w:val="00482078"/>
    <w:rsid w:val="00482D19"/>
    <w:rsid w:val="00482DF8"/>
    <w:rsid w:val="00483C3D"/>
    <w:rsid w:val="00486247"/>
    <w:rsid w:val="004864DE"/>
    <w:rsid w:val="00486739"/>
    <w:rsid w:val="0048769F"/>
    <w:rsid w:val="0049159B"/>
    <w:rsid w:val="00492543"/>
    <w:rsid w:val="00492C34"/>
    <w:rsid w:val="004931B1"/>
    <w:rsid w:val="00493695"/>
    <w:rsid w:val="004940BF"/>
    <w:rsid w:val="00494BE5"/>
    <w:rsid w:val="00497C82"/>
    <w:rsid w:val="004A0118"/>
    <w:rsid w:val="004A0EBA"/>
    <w:rsid w:val="004A19FC"/>
    <w:rsid w:val="004A2538"/>
    <w:rsid w:val="004A331E"/>
    <w:rsid w:val="004A466F"/>
    <w:rsid w:val="004A4BC9"/>
    <w:rsid w:val="004A6912"/>
    <w:rsid w:val="004A6DCD"/>
    <w:rsid w:val="004A73DA"/>
    <w:rsid w:val="004A7DDB"/>
    <w:rsid w:val="004B0C15"/>
    <w:rsid w:val="004B3221"/>
    <w:rsid w:val="004B346F"/>
    <w:rsid w:val="004B35EA"/>
    <w:rsid w:val="004B36BA"/>
    <w:rsid w:val="004B4BFA"/>
    <w:rsid w:val="004B69E4"/>
    <w:rsid w:val="004B7673"/>
    <w:rsid w:val="004B7A2D"/>
    <w:rsid w:val="004C3E52"/>
    <w:rsid w:val="004C516C"/>
    <w:rsid w:val="004C5AD8"/>
    <w:rsid w:val="004C6C39"/>
    <w:rsid w:val="004C71A6"/>
    <w:rsid w:val="004C7293"/>
    <w:rsid w:val="004D075F"/>
    <w:rsid w:val="004D0870"/>
    <w:rsid w:val="004D1B76"/>
    <w:rsid w:val="004D2E21"/>
    <w:rsid w:val="004D344E"/>
    <w:rsid w:val="004D3E5A"/>
    <w:rsid w:val="004D4430"/>
    <w:rsid w:val="004D464A"/>
    <w:rsid w:val="004D4756"/>
    <w:rsid w:val="004D5B87"/>
    <w:rsid w:val="004D6986"/>
    <w:rsid w:val="004D6BA9"/>
    <w:rsid w:val="004D7FE3"/>
    <w:rsid w:val="004E019E"/>
    <w:rsid w:val="004E06EC"/>
    <w:rsid w:val="004E0A3F"/>
    <w:rsid w:val="004E142F"/>
    <w:rsid w:val="004E1497"/>
    <w:rsid w:val="004E2CB7"/>
    <w:rsid w:val="004E2FAE"/>
    <w:rsid w:val="004E4CE6"/>
    <w:rsid w:val="004E5856"/>
    <w:rsid w:val="004E6014"/>
    <w:rsid w:val="004F016A"/>
    <w:rsid w:val="004F02D2"/>
    <w:rsid w:val="004F2EA3"/>
    <w:rsid w:val="004F564F"/>
    <w:rsid w:val="004F6EDD"/>
    <w:rsid w:val="004F7318"/>
    <w:rsid w:val="004F7865"/>
    <w:rsid w:val="004F7E54"/>
    <w:rsid w:val="005006F9"/>
    <w:rsid w:val="00500B2E"/>
    <w:rsid w:val="00500F94"/>
    <w:rsid w:val="00501666"/>
    <w:rsid w:val="00501E96"/>
    <w:rsid w:val="00502FB3"/>
    <w:rsid w:val="00503DE9"/>
    <w:rsid w:val="0050530C"/>
    <w:rsid w:val="00505344"/>
    <w:rsid w:val="00505DEA"/>
    <w:rsid w:val="00507782"/>
    <w:rsid w:val="00512A04"/>
    <w:rsid w:val="005132B0"/>
    <w:rsid w:val="00514CF2"/>
    <w:rsid w:val="00516647"/>
    <w:rsid w:val="00516F0A"/>
    <w:rsid w:val="00520499"/>
    <w:rsid w:val="005249F5"/>
    <w:rsid w:val="00525B4A"/>
    <w:rsid w:val="005260F7"/>
    <w:rsid w:val="0052769C"/>
    <w:rsid w:val="005310F5"/>
    <w:rsid w:val="0053333F"/>
    <w:rsid w:val="00533995"/>
    <w:rsid w:val="00533E49"/>
    <w:rsid w:val="005343C8"/>
    <w:rsid w:val="0053568C"/>
    <w:rsid w:val="00542A1B"/>
    <w:rsid w:val="00543625"/>
    <w:rsid w:val="005439AD"/>
    <w:rsid w:val="00543B8F"/>
    <w:rsid w:val="00543BD1"/>
    <w:rsid w:val="00544A9A"/>
    <w:rsid w:val="00544F4A"/>
    <w:rsid w:val="0054648B"/>
    <w:rsid w:val="0055010D"/>
    <w:rsid w:val="00550306"/>
    <w:rsid w:val="005509A7"/>
    <w:rsid w:val="00551BCC"/>
    <w:rsid w:val="00551DD1"/>
    <w:rsid w:val="0055202C"/>
    <w:rsid w:val="00553BF7"/>
    <w:rsid w:val="00553CE3"/>
    <w:rsid w:val="0055420C"/>
    <w:rsid w:val="0055521C"/>
    <w:rsid w:val="00556113"/>
    <w:rsid w:val="00556156"/>
    <w:rsid w:val="0055662D"/>
    <w:rsid w:val="005570D6"/>
    <w:rsid w:val="0056010A"/>
    <w:rsid w:val="00564C12"/>
    <w:rsid w:val="005654B8"/>
    <w:rsid w:val="0056590F"/>
    <w:rsid w:val="005671E0"/>
    <w:rsid w:val="00567FC4"/>
    <w:rsid w:val="005701E4"/>
    <w:rsid w:val="005707AA"/>
    <w:rsid w:val="00570D1F"/>
    <w:rsid w:val="00570D94"/>
    <w:rsid w:val="005713FE"/>
    <w:rsid w:val="00573460"/>
    <w:rsid w:val="00574A99"/>
    <w:rsid w:val="0057549D"/>
    <w:rsid w:val="005756EA"/>
    <w:rsid w:val="005757AC"/>
    <w:rsid w:val="00575CD7"/>
    <w:rsid w:val="005762CC"/>
    <w:rsid w:val="00577139"/>
    <w:rsid w:val="00577B34"/>
    <w:rsid w:val="00580EAD"/>
    <w:rsid w:val="00581F22"/>
    <w:rsid w:val="00582D3D"/>
    <w:rsid w:val="005838EC"/>
    <w:rsid w:val="0058401C"/>
    <w:rsid w:val="00584756"/>
    <w:rsid w:val="005853D5"/>
    <w:rsid w:val="005867A4"/>
    <w:rsid w:val="00590040"/>
    <w:rsid w:val="00590057"/>
    <w:rsid w:val="005902D0"/>
    <w:rsid w:val="0059051C"/>
    <w:rsid w:val="005928CC"/>
    <w:rsid w:val="00595386"/>
    <w:rsid w:val="0059621C"/>
    <w:rsid w:val="005964F7"/>
    <w:rsid w:val="00596F8A"/>
    <w:rsid w:val="00597234"/>
    <w:rsid w:val="00597ACE"/>
    <w:rsid w:val="00597C3D"/>
    <w:rsid w:val="005A0938"/>
    <w:rsid w:val="005A0B99"/>
    <w:rsid w:val="005A0CD7"/>
    <w:rsid w:val="005A1DDF"/>
    <w:rsid w:val="005A2AC5"/>
    <w:rsid w:val="005A2B7E"/>
    <w:rsid w:val="005A2D03"/>
    <w:rsid w:val="005A3021"/>
    <w:rsid w:val="005A3DC7"/>
    <w:rsid w:val="005A3E3A"/>
    <w:rsid w:val="005A49D5"/>
    <w:rsid w:val="005A4AC0"/>
    <w:rsid w:val="005A539B"/>
    <w:rsid w:val="005A5FDF"/>
    <w:rsid w:val="005B0FB7"/>
    <w:rsid w:val="005B122A"/>
    <w:rsid w:val="005B149E"/>
    <w:rsid w:val="005B1FCB"/>
    <w:rsid w:val="005B394F"/>
    <w:rsid w:val="005B5AC2"/>
    <w:rsid w:val="005C01EA"/>
    <w:rsid w:val="005C0416"/>
    <w:rsid w:val="005C2833"/>
    <w:rsid w:val="005C5C82"/>
    <w:rsid w:val="005D00F6"/>
    <w:rsid w:val="005D1D99"/>
    <w:rsid w:val="005D2E25"/>
    <w:rsid w:val="005D4CDC"/>
    <w:rsid w:val="005D4EDF"/>
    <w:rsid w:val="005D6BE4"/>
    <w:rsid w:val="005D6D59"/>
    <w:rsid w:val="005D74C9"/>
    <w:rsid w:val="005D77EB"/>
    <w:rsid w:val="005E144D"/>
    <w:rsid w:val="005E1500"/>
    <w:rsid w:val="005E1E5C"/>
    <w:rsid w:val="005E29E9"/>
    <w:rsid w:val="005E3A43"/>
    <w:rsid w:val="005E5566"/>
    <w:rsid w:val="005E560C"/>
    <w:rsid w:val="005E6537"/>
    <w:rsid w:val="005E66EB"/>
    <w:rsid w:val="005E7A46"/>
    <w:rsid w:val="005F0B17"/>
    <w:rsid w:val="005F1B02"/>
    <w:rsid w:val="005F3818"/>
    <w:rsid w:val="005F50EA"/>
    <w:rsid w:val="005F6602"/>
    <w:rsid w:val="005F77C7"/>
    <w:rsid w:val="00604221"/>
    <w:rsid w:val="006051CD"/>
    <w:rsid w:val="0060626A"/>
    <w:rsid w:val="00606F0C"/>
    <w:rsid w:val="00611029"/>
    <w:rsid w:val="006116FF"/>
    <w:rsid w:val="006139E6"/>
    <w:rsid w:val="00615B8D"/>
    <w:rsid w:val="006177CB"/>
    <w:rsid w:val="00620675"/>
    <w:rsid w:val="00621680"/>
    <w:rsid w:val="0062275D"/>
    <w:rsid w:val="00622910"/>
    <w:rsid w:val="00623AED"/>
    <w:rsid w:val="006254B6"/>
    <w:rsid w:val="00625F36"/>
    <w:rsid w:val="0062608A"/>
    <w:rsid w:val="006275A7"/>
    <w:rsid w:val="00627FC8"/>
    <w:rsid w:val="00630882"/>
    <w:rsid w:val="006321EB"/>
    <w:rsid w:val="006323C3"/>
    <w:rsid w:val="00632449"/>
    <w:rsid w:val="00633ABB"/>
    <w:rsid w:val="0063458A"/>
    <w:rsid w:val="00635404"/>
    <w:rsid w:val="00635A87"/>
    <w:rsid w:val="00641EED"/>
    <w:rsid w:val="006433C3"/>
    <w:rsid w:val="0064519D"/>
    <w:rsid w:val="00645B28"/>
    <w:rsid w:val="00650094"/>
    <w:rsid w:val="00650F5B"/>
    <w:rsid w:val="006536A6"/>
    <w:rsid w:val="00654B6E"/>
    <w:rsid w:val="006609AE"/>
    <w:rsid w:val="00660CC9"/>
    <w:rsid w:val="006610D4"/>
    <w:rsid w:val="0066113B"/>
    <w:rsid w:val="00664137"/>
    <w:rsid w:val="00664465"/>
    <w:rsid w:val="00664760"/>
    <w:rsid w:val="0066618E"/>
    <w:rsid w:val="00666B8A"/>
    <w:rsid w:val="006670D7"/>
    <w:rsid w:val="00667D94"/>
    <w:rsid w:val="006707E4"/>
    <w:rsid w:val="0067146B"/>
    <w:rsid w:val="006715B1"/>
    <w:rsid w:val="00671752"/>
    <w:rsid w:val="006719EA"/>
    <w:rsid w:val="00671F13"/>
    <w:rsid w:val="00671F95"/>
    <w:rsid w:val="006727B6"/>
    <w:rsid w:val="00673817"/>
    <w:rsid w:val="0067400A"/>
    <w:rsid w:val="00674194"/>
    <w:rsid w:val="00674DE2"/>
    <w:rsid w:val="006761B5"/>
    <w:rsid w:val="0067646E"/>
    <w:rsid w:val="00677724"/>
    <w:rsid w:val="0067772C"/>
    <w:rsid w:val="00677FEA"/>
    <w:rsid w:val="00680032"/>
    <w:rsid w:val="006805D6"/>
    <w:rsid w:val="00680790"/>
    <w:rsid w:val="00681A02"/>
    <w:rsid w:val="0068410C"/>
    <w:rsid w:val="006847AD"/>
    <w:rsid w:val="00684AEA"/>
    <w:rsid w:val="00684BC6"/>
    <w:rsid w:val="00684CDF"/>
    <w:rsid w:val="00686246"/>
    <w:rsid w:val="0069002B"/>
    <w:rsid w:val="00690274"/>
    <w:rsid w:val="0069114B"/>
    <w:rsid w:val="00691D05"/>
    <w:rsid w:val="0069296E"/>
    <w:rsid w:val="0069444F"/>
    <w:rsid w:val="006944C1"/>
    <w:rsid w:val="00695F2D"/>
    <w:rsid w:val="00697542"/>
    <w:rsid w:val="00697AEF"/>
    <w:rsid w:val="00697FE9"/>
    <w:rsid w:val="006A0B30"/>
    <w:rsid w:val="006A1534"/>
    <w:rsid w:val="006A1C23"/>
    <w:rsid w:val="006A756A"/>
    <w:rsid w:val="006B1BF9"/>
    <w:rsid w:val="006B288E"/>
    <w:rsid w:val="006B4D87"/>
    <w:rsid w:val="006B58FC"/>
    <w:rsid w:val="006B5FE6"/>
    <w:rsid w:val="006B687C"/>
    <w:rsid w:val="006B6FA6"/>
    <w:rsid w:val="006B7D4C"/>
    <w:rsid w:val="006C09A2"/>
    <w:rsid w:val="006C0EC2"/>
    <w:rsid w:val="006C168B"/>
    <w:rsid w:val="006C2630"/>
    <w:rsid w:val="006C3466"/>
    <w:rsid w:val="006C5153"/>
    <w:rsid w:val="006C6DF9"/>
    <w:rsid w:val="006C7220"/>
    <w:rsid w:val="006D28DF"/>
    <w:rsid w:val="006D33C2"/>
    <w:rsid w:val="006D4037"/>
    <w:rsid w:val="006D66F7"/>
    <w:rsid w:val="006D7A79"/>
    <w:rsid w:val="006E1167"/>
    <w:rsid w:val="006E1703"/>
    <w:rsid w:val="006E31A4"/>
    <w:rsid w:val="006E36CC"/>
    <w:rsid w:val="006E4B98"/>
    <w:rsid w:val="006F33B9"/>
    <w:rsid w:val="006F5DE3"/>
    <w:rsid w:val="007006B8"/>
    <w:rsid w:val="00703172"/>
    <w:rsid w:val="00705079"/>
    <w:rsid w:val="00705C9D"/>
    <w:rsid w:val="00705F13"/>
    <w:rsid w:val="0070624C"/>
    <w:rsid w:val="007126A8"/>
    <w:rsid w:val="007130D5"/>
    <w:rsid w:val="00714F1D"/>
    <w:rsid w:val="00715225"/>
    <w:rsid w:val="0071566E"/>
    <w:rsid w:val="007167DE"/>
    <w:rsid w:val="0071700C"/>
    <w:rsid w:val="00720662"/>
    <w:rsid w:val="0072094F"/>
    <w:rsid w:val="00720CC6"/>
    <w:rsid w:val="00720F41"/>
    <w:rsid w:val="00722DDB"/>
    <w:rsid w:val="00722EFE"/>
    <w:rsid w:val="00722FDE"/>
    <w:rsid w:val="00723B37"/>
    <w:rsid w:val="00723FFB"/>
    <w:rsid w:val="00724026"/>
    <w:rsid w:val="00724728"/>
    <w:rsid w:val="00724F98"/>
    <w:rsid w:val="007268E1"/>
    <w:rsid w:val="00726CA7"/>
    <w:rsid w:val="00726CC3"/>
    <w:rsid w:val="00726D30"/>
    <w:rsid w:val="007300D2"/>
    <w:rsid w:val="00730B9B"/>
    <w:rsid w:val="0073182E"/>
    <w:rsid w:val="007332FF"/>
    <w:rsid w:val="007340CD"/>
    <w:rsid w:val="00735669"/>
    <w:rsid w:val="00735A05"/>
    <w:rsid w:val="007408F5"/>
    <w:rsid w:val="00741EAE"/>
    <w:rsid w:val="0074234A"/>
    <w:rsid w:val="00742374"/>
    <w:rsid w:val="00743B5B"/>
    <w:rsid w:val="00743CB0"/>
    <w:rsid w:val="00745440"/>
    <w:rsid w:val="00745960"/>
    <w:rsid w:val="00747270"/>
    <w:rsid w:val="00747F28"/>
    <w:rsid w:val="00750ACB"/>
    <w:rsid w:val="00751215"/>
    <w:rsid w:val="007516A3"/>
    <w:rsid w:val="0075177F"/>
    <w:rsid w:val="00755248"/>
    <w:rsid w:val="00755C7C"/>
    <w:rsid w:val="00757B07"/>
    <w:rsid w:val="00757E2B"/>
    <w:rsid w:val="0076190B"/>
    <w:rsid w:val="00761A11"/>
    <w:rsid w:val="007620D1"/>
    <w:rsid w:val="007632F1"/>
    <w:rsid w:val="0076355D"/>
    <w:rsid w:val="00763A2D"/>
    <w:rsid w:val="0076483C"/>
    <w:rsid w:val="0076497E"/>
    <w:rsid w:val="00764B78"/>
    <w:rsid w:val="007658FE"/>
    <w:rsid w:val="00765B4A"/>
    <w:rsid w:val="007676A4"/>
    <w:rsid w:val="007712F5"/>
    <w:rsid w:val="007733F0"/>
    <w:rsid w:val="00774057"/>
    <w:rsid w:val="00775041"/>
    <w:rsid w:val="007756C6"/>
    <w:rsid w:val="00777795"/>
    <w:rsid w:val="00777D34"/>
    <w:rsid w:val="0078043C"/>
    <w:rsid w:val="00780A4D"/>
    <w:rsid w:val="00781C57"/>
    <w:rsid w:val="00782AF4"/>
    <w:rsid w:val="00783A57"/>
    <w:rsid w:val="00783CF6"/>
    <w:rsid w:val="00784C92"/>
    <w:rsid w:val="007859CD"/>
    <w:rsid w:val="00785C24"/>
    <w:rsid w:val="00786993"/>
    <w:rsid w:val="00786BF5"/>
    <w:rsid w:val="00790182"/>
    <w:rsid w:val="0079059C"/>
    <w:rsid w:val="007907E4"/>
    <w:rsid w:val="00790AC2"/>
    <w:rsid w:val="00795239"/>
    <w:rsid w:val="007956EA"/>
    <w:rsid w:val="00796461"/>
    <w:rsid w:val="00797CA2"/>
    <w:rsid w:val="007A01E4"/>
    <w:rsid w:val="007A101C"/>
    <w:rsid w:val="007A1F08"/>
    <w:rsid w:val="007A40C3"/>
    <w:rsid w:val="007A4BEE"/>
    <w:rsid w:val="007A676E"/>
    <w:rsid w:val="007A6A4F"/>
    <w:rsid w:val="007A6DA3"/>
    <w:rsid w:val="007A7E74"/>
    <w:rsid w:val="007A7EE4"/>
    <w:rsid w:val="007B03F5"/>
    <w:rsid w:val="007B4068"/>
    <w:rsid w:val="007B4961"/>
    <w:rsid w:val="007B5C09"/>
    <w:rsid w:val="007B5DA2"/>
    <w:rsid w:val="007B7453"/>
    <w:rsid w:val="007C0966"/>
    <w:rsid w:val="007C19E7"/>
    <w:rsid w:val="007C2BFF"/>
    <w:rsid w:val="007C2DC8"/>
    <w:rsid w:val="007C4C90"/>
    <w:rsid w:val="007C5A4F"/>
    <w:rsid w:val="007C5CFD"/>
    <w:rsid w:val="007C6D9F"/>
    <w:rsid w:val="007D0C1A"/>
    <w:rsid w:val="007D110F"/>
    <w:rsid w:val="007D11D5"/>
    <w:rsid w:val="007D4893"/>
    <w:rsid w:val="007D6C41"/>
    <w:rsid w:val="007D7029"/>
    <w:rsid w:val="007D7124"/>
    <w:rsid w:val="007E0432"/>
    <w:rsid w:val="007E0A27"/>
    <w:rsid w:val="007E113C"/>
    <w:rsid w:val="007E1C62"/>
    <w:rsid w:val="007E20C7"/>
    <w:rsid w:val="007E247A"/>
    <w:rsid w:val="007E70CF"/>
    <w:rsid w:val="007E74A4"/>
    <w:rsid w:val="007F07C4"/>
    <w:rsid w:val="007F0840"/>
    <w:rsid w:val="007F1288"/>
    <w:rsid w:val="007F1B6F"/>
    <w:rsid w:val="007F1CAE"/>
    <w:rsid w:val="007F263F"/>
    <w:rsid w:val="007F421C"/>
    <w:rsid w:val="007F4A68"/>
    <w:rsid w:val="007F782F"/>
    <w:rsid w:val="008015A8"/>
    <w:rsid w:val="00801B1A"/>
    <w:rsid w:val="00806D2E"/>
    <w:rsid w:val="0080702B"/>
    <w:rsid w:val="0080766E"/>
    <w:rsid w:val="008077D2"/>
    <w:rsid w:val="00811169"/>
    <w:rsid w:val="00813916"/>
    <w:rsid w:val="00814B2A"/>
    <w:rsid w:val="00815297"/>
    <w:rsid w:val="00816448"/>
    <w:rsid w:val="008170DB"/>
    <w:rsid w:val="00817333"/>
    <w:rsid w:val="00817BA1"/>
    <w:rsid w:val="00817ED6"/>
    <w:rsid w:val="0082087D"/>
    <w:rsid w:val="0082102E"/>
    <w:rsid w:val="008215D7"/>
    <w:rsid w:val="008218E2"/>
    <w:rsid w:val="00821927"/>
    <w:rsid w:val="00821A8D"/>
    <w:rsid w:val="00821B08"/>
    <w:rsid w:val="00821D6E"/>
    <w:rsid w:val="00823022"/>
    <w:rsid w:val="00824357"/>
    <w:rsid w:val="0082634E"/>
    <w:rsid w:val="008264B3"/>
    <w:rsid w:val="00826B71"/>
    <w:rsid w:val="00827C42"/>
    <w:rsid w:val="00827F3F"/>
    <w:rsid w:val="008313C4"/>
    <w:rsid w:val="0083433C"/>
    <w:rsid w:val="00835434"/>
    <w:rsid w:val="008358C0"/>
    <w:rsid w:val="008358CC"/>
    <w:rsid w:val="00837453"/>
    <w:rsid w:val="0083751D"/>
    <w:rsid w:val="0083787F"/>
    <w:rsid w:val="0084031E"/>
    <w:rsid w:val="00840B7F"/>
    <w:rsid w:val="0084128D"/>
    <w:rsid w:val="00842838"/>
    <w:rsid w:val="00842DE5"/>
    <w:rsid w:val="00844050"/>
    <w:rsid w:val="00845573"/>
    <w:rsid w:val="008457AF"/>
    <w:rsid w:val="00845A73"/>
    <w:rsid w:val="00852A7F"/>
    <w:rsid w:val="00853825"/>
    <w:rsid w:val="00854EC1"/>
    <w:rsid w:val="0085593E"/>
    <w:rsid w:val="008575DB"/>
    <w:rsid w:val="0085797F"/>
    <w:rsid w:val="00861DC3"/>
    <w:rsid w:val="008645DE"/>
    <w:rsid w:val="00864B30"/>
    <w:rsid w:val="0086550E"/>
    <w:rsid w:val="00867019"/>
    <w:rsid w:val="00867160"/>
    <w:rsid w:val="008702E9"/>
    <w:rsid w:val="00872EF1"/>
    <w:rsid w:val="008735A9"/>
    <w:rsid w:val="0087446D"/>
    <w:rsid w:val="0087675F"/>
    <w:rsid w:val="00877BC5"/>
    <w:rsid w:val="00877D20"/>
    <w:rsid w:val="00881A33"/>
    <w:rsid w:val="00881C48"/>
    <w:rsid w:val="00883E58"/>
    <w:rsid w:val="00885B80"/>
    <w:rsid w:val="00885C30"/>
    <w:rsid w:val="00885E9B"/>
    <w:rsid w:val="0088662E"/>
    <w:rsid w:val="00887C50"/>
    <w:rsid w:val="00890A0F"/>
    <w:rsid w:val="00891C4F"/>
    <w:rsid w:val="00891E49"/>
    <w:rsid w:val="008925B6"/>
    <w:rsid w:val="0089368E"/>
    <w:rsid w:val="00893C96"/>
    <w:rsid w:val="0089500A"/>
    <w:rsid w:val="00895561"/>
    <w:rsid w:val="00895F64"/>
    <w:rsid w:val="008965FB"/>
    <w:rsid w:val="00896C05"/>
    <w:rsid w:val="00897C94"/>
    <w:rsid w:val="008A06F3"/>
    <w:rsid w:val="008A38D3"/>
    <w:rsid w:val="008A4B30"/>
    <w:rsid w:val="008A5329"/>
    <w:rsid w:val="008A54B9"/>
    <w:rsid w:val="008A7C12"/>
    <w:rsid w:val="008B03CE"/>
    <w:rsid w:val="008B0AA7"/>
    <w:rsid w:val="008B150F"/>
    <w:rsid w:val="008B29DD"/>
    <w:rsid w:val="008B2F40"/>
    <w:rsid w:val="008B3636"/>
    <w:rsid w:val="008B3E82"/>
    <w:rsid w:val="008B45D0"/>
    <w:rsid w:val="008B529E"/>
    <w:rsid w:val="008B696F"/>
    <w:rsid w:val="008C17FB"/>
    <w:rsid w:val="008C23E5"/>
    <w:rsid w:val="008C4F41"/>
    <w:rsid w:val="008C52EE"/>
    <w:rsid w:val="008C64D2"/>
    <w:rsid w:val="008C70BB"/>
    <w:rsid w:val="008C75D6"/>
    <w:rsid w:val="008D094C"/>
    <w:rsid w:val="008D1B00"/>
    <w:rsid w:val="008D57B8"/>
    <w:rsid w:val="008D604A"/>
    <w:rsid w:val="008D7C14"/>
    <w:rsid w:val="008E03FC"/>
    <w:rsid w:val="008E2B1F"/>
    <w:rsid w:val="008E36F0"/>
    <w:rsid w:val="008E4007"/>
    <w:rsid w:val="008E510B"/>
    <w:rsid w:val="008E543A"/>
    <w:rsid w:val="008E546A"/>
    <w:rsid w:val="008E5CDF"/>
    <w:rsid w:val="008E6907"/>
    <w:rsid w:val="008E6FEC"/>
    <w:rsid w:val="008E7640"/>
    <w:rsid w:val="008E7A3E"/>
    <w:rsid w:val="008F1E00"/>
    <w:rsid w:val="008F4E59"/>
    <w:rsid w:val="008F4E8E"/>
    <w:rsid w:val="008F7287"/>
    <w:rsid w:val="00900A37"/>
    <w:rsid w:val="00901EF5"/>
    <w:rsid w:val="00902B13"/>
    <w:rsid w:val="00905CB7"/>
    <w:rsid w:val="00911941"/>
    <w:rsid w:val="00913D75"/>
    <w:rsid w:val="009162FD"/>
    <w:rsid w:val="009163C7"/>
    <w:rsid w:val="0092024D"/>
    <w:rsid w:val="00922203"/>
    <w:rsid w:val="00923F8C"/>
    <w:rsid w:val="00925146"/>
    <w:rsid w:val="00925F0F"/>
    <w:rsid w:val="0092606D"/>
    <w:rsid w:val="00926483"/>
    <w:rsid w:val="00927EFB"/>
    <w:rsid w:val="00932F6B"/>
    <w:rsid w:val="0093445A"/>
    <w:rsid w:val="00934BDD"/>
    <w:rsid w:val="009353F0"/>
    <w:rsid w:val="009363D9"/>
    <w:rsid w:val="009364D7"/>
    <w:rsid w:val="00937C11"/>
    <w:rsid w:val="009406F2"/>
    <w:rsid w:val="009444F0"/>
    <w:rsid w:val="009459D4"/>
    <w:rsid w:val="0094621B"/>
    <w:rsid w:val="009468BC"/>
    <w:rsid w:val="00947FAE"/>
    <w:rsid w:val="00947FE9"/>
    <w:rsid w:val="009511E0"/>
    <w:rsid w:val="00954EDE"/>
    <w:rsid w:val="0095513F"/>
    <w:rsid w:val="00955D8E"/>
    <w:rsid w:val="00957FBD"/>
    <w:rsid w:val="009604B8"/>
    <w:rsid w:val="009616DF"/>
    <w:rsid w:val="009617D8"/>
    <w:rsid w:val="0096542F"/>
    <w:rsid w:val="00966B65"/>
    <w:rsid w:val="00967EFF"/>
    <w:rsid w:val="00967FA7"/>
    <w:rsid w:val="009707F5"/>
    <w:rsid w:val="00971641"/>
    <w:rsid w:val="00971645"/>
    <w:rsid w:val="00971767"/>
    <w:rsid w:val="00971DBB"/>
    <w:rsid w:val="00972BF6"/>
    <w:rsid w:val="00973BEC"/>
    <w:rsid w:val="00973C6B"/>
    <w:rsid w:val="00973E9F"/>
    <w:rsid w:val="00974E9F"/>
    <w:rsid w:val="00976D93"/>
    <w:rsid w:val="009772B1"/>
    <w:rsid w:val="00977919"/>
    <w:rsid w:val="009779D4"/>
    <w:rsid w:val="00981DAD"/>
    <w:rsid w:val="00982B79"/>
    <w:rsid w:val="00983000"/>
    <w:rsid w:val="0098333F"/>
    <w:rsid w:val="00983B51"/>
    <w:rsid w:val="009870FA"/>
    <w:rsid w:val="00987CD2"/>
    <w:rsid w:val="009920EC"/>
    <w:rsid w:val="009921C3"/>
    <w:rsid w:val="00992EBB"/>
    <w:rsid w:val="0099551D"/>
    <w:rsid w:val="00995976"/>
    <w:rsid w:val="0099776A"/>
    <w:rsid w:val="009979BD"/>
    <w:rsid w:val="009A0E6D"/>
    <w:rsid w:val="009A107C"/>
    <w:rsid w:val="009A5334"/>
    <w:rsid w:val="009A5897"/>
    <w:rsid w:val="009A5F24"/>
    <w:rsid w:val="009B0882"/>
    <w:rsid w:val="009B0992"/>
    <w:rsid w:val="009B0B3E"/>
    <w:rsid w:val="009B0DC9"/>
    <w:rsid w:val="009B11D2"/>
    <w:rsid w:val="009B1913"/>
    <w:rsid w:val="009B196F"/>
    <w:rsid w:val="009B24CD"/>
    <w:rsid w:val="009B48D2"/>
    <w:rsid w:val="009B6657"/>
    <w:rsid w:val="009B6966"/>
    <w:rsid w:val="009B6FC6"/>
    <w:rsid w:val="009B705E"/>
    <w:rsid w:val="009B758F"/>
    <w:rsid w:val="009B7E6A"/>
    <w:rsid w:val="009C031E"/>
    <w:rsid w:val="009C30F5"/>
    <w:rsid w:val="009C5A3E"/>
    <w:rsid w:val="009D0123"/>
    <w:rsid w:val="009D0EB5"/>
    <w:rsid w:val="009D14F9"/>
    <w:rsid w:val="009D2B74"/>
    <w:rsid w:val="009D414F"/>
    <w:rsid w:val="009D4CB4"/>
    <w:rsid w:val="009D63FF"/>
    <w:rsid w:val="009E0874"/>
    <w:rsid w:val="009E11BB"/>
    <w:rsid w:val="009E175D"/>
    <w:rsid w:val="009E2FAE"/>
    <w:rsid w:val="009E30C4"/>
    <w:rsid w:val="009E3CC2"/>
    <w:rsid w:val="009E5895"/>
    <w:rsid w:val="009E68D4"/>
    <w:rsid w:val="009F06BD"/>
    <w:rsid w:val="009F1144"/>
    <w:rsid w:val="009F2A4D"/>
    <w:rsid w:val="009F59B4"/>
    <w:rsid w:val="009F6574"/>
    <w:rsid w:val="009F6D51"/>
    <w:rsid w:val="009F6D84"/>
    <w:rsid w:val="009F7EE2"/>
    <w:rsid w:val="00A002A7"/>
    <w:rsid w:val="00A00828"/>
    <w:rsid w:val="00A0147A"/>
    <w:rsid w:val="00A03290"/>
    <w:rsid w:val="00A0387E"/>
    <w:rsid w:val="00A04F15"/>
    <w:rsid w:val="00A05BFD"/>
    <w:rsid w:val="00A07490"/>
    <w:rsid w:val="00A077F3"/>
    <w:rsid w:val="00A10655"/>
    <w:rsid w:val="00A10E99"/>
    <w:rsid w:val="00A10EB8"/>
    <w:rsid w:val="00A12B64"/>
    <w:rsid w:val="00A1566E"/>
    <w:rsid w:val="00A16D7E"/>
    <w:rsid w:val="00A16E91"/>
    <w:rsid w:val="00A22B63"/>
    <w:rsid w:val="00A22C38"/>
    <w:rsid w:val="00A24F03"/>
    <w:rsid w:val="00A250A4"/>
    <w:rsid w:val="00A25193"/>
    <w:rsid w:val="00A26E80"/>
    <w:rsid w:val="00A277A8"/>
    <w:rsid w:val="00A3191E"/>
    <w:rsid w:val="00A31AE8"/>
    <w:rsid w:val="00A33158"/>
    <w:rsid w:val="00A33A52"/>
    <w:rsid w:val="00A350F5"/>
    <w:rsid w:val="00A36F1E"/>
    <w:rsid w:val="00A36FA2"/>
    <w:rsid w:val="00A37282"/>
    <w:rsid w:val="00A3739D"/>
    <w:rsid w:val="00A37DDA"/>
    <w:rsid w:val="00A41298"/>
    <w:rsid w:val="00A4154F"/>
    <w:rsid w:val="00A4169F"/>
    <w:rsid w:val="00A43855"/>
    <w:rsid w:val="00A43DFB"/>
    <w:rsid w:val="00A44502"/>
    <w:rsid w:val="00A4499A"/>
    <w:rsid w:val="00A44E5D"/>
    <w:rsid w:val="00A45005"/>
    <w:rsid w:val="00A454E5"/>
    <w:rsid w:val="00A456D3"/>
    <w:rsid w:val="00A45800"/>
    <w:rsid w:val="00A4639A"/>
    <w:rsid w:val="00A46B93"/>
    <w:rsid w:val="00A51C4D"/>
    <w:rsid w:val="00A54189"/>
    <w:rsid w:val="00A55815"/>
    <w:rsid w:val="00A55F6E"/>
    <w:rsid w:val="00A567EE"/>
    <w:rsid w:val="00A57AC8"/>
    <w:rsid w:val="00A60437"/>
    <w:rsid w:val="00A63831"/>
    <w:rsid w:val="00A6389A"/>
    <w:rsid w:val="00A63A00"/>
    <w:rsid w:val="00A65684"/>
    <w:rsid w:val="00A7010D"/>
    <w:rsid w:val="00A70DD8"/>
    <w:rsid w:val="00A71AA2"/>
    <w:rsid w:val="00A71B7A"/>
    <w:rsid w:val="00A726DA"/>
    <w:rsid w:val="00A7279C"/>
    <w:rsid w:val="00A74D9D"/>
    <w:rsid w:val="00A76790"/>
    <w:rsid w:val="00A8108E"/>
    <w:rsid w:val="00A81720"/>
    <w:rsid w:val="00A829CA"/>
    <w:rsid w:val="00A83A5D"/>
    <w:rsid w:val="00A85D0C"/>
    <w:rsid w:val="00A86F48"/>
    <w:rsid w:val="00A90A9C"/>
    <w:rsid w:val="00A922F0"/>
    <w:rsid w:val="00A925EC"/>
    <w:rsid w:val="00A929AA"/>
    <w:rsid w:val="00A92A01"/>
    <w:rsid w:val="00A92B6B"/>
    <w:rsid w:val="00A934B9"/>
    <w:rsid w:val="00A94268"/>
    <w:rsid w:val="00A963A7"/>
    <w:rsid w:val="00A96F63"/>
    <w:rsid w:val="00A97CFB"/>
    <w:rsid w:val="00A97D75"/>
    <w:rsid w:val="00A97EAF"/>
    <w:rsid w:val="00AA1E59"/>
    <w:rsid w:val="00AA2531"/>
    <w:rsid w:val="00AA4A64"/>
    <w:rsid w:val="00AA4CC7"/>
    <w:rsid w:val="00AA541E"/>
    <w:rsid w:val="00AB10E9"/>
    <w:rsid w:val="00AB1666"/>
    <w:rsid w:val="00AB2DDD"/>
    <w:rsid w:val="00AB320A"/>
    <w:rsid w:val="00AB502C"/>
    <w:rsid w:val="00AB6AAC"/>
    <w:rsid w:val="00AB6D26"/>
    <w:rsid w:val="00AB7E95"/>
    <w:rsid w:val="00AC04CF"/>
    <w:rsid w:val="00AC0EF4"/>
    <w:rsid w:val="00AC1B5D"/>
    <w:rsid w:val="00AC4D86"/>
    <w:rsid w:val="00AD0889"/>
    <w:rsid w:val="00AD0AB4"/>
    <w:rsid w:val="00AD0DA4"/>
    <w:rsid w:val="00AD1B84"/>
    <w:rsid w:val="00AD2A0B"/>
    <w:rsid w:val="00AD2E5B"/>
    <w:rsid w:val="00AD3005"/>
    <w:rsid w:val="00AD3B51"/>
    <w:rsid w:val="00AD4169"/>
    <w:rsid w:val="00AD4C30"/>
    <w:rsid w:val="00AD5F30"/>
    <w:rsid w:val="00AD7229"/>
    <w:rsid w:val="00AD78C8"/>
    <w:rsid w:val="00AD7C7B"/>
    <w:rsid w:val="00AE0666"/>
    <w:rsid w:val="00AE2207"/>
    <w:rsid w:val="00AE2321"/>
    <w:rsid w:val="00AE25C6"/>
    <w:rsid w:val="00AE306C"/>
    <w:rsid w:val="00AE3EA9"/>
    <w:rsid w:val="00AE411F"/>
    <w:rsid w:val="00AE447A"/>
    <w:rsid w:val="00AE4D22"/>
    <w:rsid w:val="00AE689F"/>
    <w:rsid w:val="00AE7CD4"/>
    <w:rsid w:val="00AF28C1"/>
    <w:rsid w:val="00AF7ACC"/>
    <w:rsid w:val="00B004BC"/>
    <w:rsid w:val="00B00979"/>
    <w:rsid w:val="00B014A7"/>
    <w:rsid w:val="00B01CB2"/>
    <w:rsid w:val="00B02521"/>
    <w:rsid w:val="00B02EF1"/>
    <w:rsid w:val="00B02FC5"/>
    <w:rsid w:val="00B0378E"/>
    <w:rsid w:val="00B03BA4"/>
    <w:rsid w:val="00B04B66"/>
    <w:rsid w:val="00B04CDC"/>
    <w:rsid w:val="00B071F2"/>
    <w:rsid w:val="00B07C97"/>
    <w:rsid w:val="00B105B9"/>
    <w:rsid w:val="00B11C67"/>
    <w:rsid w:val="00B123CA"/>
    <w:rsid w:val="00B134F9"/>
    <w:rsid w:val="00B14257"/>
    <w:rsid w:val="00B15754"/>
    <w:rsid w:val="00B16002"/>
    <w:rsid w:val="00B1693D"/>
    <w:rsid w:val="00B16FC7"/>
    <w:rsid w:val="00B2046E"/>
    <w:rsid w:val="00B20670"/>
    <w:rsid w:val="00B20E8B"/>
    <w:rsid w:val="00B2303E"/>
    <w:rsid w:val="00B24079"/>
    <w:rsid w:val="00B243D8"/>
    <w:rsid w:val="00B254CF"/>
    <w:rsid w:val="00B257E1"/>
    <w:rsid w:val="00B2599A"/>
    <w:rsid w:val="00B26DAB"/>
    <w:rsid w:val="00B27AC4"/>
    <w:rsid w:val="00B308D2"/>
    <w:rsid w:val="00B30AC0"/>
    <w:rsid w:val="00B30CCE"/>
    <w:rsid w:val="00B329E8"/>
    <w:rsid w:val="00B33026"/>
    <w:rsid w:val="00B34223"/>
    <w:rsid w:val="00B343CC"/>
    <w:rsid w:val="00B36168"/>
    <w:rsid w:val="00B36C1D"/>
    <w:rsid w:val="00B3721D"/>
    <w:rsid w:val="00B406D2"/>
    <w:rsid w:val="00B41551"/>
    <w:rsid w:val="00B42138"/>
    <w:rsid w:val="00B42993"/>
    <w:rsid w:val="00B42F39"/>
    <w:rsid w:val="00B447F0"/>
    <w:rsid w:val="00B45A2F"/>
    <w:rsid w:val="00B45E33"/>
    <w:rsid w:val="00B46BBD"/>
    <w:rsid w:val="00B46CA2"/>
    <w:rsid w:val="00B46FCD"/>
    <w:rsid w:val="00B5084A"/>
    <w:rsid w:val="00B520BB"/>
    <w:rsid w:val="00B52625"/>
    <w:rsid w:val="00B5288E"/>
    <w:rsid w:val="00B52F56"/>
    <w:rsid w:val="00B53EF2"/>
    <w:rsid w:val="00B5455B"/>
    <w:rsid w:val="00B54DB3"/>
    <w:rsid w:val="00B54E5C"/>
    <w:rsid w:val="00B55B64"/>
    <w:rsid w:val="00B55F93"/>
    <w:rsid w:val="00B55F96"/>
    <w:rsid w:val="00B5702F"/>
    <w:rsid w:val="00B606A1"/>
    <w:rsid w:val="00B614F7"/>
    <w:rsid w:val="00B61B26"/>
    <w:rsid w:val="00B626AB"/>
    <w:rsid w:val="00B63F0C"/>
    <w:rsid w:val="00B6427B"/>
    <w:rsid w:val="00B64D7A"/>
    <w:rsid w:val="00B65288"/>
    <w:rsid w:val="00B6577B"/>
    <w:rsid w:val="00B65E6B"/>
    <w:rsid w:val="00B674F2"/>
    <w:rsid w:val="00B675B2"/>
    <w:rsid w:val="00B70BEA"/>
    <w:rsid w:val="00B72483"/>
    <w:rsid w:val="00B72D60"/>
    <w:rsid w:val="00B7450C"/>
    <w:rsid w:val="00B74CA2"/>
    <w:rsid w:val="00B7660D"/>
    <w:rsid w:val="00B76CD5"/>
    <w:rsid w:val="00B776ED"/>
    <w:rsid w:val="00B77859"/>
    <w:rsid w:val="00B8017E"/>
    <w:rsid w:val="00B8055B"/>
    <w:rsid w:val="00B80CBA"/>
    <w:rsid w:val="00B8103F"/>
    <w:rsid w:val="00B81261"/>
    <w:rsid w:val="00B8223E"/>
    <w:rsid w:val="00B832AE"/>
    <w:rsid w:val="00B83FA9"/>
    <w:rsid w:val="00B86678"/>
    <w:rsid w:val="00B868F4"/>
    <w:rsid w:val="00B8725D"/>
    <w:rsid w:val="00B9092E"/>
    <w:rsid w:val="00B90D29"/>
    <w:rsid w:val="00B91624"/>
    <w:rsid w:val="00B92F7D"/>
    <w:rsid w:val="00B92F9B"/>
    <w:rsid w:val="00B932A7"/>
    <w:rsid w:val="00B93D45"/>
    <w:rsid w:val="00B941B3"/>
    <w:rsid w:val="00B96513"/>
    <w:rsid w:val="00B96CD4"/>
    <w:rsid w:val="00BA0D51"/>
    <w:rsid w:val="00BA1D47"/>
    <w:rsid w:val="00BA2574"/>
    <w:rsid w:val="00BA5121"/>
    <w:rsid w:val="00BA62E6"/>
    <w:rsid w:val="00BA66F0"/>
    <w:rsid w:val="00BA68FB"/>
    <w:rsid w:val="00BA6A34"/>
    <w:rsid w:val="00BB15DE"/>
    <w:rsid w:val="00BB1807"/>
    <w:rsid w:val="00BB2239"/>
    <w:rsid w:val="00BB2AE7"/>
    <w:rsid w:val="00BB3725"/>
    <w:rsid w:val="00BB4B7C"/>
    <w:rsid w:val="00BB4DEF"/>
    <w:rsid w:val="00BB50E2"/>
    <w:rsid w:val="00BB5C77"/>
    <w:rsid w:val="00BB6464"/>
    <w:rsid w:val="00BB6AE4"/>
    <w:rsid w:val="00BC1543"/>
    <w:rsid w:val="00BC1BB8"/>
    <w:rsid w:val="00BC265F"/>
    <w:rsid w:val="00BC2797"/>
    <w:rsid w:val="00BC4014"/>
    <w:rsid w:val="00BC534D"/>
    <w:rsid w:val="00BC67D9"/>
    <w:rsid w:val="00BC6C10"/>
    <w:rsid w:val="00BC7309"/>
    <w:rsid w:val="00BC7B0A"/>
    <w:rsid w:val="00BD2E80"/>
    <w:rsid w:val="00BD6C72"/>
    <w:rsid w:val="00BD7FE1"/>
    <w:rsid w:val="00BE08AB"/>
    <w:rsid w:val="00BE2347"/>
    <w:rsid w:val="00BE2895"/>
    <w:rsid w:val="00BE2E3E"/>
    <w:rsid w:val="00BE37CA"/>
    <w:rsid w:val="00BE5E3F"/>
    <w:rsid w:val="00BE6144"/>
    <w:rsid w:val="00BE635A"/>
    <w:rsid w:val="00BE750C"/>
    <w:rsid w:val="00BF17E9"/>
    <w:rsid w:val="00BF1BE3"/>
    <w:rsid w:val="00BF26A2"/>
    <w:rsid w:val="00BF2ABB"/>
    <w:rsid w:val="00BF4957"/>
    <w:rsid w:val="00BF4EC6"/>
    <w:rsid w:val="00BF5099"/>
    <w:rsid w:val="00BF6965"/>
    <w:rsid w:val="00BF70B7"/>
    <w:rsid w:val="00C00A8B"/>
    <w:rsid w:val="00C017A6"/>
    <w:rsid w:val="00C03B8D"/>
    <w:rsid w:val="00C044EF"/>
    <w:rsid w:val="00C04CD4"/>
    <w:rsid w:val="00C0649F"/>
    <w:rsid w:val="00C06FE9"/>
    <w:rsid w:val="00C07719"/>
    <w:rsid w:val="00C10B5E"/>
    <w:rsid w:val="00C10F10"/>
    <w:rsid w:val="00C11420"/>
    <w:rsid w:val="00C1353F"/>
    <w:rsid w:val="00C13FC4"/>
    <w:rsid w:val="00C15D4D"/>
    <w:rsid w:val="00C175DC"/>
    <w:rsid w:val="00C203A4"/>
    <w:rsid w:val="00C22C15"/>
    <w:rsid w:val="00C22E8D"/>
    <w:rsid w:val="00C27243"/>
    <w:rsid w:val="00C27839"/>
    <w:rsid w:val="00C27FFE"/>
    <w:rsid w:val="00C30171"/>
    <w:rsid w:val="00C309D8"/>
    <w:rsid w:val="00C32BAF"/>
    <w:rsid w:val="00C3425D"/>
    <w:rsid w:val="00C35507"/>
    <w:rsid w:val="00C36C35"/>
    <w:rsid w:val="00C373AD"/>
    <w:rsid w:val="00C42852"/>
    <w:rsid w:val="00C43519"/>
    <w:rsid w:val="00C43EBE"/>
    <w:rsid w:val="00C45263"/>
    <w:rsid w:val="00C458E2"/>
    <w:rsid w:val="00C45983"/>
    <w:rsid w:val="00C459BC"/>
    <w:rsid w:val="00C50A08"/>
    <w:rsid w:val="00C51537"/>
    <w:rsid w:val="00C52689"/>
    <w:rsid w:val="00C52AD8"/>
    <w:rsid w:val="00C52BC3"/>
    <w:rsid w:val="00C54091"/>
    <w:rsid w:val="00C54EB6"/>
    <w:rsid w:val="00C55C97"/>
    <w:rsid w:val="00C60B7C"/>
    <w:rsid w:val="00C61AFA"/>
    <w:rsid w:val="00C61D64"/>
    <w:rsid w:val="00C62099"/>
    <w:rsid w:val="00C624D6"/>
    <w:rsid w:val="00C62A34"/>
    <w:rsid w:val="00C62E2C"/>
    <w:rsid w:val="00C64694"/>
    <w:rsid w:val="00C64EA3"/>
    <w:rsid w:val="00C65243"/>
    <w:rsid w:val="00C71648"/>
    <w:rsid w:val="00C7203E"/>
    <w:rsid w:val="00C72867"/>
    <w:rsid w:val="00C72BA2"/>
    <w:rsid w:val="00C730E0"/>
    <w:rsid w:val="00C7409C"/>
    <w:rsid w:val="00C75E81"/>
    <w:rsid w:val="00C77230"/>
    <w:rsid w:val="00C811AE"/>
    <w:rsid w:val="00C814B0"/>
    <w:rsid w:val="00C81F19"/>
    <w:rsid w:val="00C82526"/>
    <w:rsid w:val="00C83BB6"/>
    <w:rsid w:val="00C8549D"/>
    <w:rsid w:val="00C86609"/>
    <w:rsid w:val="00C86A45"/>
    <w:rsid w:val="00C8722C"/>
    <w:rsid w:val="00C9051A"/>
    <w:rsid w:val="00C90A1F"/>
    <w:rsid w:val="00C92B4C"/>
    <w:rsid w:val="00C930EF"/>
    <w:rsid w:val="00C943CD"/>
    <w:rsid w:val="00C94AF2"/>
    <w:rsid w:val="00C954F6"/>
    <w:rsid w:val="00C95601"/>
    <w:rsid w:val="00CA0025"/>
    <w:rsid w:val="00CA0C51"/>
    <w:rsid w:val="00CA2DFF"/>
    <w:rsid w:val="00CA2E71"/>
    <w:rsid w:val="00CA2FB0"/>
    <w:rsid w:val="00CA36A0"/>
    <w:rsid w:val="00CA45D8"/>
    <w:rsid w:val="00CA514B"/>
    <w:rsid w:val="00CA59E9"/>
    <w:rsid w:val="00CA5B7A"/>
    <w:rsid w:val="00CA5C2D"/>
    <w:rsid w:val="00CA5C87"/>
    <w:rsid w:val="00CA6BAF"/>
    <w:rsid w:val="00CA6BC5"/>
    <w:rsid w:val="00CA79A4"/>
    <w:rsid w:val="00CA7DC2"/>
    <w:rsid w:val="00CB02D5"/>
    <w:rsid w:val="00CB03BB"/>
    <w:rsid w:val="00CB0C3A"/>
    <w:rsid w:val="00CB1326"/>
    <w:rsid w:val="00CB1C9D"/>
    <w:rsid w:val="00CB2A79"/>
    <w:rsid w:val="00CB59D2"/>
    <w:rsid w:val="00CC138B"/>
    <w:rsid w:val="00CC2FF8"/>
    <w:rsid w:val="00CC3041"/>
    <w:rsid w:val="00CC47D5"/>
    <w:rsid w:val="00CC571B"/>
    <w:rsid w:val="00CC5ABA"/>
    <w:rsid w:val="00CC61CD"/>
    <w:rsid w:val="00CC66EA"/>
    <w:rsid w:val="00CC6AB1"/>
    <w:rsid w:val="00CC6BE2"/>
    <w:rsid w:val="00CC6C02"/>
    <w:rsid w:val="00CC737B"/>
    <w:rsid w:val="00CD03C1"/>
    <w:rsid w:val="00CD2BA2"/>
    <w:rsid w:val="00CD3085"/>
    <w:rsid w:val="00CD41D6"/>
    <w:rsid w:val="00CD4E6F"/>
    <w:rsid w:val="00CD5011"/>
    <w:rsid w:val="00CD516E"/>
    <w:rsid w:val="00CD718C"/>
    <w:rsid w:val="00CD7E47"/>
    <w:rsid w:val="00CE0800"/>
    <w:rsid w:val="00CE0930"/>
    <w:rsid w:val="00CE0C8A"/>
    <w:rsid w:val="00CE3E1F"/>
    <w:rsid w:val="00CE5C8D"/>
    <w:rsid w:val="00CE640F"/>
    <w:rsid w:val="00CE76BC"/>
    <w:rsid w:val="00CF1103"/>
    <w:rsid w:val="00CF19C3"/>
    <w:rsid w:val="00CF209C"/>
    <w:rsid w:val="00CF410A"/>
    <w:rsid w:val="00CF478B"/>
    <w:rsid w:val="00CF540E"/>
    <w:rsid w:val="00CF5EFC"/>
    <w:rsid w:val="00CF609D"/>
    <w:rsid w:val="00CF627A"/>
    <w:rsid w:val="00D02D65"/>
    <w:rsid w:val="00D02F07"/>
    <w:rsid w:val="00D03719"/>
    <w:rsid w:val="00D05CB8"/>
    <w:rsid w:val="00D06060"/>
    <w:rsid w:val="00D0629D"/>
    <w:rsid w:val="00D11970"/>
    <w:rsid w:val="00D11C97"/>
    <w:rsid w:val="00D125D6"/>
    <w:rsid w:val="00D12729"/>
    <w:rsid w:val="00D15D88"/>
    <w:rsid w:val="00D15E3E"/>
    <w:rsid w:val="00D160E0"/>
    <w:rsid w:val="00D161B2"/>
    <w:rsid w:val="00D17A7C"/>
    <w:rsid w:val="00D21BB5"/>
    <w:rsid w:val="00D22A25"/>
    <w:rsid w:val="00D23C16"/>
    <w:rsid w:val="00D243BA"/>
    <w:rsid w:val="00D245A8"/>
    <w:rsid w:val="00D2496C"/>
    <w:rsid w:val="00D25839"/>
    <w:rsid w:val="00D2699B"/>
    <w:rsid w:val="00D27D49"/>
    <w:rsid w:val="00D27EBE"/>
    <w:rsid w:val="00D32A3A"/>
    <w:rsid w:val="00D346C3"/>
    <w:rsid w:val="00D36A49"/>
    <w:rsid w:val="00D41EFC"/>
    <w:rsid w:val="00D45A1C"/>
    <w:rsid w:val="00D460CF"/>
    <w:rsid w:val="00D46F91"/>
    <w:rsid w:val="00D47DC7"/>
    <w:rsid w:val="00D47EF8"/>
    <w:rsid w:val="00D5080C"/>
    <w:rsid w:val="00D517C6"/>
    <w:rsid w:val="00D52CA5"/>
    <w:rsid w:val="00D532F2"/>
    <w:rsid w:val="00D53C11"/>
    <w:rsid w:val="00D57073"/>
    <w:rsid w:val="00D66697"/>
    <w:rsid w:val="00D66CA6"/>
    <w:rsid w:val="00D66F24"/>
    <w:rsid w:val="00D71423"/>
    <w:rsid w:val="00D71935"/>
    <w:rsid w:val="00D71D84"/>
    <w:rsid w:val="00D72464"/>
    <w:rsid w:val="00D72A57"/>
    <w:rsid w:val="00D73551"/>
    <w:rsid w:val="00D7371A"/>
    <w:rsid w:val="00D73908"/>
    <w:rsid w:val="00D74CD4"/>
    <w:rsid w:val="00D75A3F"/>
    <w:rsid w:val="00D75EAA"/>
    <w:rsid w:val="00D760DE"/>
    <w:rsid w:val="00D768EB"/>
    <w:rsid w:val="00D76F16"/>
    <w:rsid w:val="00D77B60"/>
    <w:rsid w:val="00D80414"/>
    <w:rsid w:val="00D80594"/>
    <w:rsid w:val="00D81BB1"/>
    <w:rsid w:val="00D81E17"/>
    <w:rsid w:val="00D81F50"/>
    <w:rsid w:val="00D82D1E"/>
    <w:rsid w:val="00D82E4B"/>
    <w:rsid w:val="00D832D9"/>
    <w:rsid w:val="00D835F0"/>
    <w:rsid w:val="00D83E1A"/>
    <w:rsid w:val="00D8615A"/>
    <w:rsid w:val="00D87116"/>
    <w:rsid w:val="00D871F3"/>
    <w:rsid w:val="00D90F00"/>
    <w:rsid w:val="00D930D2"/>
    <w:rsid w:val="00D96804"/>
    <w:rsid w:val="00D975C0"/>
    <w:rsid w:val="00DA06E4"/>
    <w:rsid w:val="00DA1847"/>
    <w:rsid w:val="00DA1C57"/>
    <w:rsid w:val="00DA233B"/>
    <w:rsid w:val="00DA47B5"/>
    <w:rsid w:val="00DA5285"/>
    <w:rsid w:val="00DA54FD"/>
    <w:rsid w:val="00DA7C9C"/>
    <w:rsid w:val="00DB10D0"/>
    <w:rsid w:val="00DB1311"/>
    <w:rsid w:val="00DB191D"/>
    <w:rsid w:val="00DB1F3F"/>
    <w:rsid w:val="00DB2147"/>
    <w:rsid w:val="00DB25BB"/>
    <w:rsid w:val="00DB3036"/>
    <w:rsid w:val="00DB4F91"/>
    <w:rsid w:val="00DB6D0A"/>
    <w:rsid w:val="00DB755E"/>
    <w:rsid w:val="00DB7B0C"/>
    <w:rsid w:val="00DB7DAA"/>
    <w:rsid w:val="00DC06BE"/>
    <w:rsid w:val="00DC0F11"/>
    <w:rsid w:val="00DC1062"/>
    <w:rsid w:val="00DC1968"/>
    <w:rsid w:val="00DC1F0F"/>
    <w:rsid w:val="00DC262B"/>
    <w:rsid w:val="00DC3117"/>
    <w:rsid w:val="00DC3A3E"/>
    <w:rsid w:val="00DC4E2A"/>
    <w:rsid w:val="00DC5DD9"/>
    <w:rsid w:val="00DC6189"/>
    <w:rsid w:val="00DC6D2D"/>
    <w:rsid w:val="00DD00E1"/>
    <w:rsid w:val="00DD0E9F"/>
    <w:rsid w:val="00DD195A"/>
    <w:rsid w:val="00DD2178"/>
    <w:rsid w:val="00DD2561"/>
    <w:rsid w:val="00DD299B"/>
    <w:rsid w:val="00DD37D4"/>
    <w:rsid w:val="00DD4E59"/>
    <w:rsid w:val="00DD52DD"/>
    <w:rsid w:val="00DD542C"/>
    <w:rsid w:val="00DD5C9A"/>
    <w:rsid w:val="00DD607E"/>
    <w:rsid w:val="00DD65CE"/>
    <w:rsid w:val="00DD6D79"/>
    <w:rsid w:val="00DE0A02"/>
    <w:rsid w:val="00DE33B5"/>
    <w:rsid w:val="00DE3710"/>
    <w:rsid w:val="00DE5477"/>
    <w:rsid w:val="00DE5800"/>
    <w:rsid w:val="00DE5E18"/>
    <w:rsid w:val="00DE6E6C"/>
    <w:rsid w:val="00DE7493"/>
    <w:rsid w:val="00DE7E79"/>
    <w:rsid w:val="00DF0487"/>
    <w:rsid w:val="00DF0517"/>
    <w:rsid w:val="00DF06EF"/>
    <w:rsid w:val="00DF5EA4"/>
    <w:rsid w:val="00DF7252"/>
    <w:rsid w:val="00DF7A71"/>
    <w:rsid w:val="00DF7C55"/>
    <w:rsid w:val="00E00109"/>
    <w:rsid w:val="00E007ED"/>
    <w:rsid w:val="00E00EC5"/>
    <w:rsid w:val="00E01998"/>
    <w:rsid w:val="00E02681"/>
    <w:rsid w:val="00E02792"/>
    <w:rsid w:val="00E028C5"/>
    <w:rsid w:val="00E034D8"/>
    <w:rsid w:val="00E04072"/>
    <w:rsid w:val="00E04467"/>
    <w:rsid w:val="00E04CC0"/>
    <w:rsid w:val="00E055ED"/>
    <w:rsid w:val="00E0659F"/>
    <w:rsid w:val="00E067D2"/>
    <w:rsid w:val="00E06A32"/>
    <w:rsid w:val="00E11070"/>
    <w:rsid w:val="00E11135"/>
    <w:rsid w:val="00E128F4"/>
    <w:rsid w:val="00E136CD"/>
    <w:rsid w:val="00E139D0"/>
    <w:rsid w:val="00E14D35"/>
    <w:rsid w:val="00E14D55"/>
    <w:rsid w:val="00E14FF6"/>
    <w:rsid w:val="00E152A4"/>
    <w:rsid w:val="00E1543F"/>
    <w:rsid w:val="00E154B7"/>
    <w:rsid w:val="00E15816"/>
    <w:rsid w:val="00E160D5"/>
    <w:rsid w:val="00E17098"/>
    <w:rsid w:val="00E22B0B"/>
    <w:rsid w:val="00E236EE"/>
    <w:rsid w:val="00E239FF"/>
    <w:rsid w:val="00E2474F"/>
    <w:rsid w:val="00E24FCF"/>
    <w:rsid w:val="00E25A65"/>
    <w:rsid w:val="00E27D7B"/>
    <w:rsid w:val="00E30556"/>
    <w:rsid w:val="00E30981"/>
    <w:rsid w:val="00E310D3"/>
    <w:rsid w:val="00E33136"/>
    <w:rsid w:val="00E33515"/>
    <w:rsid w:val="00E34A55"/>
    <w:rsid w:val="00E34D7C"/>
    <w:rsid w:val="00E34DEA"/>
    <w:rsid w:val="00E36B08"/>
    <w:rsid w:val="00E3723D"/>
    <w:rsid w:val="00E37DEC"/>
    <w:rsid w:val="00E402BE"/>
    <w:rsid w:val="00E406CC"/>
    <w:rsid w:val="00E41C08"/>
    <w:rsid w:val="00E42A06"/>
    <w:rsid w:val="00E4441C"/>
    <w:rsid w:val="00E44C89"/>
    <w:rsid w:val="00E457A6"/>
    <w:rsid w:val="00E45F05"/>
    <w:rsid w:val="00E46CA8"/>
    <w:rsid w:val="00E473C5"/>
    <w:rsid w:val="00E479A1"/>
    <w:rsid w:val="00E50397"/>
    <w:rsid w:val="00E50581"/>
    <w:rsid w:val="00E53490"/>
    <w:rsid w:val="00E548EA"/>
    <w:rsid w:val="00E54F9E"/>
    <w:rsid w:val="00E550E1"/>
    <w:rsid w:val="00E57055"/>
    <w:rsid w:val="00E60B24"/>
    <w:rsid w:val="00E61BA2"/>
    <w:rsid w:val="00E62813"/>
    <w:rsid w:val="00E63864"/>
    <w:rsid w:val="00E63E0A"/>
    <w:rsid w:val="00E6403F"/>
    <w:rsid w:val="00E6443D"/>
    <w:rsid w:val="00E64602"/>
    <w:rsid w:val="00E67E03"/>
    <w:rsid w:val="00E703FE"/>
    <w:rsid w:val="00E70F60"/>
    <w:rsid w:val="00E74C27"/>
    <w:rsid w:val="00E75451"/>
    <w:rsid w:val="00E75EA9"/>
    <w:rsid w:val="00E76AD6"/>
    <w:rsid w:val="00E770C4"/>
    <w:rsid w:val="00E82751"/>
    <w:rsid w:val="00E83CEF"/>
    <w:rsid w:val="00E849A7"/>
    <w:rsid w:val="00E84C5A"/>
    <w:rsid w:val="00E861DB"/>
    <w:rsid w:val="00E86E4F"/>
    <w:rsid w:val="00E87BF8"/>
    <w:rsid w:val="00E908F1"/>
    <w:rsid w:val="00E9198F"/>
    <w:rsid w:val="00E91C70"/>
    <w:rsid w:val="00E93406"/>
    <w:rsid w:val="00E94547"/>
    <w:rsid w:val="00E94C65"/>
    <w:rsid w:val="00E956C5"/>
    <w:rsid w:val="00E95B44"/>
    <w:rsid w:val="00E95C39"/>
    <w:rsid w:val="00EA2C39"/>
    <w:rsid w:val="00EA350D"/>
    <w:rsid w:val="00EA46DB"/>
    <w:rsid w:val="00EB0A3C"/>
    <w:rsid w:val="00EB0A96"/>
    <w:rsid w:val="00EB0E37"/>
    <w:rsid w:val="00EB2A09"/>
    <w:rsid w:val="00EB3F77"/>
    <w:rsid w:val="00EB70CD"/>
    <w:rsid w:val="00EB77F9"/>
    <w:rsid w:val="00EB7ACC"/>
    <w:rsid w:val="00EB7B1D"/>
    <w:rsid w:val="00EC176F"/>
    <w:rsid w:val="00EC20E2"/>
    <w:rsid w:val="00EC344A"/>
    <w:rsid w:val="00EC3DCF"/>
    <w:rsid w:val="00EC4B17"/>
    <w:rsid w:val="00EC4F5D"/>
    <w:rsid w:val="00EC550A"/>
    <w:rsid w:val="00EC5769"/>
    <w:rsid w:val="00EC73A2"/>
    <w:rsid w:val="00EC772C"/>
    <w:rsid w:val="00EC787C"/>
    <w:rsid w:val="00EC79B5"/>
    <w:rsid w:val="00EC7D00"/>
    <w:rsid w:val="00EC7EDC"/>
    <w:rsid w:val="00ED0304"/>
    <w:rsid w:val="00ED0D3F"/>
    <w:rsid w:val="00ED1EB8"/>
    <w:rsid w:val="00ED1F6F"/>
    <w:rsid w:val="00ED3566"/>
    <w:rsid w:val="00ED3EBE"/>
    <w:rsid w:val="00ED406B"/>
    <w:rsid w:val="00ED4FF7"/>
    <w:rsid w:val="00ED5B7B"/>
    <w:rsid w:val="00ED7E3A"/>
    <w:rsid w:val="00EE0C6B"/>
    <w:rsid w:val="00EE38FA"/>
    <w:rsid w:val="00EE3E2C"/>
    <w:rsid w:val="00EE4055"/>
    <w:rsid w:val="00EE462B"/>
    <w:rsid w:val="00EE5D23"/>
    <w:rsid w:val="00EE750D"/>
    <w:rsid w:val="00EE7953"/>
    <w:rsid w:val="00EE7E20"/>
    <w:rsid w:val="00EF34C4"/>
    <w:rsid w:val="00EF3CA4"/>
    <w:rsid w:val="00EF49A8"/>
    <w:rsid w:val="00EF5AF9"/>
    <w:rsid w:val="00EF6DBC"/>
    <w:rsid w:val="00EF7859"/>
    <w:rsid w:val="00F014DA"/>
    <w:rsid w:val="00F02591"/>
    <w:rsid w:val="00F02DED"/>
    <w:rsid w:val="00F042AC"/>
    <w:rsid w:val="00F052EC"/>
    <w:rsid w:val="00F07290"/>
    <w:rsid w:val="00F07B65"/>
    <w:rsid w:val="00F10638"/>
    <w:rsid w:val="00F11368"/>
    <w:rsid w:val="00F11D26"/>
    <w:rsid w:val="00F11F52"/>
    <w:rsid w:val="00F12F1A"/>
    <w:rsid w:val="00F13987"/>
    <w:rsid w:val="00F149EE"/>
    <w:rsid w:val="00F15BEA"/>
    <w:rsid w:val="00F210FA"/>
    <w:rsid w:val="00F229C4"/>
    <w:rsid w:val="00F22C9A"/>
    <w:rsid w:val="00F22E07"/>
    <w:rsid w:val="00F23728"/>
    <w:rsid w:val="00F272EA"/>
    <w:rsid w:val="00F30AE1"/>
    <w:rsid w:val="00F31E87"/>
    <w:rsid w:val="00F35B69"/>
    <w:rsid w:val="00F36949"/>
    <w:rsid w:val="00F41087"/>
    <w:rsid w:val="00F422C1"/>
    <w:rsid w:val="00F43199"/>
    <w:rsid w:val="00F45E4E"/>
    <w:rsid w:val="00F461A7"/>
    <w:rsid w:val="00F467EC"/>
    <w:rsid w:val="00F476B4"/>
    <w:rsid w:val="00F47A1F"/>
    <w:rsid w:val="00F52221"/>
    <w:rsid w:val="00F536C0"/>
    <w:rsid w:val="00F53D8B"/>
    <w:rsid w:val="00F546CA"/>
    <w:rsid w:val="00F54ADF"/>
    <w:rsid w:val="00F568CA"/>
    <w:rsid w:val="00F5694E"/>
    <w:rsid w:val="00F5696E"/>
    <w:rsid w:val="00F56D85"/>
    <w:rsid w:val="00F57348"/>
    <w:rsid w:val="00F60EFF"/>
    <w:rsid w:val="00F615BC"/>
    <w:rsid w:val="00F64FA5"/>
    <w:rsid w:val="00F65586"/>
    <w:rsid w:val="00F67D2D"/>
    <w:rsid w:val="00F70EFC"/>
    <w:rsid w:val="00F73CB1"/>
    <w:rsid w:val="00F74006"/>
    <w:rsid w:val="00F7425D"/>
    <w:rsid w:val="00F74273"/>
    <w:rsid w:val="00F74A23"/>
    <w:rsid w:val="00F76AE9"/>
    <w:rsid w:val="00F77D5C"/>
    <w:rsid w:val="00F8494D"/>
    <w:rsid w:val="00F858F2"/>
    <w:rsid w:val="00F860CC"/>
    <w:rsid w:val="00F93E71"/>
    <w:rsid w:val="00F94398"/>
    <w:rsid w:val="00F96702"/>
    <w:rsid w:val="00FA06B7"/>
    <w:rsid w:val="00FA151B"/>
    <w:rsid w:val="00FA2DF3"/>
    <w:rsid w:val="00FA3B3E"/>
    <w:rsid w:val="00FA579F"/>
    <w:rsid w:val="00FA62F5"/>
    <w:rsid w:val="00FA6384"/>
    <w:rsid w:val="00FA65D0"/>
    <w:rsid w:val="00FA6C4A"/>
    <w:rsid w:val="00FA7F47"/>
    <w:rsid w:val="00FB1C07"/>
    <w:rsid w:val="00FB2B56"/>
    <w:rsid w:val="00FB2F9D"/>
    <w:rsid w:val="00FB3597"/>
    <w:rsid w:val="00FB3BAB"/>
    <w:rsid w:val="00FB421D"/>
    <w:rsid w:val="00FB546E"/>
    <w:rsid w:val="00FB55D5"/>
    <w:rsid w:val="00FB56FB"/>
    <w:rsid w:val="00FB7050"/>
    <w:rsid w:val="00FC12BF"/>
    <w:rsid w:val="00FC14AF"/>
    <w:rsid w:val="00FC1C1E"/>
    <w:rsid w:val="00FC2C60"/>
    <w:rsid w:val="00FC2CBB"/>
    <w:rsid w:val="00FC36F0"/>
    <w:rsid w:val="00FC3C7C"/>
    <w:rsid w:val="00FC3E5E"/>
    <w:rsid w:val="00FC4343"/>
    <w:rsid w:val="00FC4B23"/>
    <w:rsid w:val="00FC5984"/>
    <w:rsid w:val="00FC76F5"/>
    <w:rsid w:val="00FC7A11"/>
    <w:rsid w:val="00FC7E1D"/>
    <w:rsid w:val="00FD1179"/>
    <w:rsid w:val="00FD2204"/>
    <w:rsid w:val="00FD3E6F"/>
    <w:rsid w:val="00FD51B9"/>
    <w:rsid w:val="00FD5446"/>
    <w:rsid w:val="00FD5849"/>
    <w:rsid w:val="00FD5ABC"/>
    <w:rsid w:val="00FE03E4"/>
    <w:rsid w:val="00FE0439"/>
    <w:rsid w:val="00FE23AD"/>
    <w:rsid w:val="00FE2A39"/>
    <w:rsid w:val="00FE3D8D"/>
    <w:rsid w:val="00FE4F68"/>
    <w:rsid w:val="00FE5107"/>
    <w:rsid w:val="00FE73C2"/>
    <w:rsid w:val="00FF04FE"/>
    <w:rsid w:val="00FF2916"/>
    <w:rsid w:val="00FF39CF"/>
    <w:rsid w:val="00FF5B52"/>
    <w:rsid w:val="00FF6B1C"/>
    <w:rsid w:val="00FF6F32"/>
    <w:rsid w:val="00FF7159"/>
    <w:rsid w:val="00FF7580"/>
    <w:rsid w:val="00FF792F"/>
    <w:rsid w:val="00FF7A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0C9F6"/>
  <w14:defaultImageDpi w14:val="330"/>
  <w15:docId w15:val="{B790BB2D-4E6B-4D19-B804-034E001B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1F2C24"/>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table" w:styleId="PlainTable4">
    <w:name w:val="Plain Table 4"/>
    <w:basedOn w:val="TableNormal"/>
    <w:uiPriority w:val="44"/>
    <w:rsid w:val="00482D1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632F1"/>
    <w:pPr>
      <w:spacing w:after="0"/>
    </w:pPr>
    <w:rPr>
      <w:sz w:val="20"/>
      <w:szCs w:val="20"/>
    </w:rPr>
  </w:style>
  <w:style w:type="character" w:customStyle="1" w:styleId="FootnoteTextChar">
    <w:name w:val="Footnote Text Char"/>
    <w:basedOn w:val="DefaultParagraphFont"/>
    <w:link w:val="FootnoteText"/>
    <w:uiPriority w:val="99"/>
    <w:semiHidden/>
    <w:rsid w:val="007632F1"/>
    <w:rPr>
      <w:rFonts w:ascii="Lato" w:hAnsi="Lato"/>
      <w:sz w:val="20"/>
      <w:szCs w:val="20"/>
    </w:rPr>
  </w:style>
  <w:style w:type="character" w:styleId="FootnoteReference">
    <w:name w:val="footnote reference"/>
    <w:basedOn w:val="DefaultParagraphFont"/>
    <w:uiPriority w:val="99"/>
    <w:semiHidden/>
    <w:unhideWhenUsed/>
    <w:rsid w:val="007632F1"/>
    <w:rPr>
      <w:vertAlign w:val="superscript"/>
    </w:rPr>
  </w:style>
  <w:style w:type="character" w:styleId="CommentReference">
    <w:name w:val="annotation reference"/>
    <w:basedOn w:val="DefaultParagraphFont"/>
    <w:uiPriority w:val="99"/>
    <w:semiHidden/>
    <w:unhideWhenUsed/>
    <w:rsid w:val="00F422C1"/>
    <w:rPr>
      <w:sz w:val="16"/>
      <w:szCs w:val="16"/>
    </w:rPr>
  </w:style>
  <w:style w:type="paragraph" w:styleId="CommentText">
    <w:name w:val="annotation text"/>
    <w:basedOn w:val="Normal"/>
    <w:link w:val="CommentTextChar"/>
    <w:uiPriority w:val="99"/>
    <w:semiHidden/>
    <w:unhideWhenUsed/>
    <w:rsid w:val="00F422C1"/>
    <w:rPr>
      <w:sz w:val="20"/>
      <w:szCs w:val="20"/>
    </w:rPr>
  </w:style>
  <w:style w:type="character" w:customStyle="1" w:styleId="CommentTextChar">
    <w:name w:val="Comment Text Char"/>
    <w:basedOn w:val="DefaultParagraphFont"/>
    <w:link w:val="CommentText"/>
    <w:uiPriority w:val="99"/>
    <w:semiHidden/>
    <w:rsid w:val="00F422C1"/>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422C1"/>
    <w:rPr>
      <w:b/>
      <w:bCs/>
    </w:rPr>
  </w:style>
  <w:style w:type="character" w:customStyle="1" w:styleId="CommentSubjectChar">
    <w:name w:val="Comment Subject Char"/>
    <w:basedOn w:val="CommentTextChar"/>
    <w:link w:val="CommentSubject"/>
    <w:uiPriority w:val="99"/>
    <w:semiHidden/>
    <w:rsid w:val="00F422C1"/>
    <w:rPr>
      <w:rFonts w:ascii="Lato" w:hAnsi="Lato"/>
      <w:b/>
      <w:bCs/>
      <w:sz w:val="20"/>
      <w:szCs w:val="20"/>
    </w:rPr>
  </w:style>
  <w:style w:type="paragraph" w:styleId="Revision">
    <w:name w:val="Revision"/>
    <w:hidden/>
    <w:uiPriority w:val="99"/>
    <w:semiHidden/>
    <w:rsid w:val="00632449"/>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3185">
      <w:bodyDiv w:val="1"/>
      <w:marLeft w:val="0"/>
      <w:marRight w:val="0"/>
      <w:marTop w:val="0"/>
      <w:marBottom w:val="0"/>
      <w:divBdr>
        <w:top w:val="none" w:sz="0" w:space="0" w:color="auto"/>
        <w:left w:val="none" w:sz="0" w:space="0" w:color="auto"/>
        <w:bottom w:val="none" w:sz="0" w:space="0" w:color="auto"/>
        <w:right w:val="none" w:sz="0" w:space="0" w:color="auto"/>
      </w:divBdr>
    </w:div>
    <w:div w:id="35932648">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657989">
      <w:bodyDiv w:val="1"/>
      <w:marLeft w:val="0"/>
      <w:marRight w:val="0"/>
      <w:marTop w:val="0"/>
      <w:marBottom w:val="0"/>
      <w:divBdr>
        <w:top w:val="none" w:sz="0" w:space="0" w:color="auto"/>
        <w:left w:val="none" w:sz="0" w:space="0" w:color="auto"/>
        <w:bottom w:val="none" w:sz="0" w:space="0" w:color="auto"/>
        <w:right w:val="none" w:sz="0" w:space="0" w:color="auto"/>
      </w:divBdr>
    </w:div>
    <w:div w:id="322197383">
      <w:bodyDiv w:val="1"/>
      <w:marLeft w:val="0"/>
      <w:marRight w:val="0"/>
      <w:marTop w:val="0"/>
      <w:marBottom w:val="0"/>
      <w:divBdr>
        <w:top w:val="none" w:sz="0" w:space="0" w:color="auto"/>
        <w:left w:val="none" w:sz="0" w:space="0" w:color="auto"/>
        <w:bottom w:val="none" w:sz="0" w:space="0" w:color="auto"/>
        <w:right w:val="none" w:sz="0" w:space="0" w:color="auto"/>
      </w:divBdr>
    </w:div>
    <w:div w:id="515384822">
      <w:bodyDiv w:val="1"/>
      <w:marLeft w:val="0"/>
      <w:marRight w:val="0"/>
      <w:marTop w:val="0"/>
      <w:marBottom w:val="0"/>
      <w:divBdr>
        <w:top w:val="none" w:sz="0" w:space="0" w:color="auto"/>
        <w:left w:val="none" w:sz="0" w:space="0" w:color="auto"/>
        <w:bottom w:val="none" w:sz="0" w:space="0" w:color="auto"/>
        <w:right w:val="none" w:sz="0" w:space="0" w:color="auto"/>
      </w:divBdr>
    </w:div>
    <w:div w:id="643389988">
      <w:bodyDiv w:val="1"/>
      <w:marLeft w:val="0"/>
      <w:marRight w:val="0"/>
      <w:marTop w:val="0"/>
      <w:marBottom w:val="0"/>
      <w:divBdr>
        <w:top w:val="none" w:sz="0" w:space="0" w:color="auto"/>
        <w:left w:val="none" w:sz="0" w:space="0" w:color="auto"/>
        <w:bottom w:val="none" w:sz="0" w:space="0" w:color="auto"/>
        <w:right w:val="none" w:sz="0" w:space="0" w:color="auto"/>
      </w:divBdr>
    </w:div>
    <w:div w:id="662395597">
      <w:bodyDiv w:val="1"/>
      <w:marLeft w:val="0"/>
      <w:marRight w:val="0"/>
      <w:marTop w:val="0"/>
      <w:marBottom w:val="0"/>
      <w:divBdr>
        <w:top w:val="none" w:sz="0" w:space="0" w:color="auto"/>
        <w:left w:val="none" w:sz="0" w:space="0" w:color="auto"/>
        <w:bottom w:val="none" w:sz="0" w:space="0" w:color="auto"/>
        <w:right w:val="none" w:sz="0" w:space="0" w:color="auto"/>
      </w:divBdr>
    </w:div>
    <w:div w:id="881551336">
      <w:bodyDiv w:val="1"/>
      <w:marLeft w:val="0"/>
      <w:marRight w:val="0"/>
      <w:marTop w:val="0"/>
      <w:marBottom w:val="0"/>
      <w:divBdr>
        <w:top w:val="none" w:sz="0" w:space="0" w:color="auto"/>
        <w:left w:val="none" w:sz="0" w:space="0" w:color="auto"/>
        <w:bottom w:val="none" w:sz="0" w:space="0" w:color="auto"/>
        <w:right w:val="none" w:sz="0" w:space="0" w:color="auto"/>
      </w:divBdr>
    </w:div>
    <w:div w:id="1014839982">
      <w:bodyDiv w:val="1"/>
      <w:marLeft w:val="0"/>
      <w:marRight w:val="0"/>
      <w:marTop w:val="0"/>
      <w:marBottom w:val="0"/>
      <w:divBdr>
        <w:top w:val="none" w:sz="0" w:space="0" w:color="auto"/>
        <w:left w:val="none" w:sz="0" w:space="0" w:color="auto"/>
        <w:bottom w:val="none" w:sz="0" w:space="0" w:color="auto"/>
        <w:right w:val="none" w:sz="0" w:space="0" w:color="auto"/>
      </w:divBdr>
    </w:div>
    <w:div w:id="1014845395">
      <w:bodyDiv w:val="1"/>
      <w:marLeft w:val="0"/>
      <w:marRight w:val="0"/>
      <w:marTop w:val="0"/>
      <w:marBottom w:val="0"/>
      <w:divBdr>
        <w:top w:val="none" w:sz="0" w:space="0" w:color="auto"/>
        <w:left w:val="none" w:sz="0" w:space="0" w:color="auto"/>
        <w:bottom w:val="none" w:sz="0" w:space="0" w:color="auto"/>
        <w:right w:val="none" w:sz="0" w:space="0" w:color="auto"/>
      </w:divBdr>
    </w:div>
    <w:div w:id="1113406973">
      <w:bodyDiv w:val="1"/>
      <w:marLeft w:val="0"/>
      <w:marRight w:val="0"/>
      <w:marTop w:val="0"/>
      <w:marBottom w:val="0"/>
      <w:divBdr>
        <w:top w:val="none" w:sz="0" w:space="0" w:color="auto"/>
        <w:left w:val="none" w:sz="0" w:space="0" w:color="auto"/>
        <w:bottom w:val="none" w:sz="0" w:space="0" w:color="auto"/>
        <w:right w:val="none" w:sz="0" w:space="0" w:color="auto"/>
      </w:divBdr>
    </w:div>
    <w:div w:id="1130591392">
      <w:bodyDiv w:val="1"/>
      <w:marLeft w:val="0"/>
      <w:marRight w:val="0"/>
      <w:marTop w:val="0"/>
      <w:marBottom w:val="0"/>
      <w:divBdr>
        <w:top w:val="none" w:sz="0" w:space="0" w:color="auto"/>
        <w:left w:val="none" w:sz="0" w:space="0" w:color="auto"/>
        <w:bottom w:val="none" w:sz="0" w:space="0" w:color="auto"/>
        <w:right w:val="none" w:sz="0" w:space="0" w:color="auto"/>
      </w:divBdr>
    </w:div>
    <w:div w:id="1157720796">
      <w:bodyDiv w:val="1"/>
      <w:marLeft w:val="0"/>
      <w:marRight w:val="0"/>
      <w:marTop w:val="0"/>
      <w:marBottom w:val="0"/>
      <w:divBdr>
        <w:top w:val="none" w:sz="0" w:space="0" w:color="auto"/>
        <w:left w:val="none" w:sz="0" w:space="0" w:color="auto"/>
        <w:bottom w:val="none" w:sz="0" w:space="0" w:color="auto"/>
        <w:right w:val="none" w:sz="0" w:space="0" w:color="auto"/>
      </w:divBdr>
    </w:div>
    <w:div w:id="1260066482">
      <w:bodyDiv w:val="1"/>
      <w:marLeft w:val="0"/>
      <w:marRight w:val="0"/>
      <w:marTop w:val="0"/>
      <w:marBottom w:val="0"/>
      <w:divBdr>
        <w:top w:val="none" w:sz="0" w:space="0" w:color="auto"/>
        <w:left w:val="none" w:sz="0" w:space="0" w:color="auto"/>
        <w:bottom w:val="none" w:sz="0" w:space="0" w:color="auto"/>
        <w:right w:val="none" w:sz="0" w:space="0" w:color="auto"/>
      </w:divBdr>
    </w:div>
    <w:div w:id="1278223381">
      <w:bodyDiv w:val="1"/>
      <w:marLeft w:val="0"/>
      <w:marRight w:val="0"/>
      <w:marTop w:val="0"/>
      <w:marBottom w:val="0"/>
      <w:divBdr>
        <w:top w:val="none" w:sz="0" w:space="0" w:color="auto"/>
        <w:left w:val="none" w:sz="0" w:space="0" w:color="auto"/>
        <w:bottom w:val="none" w:sz="0" w:space="0" w:color="auto"/>
        <w:right w:val="none" w:sz="0" w:space="0" w:color="auto"/>
      </w:divBdr>
    </w:div>
    <w:div w:id="1331443788">
      <w:bodyDiv w:val="1"/>
      <w:marLeft w:val="0"/>
      <w:marRight w:val="0"/>
      <w:marTop w:val="0"/>
      <w:marBottom w:val="0"/>
      <w:divBdr>
        <w:top w:val="none" w:sz="0" w:space="0" w:color="auto"/>
        <w:left w:val="none" w:sz="0" w:space="0" w:color="auto"/>
        <w:bottom w:val="none" w:sz="0" w:space="0" w:color="auto"/>
        <w:right w:val="none" w:sz="0" w:space="0" w:color="auto"/>
      </w:divBdr>
    </w:div>
    <w:div w:id="1512261896">
      <w:bodyDiv w:val="1"/>
      <w:marLeft w:val="0"/>
      <w:marRight w:val="0"/>
      <w:marTop w:val="0"/>
      <w:marBottom w:val="0"/>
      <w:divBdr>
        <w:top w:val="none" w:sz="0" w:space="0" w:color="auto"/>
        <w:left w:val="none" w:sz="0" w:space="0" w:color="auto"/>
        <w:bottom w:val="none" w:sz="0" w:space="0" w:color="auto"/>
        <w:right w:val="none" w:sz="0" w:space="0" w:color="auto"/>
      </w:divBdr>
    </w:div>
    <w:div w:id="1698039390">
      <w:bodyDiv w:val="1"/>
      <w:marLeft w:val="0"/>
      <w:marRight w:val="0"/>
      <w:marTop w:val="0"/>
      <w:marBottom w:val="0"/>
      <w:divBdr>
        <w:top w:val="none" w:sz="0" w:space="0" w:color="auto"/>
        <w:left w:val="none" w:sz="0" w:space="0" w:color="auto"/>
        <w:bottom w:val="none" w:sz="0" w:space="0" w:color="auto"/>
        <w:right w:val="none" w:sz="0" w:space="0" w:color="auto"/>
      </w:divBdr>
    </w:div>
    <w:div w:id="171549717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1562699">
      <w:bodyDiv w:val="1"/>
      <w:marLeft w:val="0"/>
      <w:marRight w:val="0"/>
      <w:marTop w:val="0"/>
      <w:marBottom w:val="0"/>
      <w:divBdr>
        <w:top w:val="none" w:sz="0" w:space="0" w:color="auto"/>
        <w:left w:val="none" w:sz="0" w:space="0" w:color="auto"/>
        <w:bottom w:val="none" w:sz="0" w:space="0" w:color="auto"/>
        <w:right w:val="none" w:sz="0" w:space="0" w:color="auto"/>
      </w:divBdr>
    </w:div>
    <w:div w:id="1788739780">
      <w:bodyDiv w:val="1"/>
      <w:marLeft w:val="0"/>
      <w:marRight w:val="0"/>
      <w:marTop w:val="0"/>
      <w:marBottom w:val="0"/>
      <w:divBdr>
        <w:top w:val="none" w:sz="0" w:space="0" w:color="auto"/>
        <w:left w:val="none" w:sz="0" w:space="0" w:color="auto"/>
        <w:bottom w:val="none" w:sz="0" w:space="0" w:color="auto"/>
        <w:right w:val="none" w:sz="0" w:space="0" w:color="auto"/>
      </w:divBdr>
    </w:div>
    <w:div w:id="1797016855">
      <w:bodyDiv w:val="1"/>
      <w:marLeft w:val="0"/>
      <w:marRight w:val="0"/>
      <w:marTop w:val="0"/>
      <w:marBottom w:val="0"/>
      <w:divBdr>
        <w:top w:val="none" w:sz="0" w:space="0" w:color="auto"/>
        <w:left w:val="none" w:sz="0" w:space="0" w:color="auto"/>
        <w:bottom w:val="none" w:sz="0" w:space="0" w:color="auto"/>
        <w:right w:val="none" w:sz="0" w:space="0" w:color="auto"/>
      </w:divBdr>
    </w:div>
    <w:div w:id="2013792934">
      <w:bodyDiv w:val="1"/>
      <w:marLeft w:val="0"/>
      <w:marRight w:val="0"/>
      <w:marTop w:val="0"/>
      <w:marBottom w:val="0"/>
      <w:divBdr>
        <w:top w:val="none" w:sz="0" w:space="0" w:color="auto"/>
        <w:left w:val="none" w:sz="0" w:space="0" w:color="auto"/>
        <w:bottom w:val="none" w:sz="0" w:space="0" w:color="auto"/>
        <w:right w:val="none" w:sz="0" w:space="0" w:color="auto"/>
      </w:divBdr>
    </w:div>
    <w:div w:id="2015330057">
      <w:bodyDiv w:val="1"/>
      <w:marLeft w:val="0"/>
      <w:marRight w:val="0"/>
      <w:marTop w:val="0"/>
      <w:marBottom w:val="0"/>
      <w:divBdr>
        <w:top w:val="none" w:sz="0" w:space="0" w:color="auto"/>
        <w:left w:val="none" w:sz="0" w:space="0" w:color="auto"/>
        <w:bottom w:val="none" w:sz="0" w:space="0" w:color="auto"/>
        <w:right w:val="none" w:sz="0" w:space="0" w:color="auto"/>
      </w:divBdr>
    </w:div>
    <w:div w:id="2036225730">
      <w:bodyDiv w:val="1"/>
      <w:marLeft w:val="0"/>
      <w:marRight w:val="0"/>
      <w:marTop w:val="0"/>
      <w:marBottom w:val="0"/>
      <w:divBdr>
        <w:top w:val="none" w:sz="0" w:space="0" w:color="auto"/>
        <w:left w:val="none" w:sz="0" w:space="0" w:color="auto"/>
        <w:bottom w:val="none" w:sz="0" w:space="0" w:color="auto"/>
        <w:right w:val="none" w:sz="0" w:space="0" w:color="auto"/>
      </w:divBdr>
    </w:div>
    <w:div w:id="205006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965264-E307-4D4C-A9E8-6A709F57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2</Pages>
  <Words>1054</Words>
  <Characters>5366</Characters>
  <Application>Microsoft Office Word</Application>
  <DocSecurity>0</DocSecurity>
  <Lines>412</Lines>
  <Paragraphs>320</Paragraphs>
  <ScaleCrop>false</ScaleCrop>
  <HeadingPairs>
    <vt:vector size="2" baseType="variant">
      <vt:variant>
        <vt:lpstr>Title</vt:lpstr>
      </vt:variant>
      <vt:variant>
        <vt:i4>1</vt:i4>
      </vt:variant>
    </vt:vector>
  </HeadingPairs>
  <TitlesOfParts>
    <vt:vector size="1" baseType="lpstr">
      <vt:lpstr>State of the Economy – December Q 2023</vt:lpstr>
    </vt:vector>
  </TitlesOfParts>
  <Company>Industry, Tourism and Trade</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Economy – December Q 2023</dc:title>
  <dc:creator>NorthernTerritoryGovernment@ntgov.onmicrosoft.com</dc:creator>
  <cp:lastModifiedBy>Andrea Ruske</cp:lastModifiedBy>
  <cp:revision>152</cp:revision>
  <cp:lastPrinted>2024-03-25T06:04:00Z</cp:lastPrinted>
  <dcterms:created xsi:type="dcterms:W3CDTF">2024-03-15T02:44:00Z</dcterms:created>
  <dcterms:modified xsi:type="dcterms:W3CDTF">2024-03-25T07:22:00Z</dcterms:modified>
</cp:coreProperties>
</file>