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533B2" w14:textId="77777777" w:rsidR="003C4941" w:rsidRDefault="00A7279C" w:rsidP="0008691E">
      <w:pPr>
        <w:pStyle w:val="Heading1"/>
        <w:spacing w:before="0" w:after="120"/>
        <w:rPr>
          <w:noProof/>
          <w:lang w:eastAsia="en-AU"/>
        </w:rPr>
      </w:pPr>
      <w:r>
        <w:rPr>
          <w:noProof/>
          <w:lang w:eastAsia="en-AU"/>
        </w:rPr>
        <w:t>Overview</w:t>
      </w:r>
    </w:p>
    <w:p w14:paraId="3EFD0B55" w14:textId="2EE364B9" w:rsidR="00B74CA2" w:rsidRDefault="004E142F" w:rsidP="00DD607E">
      <w:pPr>
        <w:spacing w:after="120"/>
        <w:jc w:val="both"/>
        <w:rPr>
          <w:sz w:val="21"/>
          <w:szCs w:val="21"/>
        </w:rPr>
      </w:pPr>
      <w:r w:rsidRPr="00DD0E9F">
        <w:rPr>
          <w:sz w:val="21"/>
          <w:szCs w:val="21"/>
        </w:rPr>
        <w:t>State final demand increased by 2.7 per cent in the September quarter, for growth of 2.9 per cent over the year</w:t>
      </w:r>
      <w:r w:rsidR="00464495" w:rsidRPr="00DD0E9F">
        <w:rPr>
          <w:sz w:val="21"/>
          <w:szCs w:val="21"/>
        </w:rPr>
        <w:t>.</w:t>
      </w:r>
      <w:r w:rsidR="00DB3036" w:rsidRPr="00DD0E9F">
        <w:rPr>
          <w:sz w:val="21"/>
          <w:szCs w:val="21"/>
        </w:rPr>
        <w:t xml:space="preserve"> </w:t>
      </w:r>
      <w:r w:rsidR="005509A7" w:rsidRPr="00DD0E9F">
        <w:rPr>
          <w:sz w:val="21"/>
          <w:szCs w:val="21"/>
        </w:rPr>
        <w:t>Growth</w:t>
      </w:r>
      <w:r w:rsidR="00DB3036" w:rsidRPr="00DD0E9F">
        <w:rPr>
          <w:sz w:val="21"/>
          <w:szCs w:val="21"/>
        </w:rPr>
        <w:t xml:space="preserve"> in the quarter was largely due to </w:t>
      </w:r>
      <w:r w:rsidR="00C90A1F">
        <w:rPr>
          <w:sz w:val="21"/>
          <w:szCs w:val="21"/>
        </w:rPr>
        <w:t>stronger</w:t>
      </w:r>
      <w:r w:rsidR="00DB3036" w:rsidRPr="00DD0E9F">
        <w:rPr>
          <w:sz w:val="21"/>
          <w:szCs w:val="21"/>
        </w:rPr>
        <w:t xml:space="preserve"> government consumption, </w:t>
      </w:r>
      <w:r w:rsidR="00971767">
        <w:rPr>
          <w:sz w:val="21"/>
          <w:szCs w:val="21"/>
        </w:rPr>
        <w:t>with</w:t>
      </w:r>
      <w:r w:rsidR="00DB3036" w:rsidRPr="00DD0E9F">
        <w:rPr>
          <w:sz w:val="21"/>
          <w:szCs w:val="21"/>
        </w:rPr>
        <w:t xml:space="preserve"> private investment</w:t>
      </w:r>
      <w:r w:rsidR="005509A7" w:rsidRPr="00DD0E9F">
        <w:rPr>
          <w:sz w:val="21"/>
          <w:szCs w:val="21"/>
        </w:rPr>
        <w:t xml:space="preserve"> and consumption also </w:t>
      </w:r>
      <w:r w:rsidR="00971767">
        <w:rPr>
          <w:sz w:val="21"/>
          <w:szCs w:val="21"/>
        </w:rPr>
        <w:t>making</w:t>
      </w:r>
      <w:r w:rsidR="005509A7" w:rsidRPr="00DD0E9F">
        <w:rPr>
          <w:sz w:val="21"/>
          <w:szCs w:val="21"/>
        </w:rPr>
        <w:t xml:space="preserve"> contributions</w:t>
      </w:r>
      <w:r w:rsidR="00DB3036" w:rsidRPr="00DD0E9F">
        <w:rPr>
          <w:sz w:val="21"/>
          <w:szCs w:val="21"/>
        </w:rPr>
        <w:t>.</w:t>
      </w:r>
      <w:r w:rsidR="005509A7" w:rsidRPr="00DD0E9F">
        <w:rPr>
          <w:sz w:val="21"/>
          <w:szCs w:val="21"/>
        </w:rPr>
        <w:t xml:space="preserve"> Although quarterly growth was strong, annual growth continues to slow as the</w:t>
      </w:r>
      <w:r w:rsidR="00DD37D4">
        <w:rPr>
          <w:sz w:val="21"/>
          <w:szCs w:val="21"/>
        </w:rPr>
        <w:t xml:space="preserve"> effects of policy</w:t>
      </w:r>
      <w:r w:rsidR="005509A7" w:rsidRPr="00DD0E9F">
        <w:rPr>
          <w:sz w:val="21"/>
          <w:szCs w:val="21"/>
        </w:rPr>
        <w:t xml:space="preserve"> </w:t>
      </w:r>
      <w:r w:rsidR="00DD37D4">
        <w:rPr>
          <w:sz w:val="21"/>
          <w:szCs w:val="21"/>
        </w:rPr>
        <w:t xml:space="preserve">stimulus implemented during the COVID </w:t>
      </w:r>
      <w:r w:rsidR="005509A7" w:rsidRPr="00DD0E9F">
        <w:rPr>
          <w:sz w:val="21"/>
          <w:szCs w:val="21"/>
        </w:rPr>
        <w:t>period recede</w:t>
      </w:r>
      <w:r w:rsidR="00CA5C87">
        <w:rPr>
          <w:sz w:val="21"/>
          <w:szCs w:val="21"/>
        </w:rPr>
        <w:t xml:space="preserve"> (Graph 1</w:t>
      </w:r>
      <w:r w:rsidR="00B071F2">
        <w:rPr>
          <w:sz w:val="21"/>
          <w:szCs w:val="21"/>
        </w:rPr>
        <w:t>)</w:t>
      </w:r>
      <w:r w:rsidR="005509A7" w:rsidRPr="00DD0E9F">
        <w:rPr>
          <w:sz w:val="21"/>
          <w:szCs w:val="21"/>
        </w:rPr>
        <w:t>.</w:t>
      </w:r>
      <w:r w:rsidR="00DD0E9F">
        <w:rPr>
          <w:sz w:val="21"/>
          <w:szCs w:val="21"/>
        </w:rPr>
        <w:t xml:space="preserve"> </w:t>
      </w:r>
      <w:r w:rsidR="00782AF4">
        <w:rPr>
          <w:sz w:val="21"/>
          <w:szCs w:val="21"/>
        </w:rPr>
        <w:t xml:space="preserve">In particular, </w:t>
      </w:r>
      <w:r w:rsidR="007E1C62">
        <w:rPr>
          <w:sz w:val="21"/>
          <w:szCs w:val="21"/>
        </w:rPr>
        <w:t xml:space="preserve">household consumption has </w:t>
      </w:r>
      <w:r w:rsidR="00971767">
        <w:rPr>
          <w:sz w:val="21"/>
          <w:szCs w:val="21"/>
        </w:rPr>
        <w:t>been steady</w:t>
      </w:r>
      <w:r w:rsidR="007E1C62">
        <w:rPr>
          <w:sz w:val="21"/>
          <w:szCs w:val="21"/>
        </w:rPr>
        <w:t xml:space="preserve"> over the past year</w:t>
      </w:r>
      <w:r w:rsidR="00782AF4">
        <w:rPr>
          <w:sz w:val="21"/>
          <w:szCs w:val="21"/>
        </w:rPr>
        <w:t>,</w:t>
      </w:r>
      <w:r w:rsidR="007E1C62">
        <w:rPr>
          <w:sz w:val="21"/>
          <w:szCs w:val="21"/>
        </w:rPr>
        <w:t xml:space="preserve"> after </w:t>
      </w:r>
      <w:r w:rsidR="00782AF4">
        <w:rPr>
          <w:sz w:val="21"/>
          <w:szCs w:val="21"/>
        </w:rPr>
        <w:t>experiencing strong growth over</w:t>
      </w:r>
      <w:r w:rsidR="007E1C62">
        <w:rPr>
          <w:sz w:val="21"/>
          <w:szCs w:val="21"/>
        </w:rPr>
        <w:t xml:space="preserve"> 2020 and 2021.</w:t>
      </w:r>
      <w:r w:rsidR="00DD0E9F">
        <w:rPr>
          <w:sz w:val="21"/>
          <w:szCs w:val="21"/>
        </w:rPr>
        <w:t xml:space="preserve"> </w:t>
      </w:r>
    </w:p>
    <w:p w14:paraId="0CA8834A" w14:textId="04902FEC" w:rsidR="00B74CA2" w:rsidRDefault="00B70BEA" w:rsidP="00DD607E">
      <w:pPr>
        <w:spacing w:after="120"/>
        <w:jc w:val="both"/>
        <w:rPr>
          <w:sz w:val="21"/>
          <w:szCs w:val="21"/>
        </w:rPr>
      </w:pPr>
      <w:r>
        <w:rPr>
          <w:sz w:val="21"/>
          <w:szCs w:val="21"/>
        </w:rPr>
        <w:t xml:space="preserve">Other indicators </w:t>
      </w:r>
      <w:r w:rsidR="007E1C62">
        <w:rPr>
          <w:sz w:val="21"/>
          <w:szCs w:val="21"/>
        </w:rPr>
        <w:t xml:space="preserve">also </w:t>
      </w:r>
      <w:r w:rsidR="00782AF4">
        <w:rPr>
          <w:sz w:val="21"/>
          <w:szCs w:val="21"/>
        </w:rPr>
        <w:t>show</w:t>
      </w:r>
      <w:r w:rsidR="007E1C62">
        <w:rPr>
          <w:sz w:val="21"/>
          <w:szCs w:val="21"/>
        </w:rPr>
        <w:t xml:space="preserve"> that</w:t>
      </w:r>
      <w:r w:rsidR="00782AF4">
        <w:rPr>
          <w:sz w:val="21"/>
          <w:szCs w:val="21"/>
        </w:rPr>
        <w:t>,</w:t>
      </w:r>
      <w:r w:rsidR="007E1C62">
        <w:rPr>
          <w:sz w:val="21"/>
          <w:szCs w:val="21"/>
        </w:rPr>
        <w:t xml:space="preserve"> while </w:t>
      </w:r>
      <w:r>
        <w:rPr>
          <w:sz w:val="21"/>
          <w:szCs w:val="21"/>
        </w:rPr>
        <w:t xml:space="preserve">the level of </w:t>
      </w:r>
      <w:r w:rsidR="007E1C62">
        <w:rPr>
          <w:sz w:val="21"/>
          <w:szCs w:val="21"/>
        </w:rPr>
        <w:t xml:space="preserve">economic </w:t>
      </w:r>
      <w:r>
        <w:rPr>
          <w:sz w:val="21"/>
          <w:szCs w:val="21"/>
        </w:rPr>
        <w:t xml:space="preserve">activity remains high relative to pre-COVID levels, growth has slowed. </w:t>
      </w:r>
      <w:r w:rsidR="004D6986">
        <w:rPr>
          <w:sz w:val="21"/>
          <w:szCs w:val="21"/>
        </w:rPr>
        <w:t xml:space="preserve">Real retail sales are now 4 per cent below their December 2020 peak. Construction activity is around the same level it was a year ago, with increases in non-residential building (particularly from the public sector) offsetting </w:t>
      </w:r>
      <w:r w:rsidR="00CA5C87">
        <w:rPr>
          <w:sz w:val="21"/>
          <w:szCs w:val="21"/>
        </w:rPr>
        <w:t xml:space="preserve">small </w:t>
      </w:r>
      <w:r w:rsidR="004D6986">
        <w:rPr>
          <w:sz w:val="21"/>
          <w:szCs w:val="21"/>
        </w:rPr>
        <w:t>falls in engineering construction</w:t>
      </w:r>
      <w:r w:rsidR="00CA5C87">
        <w:rPr>
          <w:sz w:val="21"/>
          <w:szCs w:val="21"/>
        </w:rPr>
        <w:t xml:space="preserve"> (Graph 2)</w:t>
      </w:r>
      <w:r w:rsidR="004D6986">
        <w:rPr>
          <w:sz w:val="21"/>
          <w:szCs w:val="21"/>
        </w:rPr>
        <w:t>. Nevertheless, employment continues to increase, and is around 4 per cent</w:t>
      </w:r>
      <w:r w:rsidR="00CA5C87">
        <w:rPr>
          <w:sz w:val="21"/>
          <w:szCs w:val="21"/>
        </w:rPr>
        <w:t xml:space="preserve"> higher than a year ago (Graph 3</w:t>
      </w:r>
      <w:r w:rsidR="004D6986">
        <w:rPr>
          <w:sz w:val="21"/>
          <w:szCs w:val="21"/>
        </w:rPr>
        <w:t>).</w:t>
      </w:r>
    </w:p>
    <w:p w14:paraId="37C16555" w14:textId="2061C4D0" w:rsidR="00A7279C" w:rsidRDefault="00971767" w:rsidP="003B0FF0">
      <w:pPr>
        <w:spacing w:after="120"/>
        <w:jc w:val="both"/>
        <w:rPr>
          <w:sz w:val="21"/>
          <w:szCs w:val="21"/>
        </w:rPr>
      </w:pPr>
      <w:r>
        <w:rPr>
          <w:sz w:val="21"/>
          <w:szCs w:val="21"/>
        </w:rPr>
        <w:t>W</w:t>
      </w:r>
      <w:r w:rsidR="0038616F">
        <w:rPr>
          <w:sz w:val="21"/>
          <w:szCs w:val="21"/>
        </w:rPr>
        <w:t xml:space="preserve">ages growth continues to run below inflation, </w:t>
      </w:r>
      <w:r>
        <w:rPr>
          <w:sz w:val="21"/>
          <w:szCs w:val="21"/>
        </w:rPr>
        <w:t xml:space="preserve">but </w:t>
      </w:r>
      <w:r w:rsidR="0038616F">
        <w:rPr>
          <w:sz w:val="21"/>
          <w:szCs w:val="21"/>
        </w:rPr>
        <w:t>o</w:t>
      </w:r>
      <w:r w:rsidR="00AA4A64">
        <w:rPr>
          <w:sz w:val="21"/>
          <w:szCs w:val="21"/>
        </w:rPr>
        <w:t>ngoing labour market tightness has resulted in (nominal) private sector wages growth increasing to</w:t>
      </w:r>
      <w:r w:rsidR="00B8103F">
        <w:rPr>
          <w:sz w:val="21"/>
          <w:szCs w:val="21"/>
        </w:rPr>
        <w:t xml:space="preserve"> its highest level</w:t>
      </w:r>
      <w:r w:rsidR="00AA4A64">
        <w:rPr>
          <w:sz w:val="21"/>
          <w:szCs w:val="21"/>
        </w:rPr>
        <w:t xml:space="preserve"> since 2011 (Graph 4). </w:t>
      </w:r>
      <w:r w:rsidR="004D6986">
        <w:rPr>
          <w:sz w:val="21"/>
          <w:szCs w:val="21"/>
        </w:rPr>
        <w:t>Higher interest rates, intended to curb demand</w:t>
      </w:r>
      <w:r w:rsidR="00B8103F">
        <w:rPr>
          <w:sz w:val="21"/>
          <w:szCs w:val="21"/>
        </w:rPr>
        <w:t>,</w:t>
      </w:r>
      <w:r w:rsidR="004D6986">
        <w:rPr>
          <w:sz w:val="21"/>
          <w:szCs w:val="21"/>
        </w:rPr>
        <w:t xml:space="preserve"> will </w:t>
      </w:r>
      <w:r>
        <w:rPr>
          <w:sz w:val="21"/>
          <w:szCs w:val="21"/>
        </w:rPr>
        <w:t>impact</w:t>
      </w:r>
      <w:r w:rsidR="004D6986">
        <w:rPr>
          <w:sz w:val="21"/>
          <w:szCs w:val="21"/>
        </w:rPr>
        <w:t xml:space="preserve"> consumer spending </w:t>
      </w:r>
      <w:r w:rsidR="00B8103F">
        <w:rPr>
          <w:sz w:val="21"/>
          <w:szCs w:val="21"/>
        </w:rPr>
        <w:t xml:space="preserve">over the next year and could take some pressure off the labour market. However, </w:t>
      </w:r>
      <w:r w:rsidR="00AA4A64">
        <w:rPr>
          <w:sz w:val="21"/>
          <w:szCs w:val="21"/>
        </w:rPr>
        <w:t xml:space="preserve">the Territory is likely to continue to experience labour shortages </w:t>
      </w:r>
      <w:r w:rsidR="00B70BEA">
        <w:rPr>
          <w:sz w:val="21"/>
          <w:szCs w:val="21"/>
        </w:rPr>
        <w:t>in the short to medium term</w:t>
      </w:r>
      <w:r w:rsidR="00B8103F">
        <w:rPr>
          <w:sz w:val="21"/>
          <w:szCs w:val="21"/>
        </w:rPr>
        <w:t xml:space="preserve">, particularly </w:t>
      </w:r>
      <w:r>
        <w:rPr>
          <w:sz w:val="21"/>
          <w:szCs w:val="21"/>
        </w:rPr>
        <w:t>if</w:t>
      </w:r>
      <w:r w:rsidR="00B8103F">
        <w:rPr>
          <w:sz w:val="21"/>
          <w:szCs w:val="21"/>
        </w:rPr>
        <w:t xml:space="preserve"> projects in the investment pipeline commence construction</w:t>
      </w:r>
      <w:r w:rsidR="00B70BEA">
        <w:rPr>
          <w:sz w:val="21"/>
          <w:szCs w:val="21"/>
        </w:rPr>
        <w:t>.</w:t>
      </w:r>
      <w:r w:rsidR="00AA4A64">
        <w:rPr>
          <w:sz w:val="21"/>
          <w:szCs w:val="21"/>
        </w:rPr>
        <w:t xml:space="preserve">  </w:t>
      </w:r>
    </w:p>
    <w:tbl>
      <w:tblPr>
        <w:tblStyle w:val="NTGtable1"/>
        <w:tblW w:w="10489" w:type="dxa"/>
        <w:jc w:val="center"/>
        <w:tblLook w:val="04A0" w:firstRow="1" w:lastRow="0" w:firstColumn="1" w:lastColumn="0" w:noHBand="0" w:noVBand="1"/>
      </w:tblPr>
      <w:tblGrid>
        <w:gridCol w:w="3478"/>
        <w:gridCol w:w="985"/>
        <w:gridCol w:w="1124"/>
        <w:gridCol w:w="1126"/>
        <w:gridCol w:w="1126"/>
        <w:gridCol w:w="1117"/>
        <w:gridCol w:w="1533"/>
      </w:tblGrid>
      <w:tr w:rsidR="004F7E54" w:rsidRPr="00331475" w14:paraId="31063292" w14:textId="77777777" w:rsidTr="00992EB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478" w:type="dxa"/>
            <w:vAlign w:val="center"/>
          </w:tcPr>
          <w:p w14:paraId="1159313E" w14:textId="77777777" w:rsidR="004F7E54" w:rsidRPr="00331475" w:rsidRDefault="004F7E54" w:rsidP="009363D9">
            <w:pPr>
              <w:spacing w:after="40"/>
              <w:jc w:val="center"/>
              <w:rPr>
                <w:rFonts w:asciiTheme="minorHAnsi" w:hAnsiTheme="minorHAnsi"/>
                <w:sz w:val="20"/>
              </w:rPr>
            </w:pPr>
            <w:r w:rsidRPr="00331475">
              <w:rPr>
                <w:rFonts w:asciiTheme="minorHAnsi" w:hAnsiTheme="minorHAnsi"/>
                <w:sz w:val="20"/>
              </w:rPr>
              <w:t>Indicator</w:t>
            </w:r>
          </w:p>
        </w:tc>
        <w:tc>
          <w:tcPr>
            <w:tcW w:w="985" w:type="dxa"/>
            <w:vAlign w:val="center"/>
          </w:tcPr>
          <w:p w14:paraId="25C2D651"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Most recent</w:t>
            </w:r>
          </w:p>
        </w:tc>
        <w:tc>
          <w:tcPr>
            <w:tcW w:w="1124" w:type="dxa"/>
            <w:vAlign w:val="center"/>
          </w:tcPr>
          <w:p w14:paraId="3EA49D25"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Level</w:t>
            </w:r>
          </w:p>
        </w:tc>
        <w:tc>
          <w:tcPr>
            <w:tcW w:w="1126" w:type="dxa"/>
            <w:vAlign w:val="center"/>
          </w:tcPr>
          <w:p w14:paraId="4C2D655D"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Period change</w:t>
            </w:r>
            <w:r w:rsidRPr="00331475">
              <w:rPr>
                <w:rFonts w:asciiTheme="minorHAnsi" w:hAnsiTheme="minorHAnsi" w:cs="Calibri"/>
                <w:sz w:val="20"/>
              </w:rPr>
              <w:t>¹</w:t>
            </w:r>
          </w:p>
        </w:tc>
        <w:tc>
          <w:tcPr>
            <w:tcW w:w="1126" w:type="dxa"/>
            <w:vAlign w:val="center"/>
          </w:tcPr>
          <w:p w14:paraId="04968139"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Annual change</w:t>
            </w:r>
            <w:r w:rsidRPr="00331475">
              <w:rPr>
                <w:rFonts w:asciiTheme="minorHAnsi" w:hAnsiTheme="minorHAnsi" w:cs="Calibri"/>
                <w:sz w:val="20"/>
                <w:vertAlign w:val="superscript"/>
              </w:rPr>
              <w:t>2</w:t>
            </w:r>
          </w:p>
        </w:tc>
        <w:tc>
          <w:tcPr>
            <w:tcW w:w="1117" w:type="dxa"/>
            <w:vAlign w:val="center"/>
          </w:tcPr>
          <w:p w14:paraId="1CE8126B"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Year on Year</w:t>
            </w:r>
            <w:r w:rsidRPr="00331475">
              <w:rPr>
                <w:rFonts w:asciiTheme="minorHAnsi" w:hAnsiTheme="minorHAnsi" w:cs="Calibri"/>
                <w:sz w:val="20"/>
                <w:vertAlign w:val="superscript"/>
              </w:rPr>
              <w:t>3</w:t>
            </w:r>
          </w:p>
        </w:tc>
        <w:tc>
          <w:tcPr>
            <w:tcW w:w="1533" w:type="dxa"/>
            <w:vAlign w:val="center"/>
          </w:tcPr>
          <w:p w14:paraId="0E175AE1" w14:textId="77777777" w:rsidR="004F7E54" w:rsidRPr="00331475" w:rsidRDefault="004F7E54" w:rsidP="009363D9">
            <w:pPr>
              <w:spacing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sidRPr="00331475">
              <w:rPr>
                <w:rFonts w:asciiTheme="minorHAnsi" w:hAnsiTheme="minorHAnsi"/>
                <w:sz w:val="20"/>
              </w:rPr>
              <w:t>COVID period change</w:t>
            </w:r>
            <w:r w:rsidRPr="00331475">
              <w:rPr>
                <w:rFonts w:asciiTheme="minorHAnsi" w:hAnsiTheme="minorHAnsi"/>
                <w:sz w:val="20"/>
                <w:vertAlign w:val="superscript"/>
              </w:rPr>
              <w:t>4</w:t>
            </w:r>
          </w:p>
        </w:tc>
      </w:tr>
      <w:tr w:rsidR="004F7E54" w:rsidRPr="00331475" w14:paraId="62B537C3"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55CED3CB"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Economic Growth</w:t>
            </w:r>
          </w:p>
        </w:tc>
        <w:tc>
          <w:tcPr>
            <w:tcW w:w="985" w:type="dxa"/>
            <w:shd w:val="clear" w:color="auto" w:fill="D9D9D9" w:themeFill="background1" w:themeFillShade="D9"/>
          </w:tcPr>
          <w:p w14:paraId="7A9FFAE5"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24" w:type="dxa"/>
            <w:shd w:val="clear" w:color="auto" w:fill="D9D9D9" w:themeFill="background1" w:themeFillShade="D9"/>
          </w:tcPr>
          <w:p w14:paraId="66690F76"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26" w:type="dxa"/>
            <w:shd w:val="clear" w:color="auto" w:fill="D9D9D9" w:themeFill="background1" w:themeFillShade="D9"/>
          </w:tcPr>
          <w:p w14:paraId="67830DD6"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26" w:type="dxa"/>
            <w:shd w:val="clear" w:color="auto" w:fill="D9D9D9" w:themeFill="background1" w:themeFillShade="D9"/>
          </w:tcPr>
          <w:p w14:paraId="29B6C121"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117" w:type="dxa"/>
            <w:shd w:val="clear" w:color="auto" w:fill="D9D9D9" w:themeFill="background1" w:themeFillShade="D9"/>
          </w:tcPr>
          <w:p w14:paraId="631BE887"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533" w:type="dxa"/>
            <w:shd w:val="clear" w:color="auto" w:fill="D9D9D9" w:themeFill="background1" w:themeFillShade="D9"/>
            <w:vAlign w:val="center"/>
          </w:tcPr>
          <w:p w14:paraId="40B45F34" w14:textId="77777777" w:rsidR="004F7E54" w:rsidRPr="00331475" w:rsidRDefault="004F7E54" w:rsidP="000D503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3763FC" w:rsidRPr="00331475" w14:paraId="2FE16DFB"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5D2926EE"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State final demand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0EC7524E" w14:textId="196AB019"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Sep-22</w:t>
            </w:r>
          </w:p>
        </w:tc>
        <w:tc>
          <w:tcPr>
            <w:tcW w:w="1124" w:type="dxa"/>
            <w:shd w:val="clear" w:color="auto" w:fill="auto"/>
            <w:vAlign w:val="center"/>
          </w:tcPr>
          <w:p w14:paraId="0FAD25A6" w14:textId="6B4B67A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$7.1 b</w:t>
            </w:r>
          </w:p>
        </w:tc>
        <w:tc>
          <w:tcPr>
            <w:tcW w:w="1126" w:type="dxa"/>
            <w:shd w:val="clear" w:color="auto" w:fill="auto"/>
            <w:vAlign w:val="center"/>
          </w:tcPr>
          <w:p w14:paraId="008A0456" w14:textId="4E356C9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2.7%</w:t>
            </w:r>
          </w:p>
        </w:tc>
        <w:tc>
          <w:tcPr>
            <w:tcW w:w="1126" w:type="dxa"/>
            <w:shd w:val="clear" w:color="auto" w:fill="auto"/>
            <w:vAlign w:val="center"/>
          </w:tcPr>
          <w:p w14:paraId="49D4FF1B" w14:textId="15DA8B6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2.9%</w:t>
            </w:r>
          </w:p>
        </w:tc>
        <w:tc>
          <w:tcPr>
            <w:tcW w:w="1117" w:type="dxa"/>
            <w:shd w:val="clear" w:color="auto" w:fill="auto"/>
            <w:vAlign w:val="center"/>
          </w:tcPr>
          <w:p w14:paraId="0B4B7A91" w14:textId="46422851"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5.4%</w:t>
            </w:r>
          </w:p>
        </w:tc>
        <w:tc>
          <w:tcPr>
            <w:tcW w:w="1533" w:type="dxa"/>
            <w:shd w:val="clear" w:color="auto" w:fill="auto"/>
            <w:vAlign w:val="center"/>
          </w:tcPr>
          <w:p w14:paraId="69A9BDC0" w14:textId="0506B2C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18.4%</w:t>
            </w:r>
          </w:p>
        </w:tc>
      </w:tr>
      <w:tr w:rsidR="003763FC" w:rsidRPr="00331475" w14:paraId="228BC082"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7644F9FE"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Domestic final demand (</w:t>
            </w:r>
            <w:proofErr w:type="spellStart"/>
            <w:r w:rsidRPr="00331475">
              <w:rPr>
                <w:rFonts w:ascii="Calibri" w:hAnsi="Calibri" w:cs="Calibri"/>
                <w:i/>
                <w:iCs/>
                <w:color w:val="000000"/>
                <w:sz w:val="20"/>
              </w:rPr>
              <w:t>Aus</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4F376DDF" w14:textId="0BD2A8C5"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Sep-22</w:t>
            </w:r>
          </w:p>
        </w:tc>
        <w:tc>
          <w:tcPr>
            <w:tcW w:w="1124" w:type="dxa"/>
            <w:vAlign w:val="center"/>
          </w:tcPr>
          <w:p w14:paraId="1C7EF3BB" w14:textId="65F28187"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$536.9 b</w:t>
            </w:r>
          </w:p>
        </w:tc>
        <w:tc>
          <w:tcPr>
            <w:tcW w:w="1126" w:type="dxa"/>
            <w:vAlign w:val="center"/>
          </w:tcPr>
          <w:p w14:paraId="4D59201A" w14:textId="335376D3"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0.6%</w:t>
            </w:r>
          </w:p>
        </w:tc>
        <w:tc>
          <w:tcPr>
            <w:tcW w:w="1126" w:type="dxa"/>
            <w:vAlign w:val="center"/>
          </w:tcPr>
          <w:p w14:paraId="6F31771C" w14:textId="0901EE58"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6.9%</w:t>
            </w:r>
          </w:p>
        </w:tc>
        <w:tc>
          <w:tcPr>
            <w:tcW w:w="1117" w:type="dxa"/>
            <w:vAlign w:val="center"/>
          </w:tcPr>
          <w:p w14:paraId="57B35C11" w14:textId="5ECCE0ED"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5.4%</w:t>
            </w:r>
          </w:p>
        </w:tc>
        <w:tc>
          <w:tcPr>
            <w:tcW w:w="1533" w:type="dxa"/>
            <w:vAlign w:val="center"/>
          </w:tcPr>
          <w:p w14:paraId="16DFCB6D" w14:textId="7C44D568"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8.9%</w:t>
            </w:r>
          </w:p>
        </w:tc>
      </w:tr>
      <w:tr w:rsidR="003763FC" w:rsidRPr="00331475" w14:paraId="57B7F6CB"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6664FFA2" w14:textId="77777777" w:rsidR="003763FC" w:rsidRPr="00331475" w:rsidRDefault="003763FC" w:rsidP="003763FC">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shd w:val="clear" w:color="auto" w:fill="auto"/>
            <w:vAlign w:val="center"/>
          </w:tcPr>
          <w:p w14:paraId="4BAFE3D6" w14:textId="7D501DB6"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14:paraId="35C4577E" w14:textId="1C0475D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485D52F1" w14:textId="50368473"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3F43BD0B" w14:textId="259C5F9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14:paraId="24B83281" w14:textId="258F34DE"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14:paraId="49763ABB" w14:textId="54B857A3"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3763FC" w:rsidRPr="00331475" w14:paraId="34DF0667"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4783A1F0"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Gross state product (NT)</w:t>
            </w:r>
          </w:p>
        </w:tc>
        <w:tc>
          <w:tcPr>
            <w:tcW w:w="985" w:type="dxa"/>
            <w:vAlign w:val="center"/>
          </w:tcPr>
          <w:p w14:paraId="1FE84603" w14:textId="0499ED18"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2021-22</w:t>
            </w:r>
          </w:p>
        </w:tc>
        <w:tc>
          <w:tcPr>
            <w:tcW w:w="1124" w:type="dxa"/>
            <w:vAlign w:val="center"/>
          </w:tcPr>
          <w:p w14:paraId="2CD2A20E" w14:textId="6FF39722"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$26.1 b</w:t>
            </w:r>
          </w:p>
        </w:tc>
        <w:tc>
          <w:tcPr>
            <w:tcW w:w="1126" w:type="dxa"/>
            <w:vAlign w:val="center"/>
          </w:tcPr>
          <w:p w14:paraId="279FB912" w14:textId="059CC4CA"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126" w:type="dxa"/>
            <w:vAlign w:val="center"/>
          </w:tcPr>
          <w:p w14:paraId="358BB40B" w14:textId="39F3D626"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117" w:type="dxa"/>
            <w:vAlign w:val="center"/>
          </w:tcPr>
          <w:p w14:paraId="4B86CEEE" w14:textId="5F73E1F1"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w:t>
            </w:r>
          </w:p>
        </w:tc>
        <w:tc>
          <w:tcPr>
            <w:tcW w:w="1533" w:type="dxa"/>
            <w:vAlign w:val="center"/>
          </w:tcPr>
          <w:p w14:paraId="0DBD5E80" w14:textId="20DB98A8"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r>
      <w:tr w:rsidR="003763FC" w:rsidRPr="00331475" w14:paraId="6954DEE5"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6B057635"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Gross domestic product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w:t>
            </w:r>
          </w:p>
        </w:tc>
        <w:tc>
          <w:tcPr>
            <w:tcW w:w="985" w:type="dxa"/>
            <w:shd w:val="clear" w:color="auto" w:fill="auto"/>
            <w:vAlign w:val="center"/>
          </w:tcPr>
          <w:p w14:paraId="4B94B275" w14:textId="6A690909"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2021-22</w:t>
            </w:r>
          </w:p>
        </w:tc>
        <w:tc>
          <w:tcPr>
            <w:tcW w:w="1124" w:type="dxa"/>
            <w:shd w:val="clear" w:color="auto" w:fill="auto"/>
            <w:vAlign w:val="center"/>
          </w:tcPr>
          <w:p w14:paraId="228F1F3A" w14:textId="5C5B3FA6"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$2090.3 b</w:t>
            </w:r>
          </w:p>
        </w:tc>
        <w:tc>
          <w:tcPr>
            <w:tcW w:w="1126" w:type="dxa"/>
            <w:shd w:val="clear" w:color="auto" w:fill="auto"/>
            <w:vAlign w:val="center"/>
          </w:tcPr>
          <w:p w14:paraId="67ADBD0C" w14:textId="76D1C059"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126" w:type="dxa"/>
            <w:shd w:val="clear" w:color="auto" w:fill="auto"/>
            <w:vAlign w:val="center"/>
          </w:tcPr>
          <w:p w14:paraId="0F3A726B" w14:textId="3FB8B09B"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c>
          <w:tcPr>
            <w:tcW w:w="1117" w:type="dxa"/>
            <w:shd w:val="clear" w:color="auto" w:fill="auto"/>
            <w:vAlign w:val="center"/>
          </w:tcPr>
          <w:p w14:paraId="50442C6A" w14:textId="042656D5"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3.9%</w:t>
            </w:r>
          </w:p>
        </w:tc>
        <w:tc>
          <w:tcPr>
            <w:tcW w:w="1533" w:type="dxa"/>
            <w:shd w:val="clear" w:color="auto" w:fill="auto"/>
            <w:vAlign w:val="center"/>
          </w:tcPr>
          <w:p w14:paraId="6268CB87" w14:textId="5606915B"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roofErr w:type="spellStart"/>
            <w:r>
              <w:rPr>
                <w:rFonts w:ascii="Calibri" w:hAnsi="Calibri" w:cs="Calibri"/>
                <w:color w:val="000000"/>
                <w:sz w:val="20"/>
              </w:rPr>
              <w:t>na</w:t>
            </w:r>
            <w:proofErr w:type="spellEnd"/>
          </w:p>
        </w:tc>
      </w:tr>
      <w:tr w:rsidR="004F7E54" w:rsidRPr="00331475" w14:paraId="4AB58135"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77F7E3C2"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Partial Indicators</w:t>
            </w:r>
          </w:p>
        </w:tc>
        <w:tc>
          <w:tcPr>
            <w:tcW w:w="985" w:type="dxa"/>
            <w:shd w:val="clear" w:color="auto" w:fill="D9D9D9" w:themeFill="background1" w:themeFillShade="D9"/>
            <w:vAlign w:val="center"/>
          </w:tcPr>
          <w:p w14:paraId="7BE9913E"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4" w:type="dxa"/>
            <w:shd w:val="clear" w:color="auto" w:fill="D9D9D9" w:themeFill="background1" w:themeFillShade="D9"/>
            <w:vAlign w:val="center"/>
          </w:tcPr>
          <w:p w14:paraId="4A75FCD2"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2B70E386"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24D5605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17" w:type="dxa"/>
            <w:shd w:val="clear" w:color="auto" w:fill="D9D9D9" w:themeFill="background1" w:themeFillShade="D9"/>
            <w:vAlign w:val="center"/>
          </w:tcPr>
          <w:p w14:paraId="28DE19E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533" w:type="dxa"/>
            <w:shd w:val="clear" w:color="auto" w:fill="D9D9D9" w:themeFill="background1" w:themeFillShade="D9"/>
            <w:vAlign w:val="center"/>
          </w:tcPr>
          <w:p w14:paraId="6B94E8D7"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r>
      <w:tr w:rsidR="003763FC" w:rsidRPr="00331475" w14:paraId="30F57EF8"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302AA6E5"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Nominal retail sales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6F517475" w14:textId="6C3259B2"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Oct-22</w:t>
            </w:r>
          </w:p>
        </w:tc>
        <w:tc>
          <w:tcPr>
            <w:tcW w:w="1124" w:type="dxa"/>
            <w:shd w:val="clear" w:color="auto" w:fill="auto"/>
            <w:vAlign w:val="center"/>
          </w:tcPr>
          <w:p w14:paraId="22EDA178" w14:textId="5FF54F12"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$309.7 m</w:t>
            </w:r>
          </w:p>
        </w:tc>
        <w:tc>
          <w:tcPr>
            <w:tcW w:w="1126" w:type="dxa"/>
            <w:shd w:val="clear" w:color="auto" w:fill="auto"/>
            <w:vAlign w:val="center"/>
          </w:tcPr>
          <w:p w14:paraId="115840E7" w14:textId="23601370"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-1.8%</w:t>
            </w:r>
          </w:p>
        </w:tc>
        <w:tc>
          <w:tcPr>
            <w:tcW w:w="1126" w:type="dxa"/>
            <w:shd w:val="clear" w:color="auto" w:fill="auto"/>
            <w:vAlign w:val="center"/>
          </w:tcPr>
          <w:p w14:paraId="01BE9C43" w14:textId="384DA0EB"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c>
          <w:tcPr>
            <w:tcW w:w="1117" w:type="dxa"/>
            <w:shd w:val="clear" w:color="auto" w:fill="auto"/>
            <w:vAlign w:val="center"/>
          </w:tcPr>
          <w:p w14:paraId="087D6E9D" w14:textId="0346093B"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1.5%</w:t>
            </w:r>
          </w:p>
        </w:tc>
        <w:tc>
          <w:tcPr>
            <w:tcW w:w="1533" w:type="dxa"/>
            <w:shd w:val="clear" w:color="auto" w:fill="auto"/>
            <w:vAlign w:val="center"/>
          </w:tcPr>
          <w:p w14:paraId="4F094053" w14:textId="22ED062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18.9%</w:t>
            </w:r>
          </w:p>
        </w:tc>
      </w:tr>
      <w:tr w:rsidR="003763FC" w:rsidRPr="00331475" w14:paraId="13AF2B0F"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5514BDF1"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Nominal retail sales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17C7BC31" w14:textId="039309D9"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Oct-22</w:t>
            </w:r>
          </w:p>
        </w:tc>
        <w:tc>
          <w:tcPr>
            <w:tcW w:w="1124" w:type="dxa"/>
            <w:vAlign w:val="center"/>
          </w:tcPr>
          <w:p w14:paraId="648B5E05" w14:textId="44BC080F"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$35 b</w:t>
            </w:r>
          </w:p>
        </w:tc>
        <w:tc>
          <w:tcPr>
            <w:tcW w:w="1126" w:type="dxa"/>
            <w:vAlign w:val="center"/>
          </w:tcPr>
          <w:p w14:paraId="51A2C4D3" w14:textId="7049F4BD"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126" w:type="dxa"/>
            <w:vAlign w:val="center"/>
          </w:tcPr>
          <w:p w14:paraId="6C65B8C7" w14:textId="6AB3CC7A"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12.5%</w:t>
            </w:r>
          </w:p>
        </w:tc>
        <w:tc>
          <w:tcPr>
            <w:tcW w:w="1117" w:type="dxa"/>
            <w:vAlign w:val="center"/>
          </w:tcPr>
          <w:p w14:paraId="156E9A3D" w14:textId="5245E23D"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c>
          <w:tcPr>
            <w:tcW w:w="1533" w:type="dxa"/>
            <w:vAlign w:val="center"/>
          </w:tcPr>
          <w:p w14:paraId="4F1FD806" w14:textId="0792C5DA"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26.1%</w:t>
            </w:r>
          </w:p>
        </w:tc>
      </w:tr>
      <w:tr w:rsidR="003763FC" w:rsidRPr="00331475" w14:paraId="4476EC8B"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42139FDD" w14:textId="77777777" w:rsidR="003763FC" w:rsidRPr="00331475" w:rsidRDefault="003763FC" w:rsidP="003763FC">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shd w:val="clear" w:color="auto" w:fill="auto"/>
            <w:vAlign w:val="center"/>
          </w:tcPr>
          <w:p w14:paraId="05E8AAB8" w14:textId="00997BC5"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14:paraId="49EA089E" w14:textId="4C599217"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325982F2" w14:textId="5C727D37"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2F0146D2" w14:textId="74CE2E8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14:paraId="5F06B603" w14:textId="373E3AC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14:paraId="1F81751F" w14:textId="50D14179"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3763FC" w:rsidRPr="00331475" w14:paraId="3D4B7B8B"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215D78E0"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Construction work done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19F2DDD4" w14:textId="021997B4"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Sep-22</w:t>
            </w:r>
          </w:p>
        </w:tc>
        <w:tc>
          <w:tcPr>
            <w:tcW w:w="1124" w:type="dxa"/>
            <w:vAlign w:val="center"/>
          </w:tcPr>
          <w:p w14:paraId="1534C730" w14:textId="0FCC0029"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$689.5 m</w:t>
            </w:r>
          </w:p>
        </w:tc>
        <w:tc>
          <w:tcPr>
            <w:tcW w:w="1126" w:type="dxa"/>
            <w:vAlign w:val="center"/>
          </w:tcPr>
          <w:p w14:paraId="24CA469E" w14:textId="43C19D0F"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0.6%</w:t>
            </w:r>
          </w:p>
        </w:tc>
        <w:tc>
          <w:tcPr>
            <w:tcW w:w="1126" w:type="dxa"/>
            <w:vAlign w:val="center"/>
          </w:tcPr>
          <w:p w14:paraId="7F03EE7E" w14:textId="733A4DEF"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0.3%</w:t>
            </w:r>
          </w:p>
        </w:tc>
        <w:tc>
          <w:tcPr>
            <w:tcW w:w="1117" w:type="dxa"/>
            <w:vAlign w:val="center"/>
          </w:tcPr>
          <w:p w14:paraId="54E14278" w14:textId="2E3EE505"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16.9%</w:t>
            </w:r>
          </w:p>
        </w:tc>
        <w:tc>
          <w:tcPr>
            <w:tcW w:w="1533" w:type="dxa"/>
            <w:vAlign w:val="center"/>
          </w:tcPr>
          <w:p w14:paraId="60BFE89B" w14:textId="0B65160C"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44%</w:t>
            </w:r>
          </w:p>
        </w:tc>
      </w:tr>
      <w:tr w:rsidR="003763FC" w:rsidRPr="00331475" w14:paraId="01B84F82"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13CF594B"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Construction work done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14A144E7" w14:textId="1240BF6E"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Sep-22</w:t>
            </w:r>
          </w:p>
        </w:tc>
        <w:tc>
          <w:tcPr>
            <w:tcW w:w="1124" w:type="dxa"/>
            <w:shd w:val="clear" w:color="auto" w:fill="auto"/>
            <w:vAlign w:val="center"/>
          </w:tcPr>
          <w:p w14:paraId="09DCFD4E" w14:textId="6B45D2F9"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$54.8 b</w:t>
            </w:r>
          </w:p>
        </w:tc>
        <w:tc>
          <w:tcPr>
            <w:tcW w:w="1126" w:type="dxa"/>
            <w:shd w:val="clear" w:color="auto" w:fill="auto"/>
            <w:vAlign w:val="center"/>
          </w:tcPr>
          <w:p w14:paraId="7DEE5354" w14:textId="632430E0"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2.2%</w:t>
            </w:r>
          </w:p>
        </w:tc>
        <w:tc>
          <w:tcPr>
            <w:tcW w:w="1126" w:type="dxa"/>
            <w:shd w:val="clear" w:color="auto" w:fill="auto"/>
            <w:vAlign w:val="center"/>
          </w:tcPr>
          <w:p w14:paraId="3AFFADFC" w14:textId="3DB91E23"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c>
          <w:tcPr>
            <w:tcW w:w="1117" w:type="dxa"/>
            <w:shd w:val="clear" w:color="auto" w:fill="auto"/>
            <w:vAlign w:val="center"/>
          </w:tcPr>
          <w:p w14:paraId="7DC268BF" w14:textId="213F7C3B"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1.2%</w:t>
            </w:r>
          </w:p>
        </w:tc>
        <w:tc>
          <w:tcPr>
            <w:tcW w:w="1533" w:type="dxa"/>
            <w:shd w:val="clear" w:color="auto" w:fill="auto"/>
            <w:vAlign w:val="center"/>
          </w:tcPr>
          <w:p w14:paraId="26395D2D" w14:textId="222E0DF6"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r>
      <w:tr w:rsidR="003763FC" w:rsidRPr="00331475" w14:paraId="0BAEC79B"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16CEDEA2" w14:textId="77777777" w:rsidR="003763FC" w:rsidRPr="00331475" w:rsidRDefault="003763FC" w:rsidP="003763FC">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vAlign w:val="center"/>
          </w:tcPr>
          <w:p w14:paraId="193FAD5F" w14:textId="601357DB"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vAlign w:val="center"/>
          </w:tcPr>
          <w:p w14:paraId="3AEAC8B0" w14:textId="62E6D88F"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vAlign w:val="center"/>
          </w:tcPr>
          <w:p w14:paraId="5C21E419" w14:textId="4D1974F0"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vAlign w:val="center"/>
          </w:tcPr>
          <w:p w14:paraId="1B387CF5" w14:textId="1B58B4BE"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vAlign w:val="center"/>
          </w:tcPr>
          <w:p w14:paraId="611E8FBB" w14:textId="58CCDD29"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vAlign w:val="center"/>
          </w:tcPr>
          <w:p w14:paraId="6C7CD2C5" w14:textId="1EE81BE9"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3763FC" w:rsidRPr="00331475" w14:paraId="19F90093"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4B2C387C"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Residential building activity (NT)</w:t>
            </w:r>
          </w:p>
        </w:tc>
        <w:tc>
          <w:tcPr>
            <w:tcW w:w="985" w:type="dxa"/>
            <w:shd w:val="clear" w:color="auto" w:fill="auto"/>
            <w:vAlign w:val="center"/>
          </w:tcPr>
          <w:p w14:paraId="7A7FC935" w14:textId="52CA26C0"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Jun-22</w:t>
            </w:r>
          </w:p>
        </w:tc>
        <w:tc>
          <w:tcPr>
            <w:tcW w:w="1124" w:type="dxa"/>
            <w:shd w:val="clear" w:color="auto" w:fill="auto"/>
            <w:vAlign w:val="center"/>
          </w:tcPr>
          <w:p w14:paraId="1356E021" w14:textId="41B5D39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$83.5 m</w:t>
            </w:r>
          </w:p>
        </w:tc>
        <w:tc>
          <w:tcPr>
            <w:tcW w:w="1126" w:type="dxa"/>
            <w:shd w:val="clear" w:color="auto" w:fill="auto"/>
            <w:vAlign w:val="center"/>
          </w:tcPr>
          <w:p w14:paraId="06E11ECB" w14:textId="0E994D11"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29.8%</w:t>
            </w:r>
          </w:p>
        </w:tc>
        <w:tc>
          <w:tcPr>
            <w:tcW w:w="1126" w:type="dxa"/>
            <w:shd w:val="clear" w:color="auto" w:fill="auto"/>
            <w:vAlign w:val="center"/>
          </w:tcPr>
          <w:p w14:paraId="05670C32" w14:textId="4840875C"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-9.1%</w:t>
            </w:r>
          </w:p>
        </w:tc>
        <w:tc>
          <w:tcPr>
            <w:tcW w:w="1117" w:type="dxa"/>
            <w:shd w:val="clear" w:color="auto" w:fill="auto"/>
            <w:vAlign w:val="center"/>
          </w:tcPr>
          <w:p w14:paraId="5D4B815A" w14:textId="7FEC0AC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-11.1%</w:t>
            </w:r>
          </w:p>
        </w:tc>
        <w:tc>
          <w:tcPr>
            <w:tcW w:w="1533" w:type="dxa"/>
            <w:shd w:val="clear" w:color="auto" w:fill="auto"/>
            <w:vAlign w:val="center"/>
          </w:tcPr>
          <w:p w14:paraId="34AE3376" w14:textId="6D2E461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r>
      <w:tr w:rsidR="003763FC" w:rsidRPr="00331475" w14:paraId="06AEC18E"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0097BE8E"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Residential building activity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w:t>
            </w:r>
          </w:p>
        </w:tc>
        <w:tc>
          <w:tcPr>
            <w:tcW w:w="985" w:type="dxa"/>
            <w:vAlign w:val="center"/>
          </w:tcPr>
          <w:p w14:paraId="5875F512" w14:textId="69AF2A3D"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Jun-22</w:t>
            </w:r>
          </w:p>
        </w:tc>
        <w:tc>
          <w:tcPr>
            <w:tcW w:w="1124" w:type="dxa"/>
            <w:vAlign w:val="center"/>
          </w:tcPr>
          <w:p w14:paraId="4047A92E" w14:textId="58E62A8F"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$18.3 b</w:t>
            </w:r>
          </w:p>
        </w:tc>
        <w:tc>
          <w:tcPr>
            <w:tcW w:w="1126" w:type="dxa"/>
            <w:vAlign w:val="center"/>
          </w:tcPr>
          <w:p w14:paraId="18320F66" w14:textId="1D5A96A0"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w:t>
            </w:r>
          </w:p>
        </w:tc>
        <w:tc>
          <w:tcPr>
            <w:tcW w:w="1126" w:type="dxa"/>
            <w:vAlign w:val="center"/>
          </w:tcPr>
          <w:p w14:paraId="53856CAF" w14:textId="42BFE510"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-5.8%</w:t>
            </w:r>
          </w:p>
        </w:tc>
        <w:tc>
          <w:tcPr>
            <w:tcW w:w="1117" w:type="dxa"/>
            <w:vAlign w:val="center"/>
          </w:tcPr>
          <w:p w14:paraId="40A74AFE" w14:textId="217DD716"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0.4%</w:t>
            </w:r>
          </w:p>
        </w:tc>
        <w:tc>
          <w:tcPr>
            <w:tcW w:w="1533" w:type="dxa"/>
            <w:vAlign w:val="center"/>
          </w:tcPr>
          <w:p w14:paraId="6CF4CECF" w14:textId="6DAA2FBE"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-0.5%</w:t>
            </w:r>
          </w:p>
        </w:tc>
      </w:tr>
      <w:tr w:rsidR="003763FC" w:rsidRPr="00331475" w14:paraId="3CAAD79C"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79441CDB" w14:textId="77777777" w:rsidR="003763FC" w:rsidRPr="00331475" w:rsidRDefault="003763FC" w:rsidP="003763FC">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shd w:val="clear" w:color="auto" w:fill="auto"/>
            <w:vAlign w:val="center"/>
          </w:tcPr>
          <w:p w14:paraId="4513E735" w14:textId="7203D817"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14:paraId="2799BA97" w14:textId="621FFD51"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4F9800A1" w14:textId="15F5A0FD"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155D0F29" w14:textId="75F5316C"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14:paraId="2E1B563C" w14:textId="7A2AFC60"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14:paraId="69C81A6E" w14:textId="2E8F5A76"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5C5C82" w:rsidRPr="00331475" w14:paraId="4C360432"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011E59DC" w14:textId="5CF5EFE2" w:rsidR="005C5C82" w:rsidRPr="00331475" w:rsidRDefault="00971767" w:rsidP="00971767">
            <w:pPr>
              <w:spacing w:before="0" w:after="0"/>
              <w:ind w:firstLineChars="200" w:firstLine="400"/>
              <w:rPr>
                <w:rFonts w:ascii="Calibri" w:hAnsi="Calibri" w:cs="Calibri"/>
                <w:i/>
                <w:iCs/>
                <w:color w:val="000000"/>
                <w:sz w:val="20"/>
              </w:rPr>
            </w:pPr>
            <w:r>
              <w:rPr>
                <w:rFonts w:ascii="Calibri" w:hAnsi="Calibri" w:cs="Calibri"/>
                <w:i/>
                <w:iCs/>
                <w:color w:val="000000"/>
                <w:sz w:val="20"/>
              </w:rPr>
              <w:t>Nominal g</w:t>
            </w:r>
            <w:r w:rsidR="005C5C82" w:rsidRPr="00331475">
              <w:rPr>
                <w:rFonts w:ascii="Calibri" w:hAnsi="Calibri" w:cs="Calibri"/>
                <w:i/>
                <w:iCs/>
                <w:color w:val="000000"/>
                <w:sz w:val="20"/>
              </w:rPr>
              <w:t>oods exports (NT)</w:t>
            </w:r>
          </w:p>
        </w:tc>
        <w:tc>
          <w:tcPr>
            <w:tcW w:w="985" w:type="dxa"/>
            <w:vAlign w:val="center"/>
          </w:tcPr>
          <w:p w14:paraId="046A0CC4" w14:textId="41CFFEEE" w:rsidR="005C5C82" w:rsidRPr="00331475" w:rsidRDefault="005C5C82" w:rsidP="005C5C8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Oct-22</w:t>
            </w:r>
          </w:p>
        </w:tc>
        <w:tc>
          <w:tcPr>
            <w:tcW w:w="1124" w:type="dxa"/>
            <w:vAlign w:val="center"/>
          </w:tcPr>
          <w:p w14:paraId="73786563" w14:textId="6D52A711" w:rsidR="005C5C82" w:rsidRPr="00331475" w:rsidRDefault="005C5C82" w:rsidP="005C5C8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 b</w:t>
            </w:r>
          </w:p>
        </w:tc>
        <w:tc>
          <w:tcPr>
            <w:tcW w:w="1126" w:type="dxa"/>
            <w:vAlign w:val="center"/>
          </w:tcPr>
          <w:p w14:paraId="6CD6766A" w14:textId="2FB138E8" w:rsidR="005C5C82" w:rsidRPr="00331475" w:rsidRDefault="005C5C82" w:rsidP="005C5C8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61.2%</w:t>
            </w:r>
          </w:p>
        </w:tc>
        <w:tc>
          <w:tcPr>
            <w:tcW w:w="1126" w:type="dxa"/>
            <w:vAlign w:val="center"/>
          </w:tcPr>
          <w:p w14:paraId="7A89AD3A" w14:textId="188EEBA4" w:rsidR="005C5C82" w:rsidRPr="00331475" w:rsidRDefault="005C5C82" w:rsidP="005C5C8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21.3%</w:t>
            </w:r>
          </w:p>
        </w:tc>
        <w:tc>
          <w:tcPr>
            <w:tcW w:w="1117" w:type="dxa"/>
            <w:vAlign w:val="center"/>
          </w:tcPr>
          <w:p w14:paraId="0EC7797E" w14:textId="234EBC70" w:rsidR="005C5C82" w:rsidRPr="00331475" w:rsidRDefault="005C5C82" w:rsidP="005C5C8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38.9%</w:t>
            </w:r>
          </w:p>
        </w:tc>
        <w:tc>
          <w:tcPr>
            <w:tcW w:w="1533" w:type="dxa"/>
            <w:vAlign w:val="center"/>
          </w:tcPr>
          <w:p w14:paraId="158C8E26" w14:textId="75780647" w:rsidR="005C5C82" w:rsidRPr="00331475" w:rsidRDefault="005C5C82" w:rsidP="005C5C82">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73%</w:t>
            </w:r>
          </w:p>
        </w:tc>
      </w:tr>
      <w:tr w:rsidR="005C5C82" w:rsidRPr="00331475" w14:paraId="3D7FC88A"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4F4BDB70" w14:textId="27A1811B" w:rsidR="005C5C82" w:rsidRPr="00331475" w:rsidRDefault="00971767" w:rsidP="005C5C82">
            <w:pPr>
              <w:spacing w:before="0" w:after="0"/>
              <w:ind w:firstLineChars="200" w:firstLine="400"/>
              <w:rPr>
                <w:rFonts w:ascii="Calibri" w:hAnsi="Calibri" w:cs="Calibri"/>
                <w:i/>
                <w:iCs/>
                <w:color w:val="000000"/>
                <w:sz w:val="20"/>
              </w:rPr>
            </w:pPr>
            <w:r>
              <w:rPr>
                <w:rFonts w:ascii="Calibri" w:hAnsi="Calibri" w:cs="Calibri"/>
                <w:i/>
                <w:iCs/>
                <w:color w:val="000000"/>
                <w:sz w:val="20"/>
              </w:rPr>
              <w:t>Nominal g</w:t>
            </w:r>
            <w:r w:rsidR="005C5C82" w:rsidRPr="00331475">
              <w:rPr>
                <w:rFonts w:ascii="Calibri" w:hAnsi="Calibri" w:cs="Calibri"/>
                <w:i/>
                <w:iCs/>
                <w:color w:val="000000"/>
                <w:sz w:val="20"/>
              </w:rPr>
              <w:t>oods exports (</w:t>
            </w:r>
            <w:proofErr w:type="spellStart"/>
            <w:r w:rsidR="005C5C82" w:rsidRPr="00331475">
              <w:rPr>
                <w:rFonts w:ascii="Calibri" w:hAnsi="Calibri" w:cs="Calibri"/>
                <w:i/>
                <w:iCs/>
                <w:color w:val="000000"/>
                <w:sz w:val="20"/>
              </w:rPr>
              <w:t>Aust</w:t>
            </w:r>
            <w:proofErr w:type="spellEnd"/>
            <w:r w:rsidR="005C5C82" w:rsidRPr="00331475">
              <w:rPr>
                <w:rFonts w:ascii="Calibri" w:hAnsi="Calibri" w:cs="Calibri"/>
                <w:i/>
                <w:iCs/>
                <w:color w:val="000000"/>
                <w:sz w:val="20"/>
              </w:rPr>
              <w:t>) (</w:t>
            </w:r>
            <w:proofErr w:type="spellStart"/>
            <w:r w:rsidR="005C5C82" w:rsidRPr="00331475">
              <w:rPr>
                <w:rFonts w:ascii="Calibri" w:hAnsi="Calibri" w:cs="Calibri"/>
                <w:i/>
                <w:iCs/>
                <w:color w:val="000000"/>
                <w:sz w:val="20"/>
              </w:rPr>
              <w:t>sa</w:t>
            </w:r>
            <w:proofErr w:type="spellEnd"/>
            <w:r w:rsidR="005C5C82" w:rsidRPr="00331475">
              <w:rPr>
                <w:rFonts w:ascii="Calibri" w:hAnsi="Calibri" w:cs="Calibri"/>
                <w:i/>
                <w:iCs/>
                <w:color w:val="000000"/>
                <w:sz w:val="20"/>
              </w:rPr>
              <w:t>)</w:t>
            </w:r>
          </w:p>
        </w:tc>
        <w:tc>
          <w:tcPr>
            <w:tcW w:w="985" w:type="dxa"/>
            <w:shd w:val="clear" w:color="auto" w:fill="auto"/>
            <w:vAlign w:val="center"/>
          </w:tcPr>
          <w:p w14:paraId="2C2E3965" w14:textId="43F134A0" w:rsidR="005C5C82" w:rsidRPr="00331475" w:rsidRDefault="005C5C82" w:rsidP="005C5C82">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Oct-22</w:t>
            </w:r>
          </w:p>
        </w:tc>
        <w:tc>
          <w:tcPr>
            <w:tcW w:w="1124" w:type="dxa"/>
            <w:shd w:val="clear" w:color="auto" w:fill="auto"/>
            <w:vAlign w:val="center"/>
          </w:tcPr>
          <w:p w14:paraId="045CAC24" w14:textId="280BE07F" w:rsidR="005C5C82" w:rsidRPr="00331475" w:rsidRDefault="005C5C82" w:rsidP="005C5C82">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$53.3 b</w:t>
            </w:r>
          </w:p>
        </w:tc>
        <w:tc>
          <w:tcPr>
            <w:tcW w:w="1126" w:type="dxa"/>
            <w:shd w:val="clear" w:color="auto" w:fill="auto"/>
            <w:vAlign w:val="center"/>
          </w:tcPr>
          <w:p w14:paraId="72448963" w14:textId="0595545E" w:rsidR="005C5C82" w:rsidRPr="00331475" w:rsidRDefault="005C5C82" w:rsidP="005C5C82">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c>
          <w:tcPr>
            <w:tcW w:w="1126" w:type="dxa"/>
            <w:shd w:val="clear" w:color="auto" w:fill="auto"/>
            <w:vAlign w:val="center"/>
          </w:tcPr>
          <w:p w14:paraId="4A579087" w14:textId="3CEFCE2A" w:rsidR="005C5C82" w:rsidRPr="00331475" w:rsidRDefault="005C5C82" w:rsidP="005C5C82">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37.6%</w:t>
            </w:r>
          </w:p>
        </w:tc>
        <w:tc>
          <w:tcPr>
            <w:tcW w:w="1117" w:type="dxa"/>
            <w:shd w:val="clear" w:color="auto" w:fill="auto"/>
            <w:vAlign w:val="center"/>
          </w:tcPr>
          <w:p w14:paraId="1C5064BC" w14:textId="5EF89335" w:rsidR="005C5C82" w:rsidRPr="00331475" w:rsidRDefault="005C5C82" w:rsidP="005C5C82">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31.4%</w:t>
            </w:r>
          </w:p>
        </w:tc>
        <w:tc>
          <w:tcPr>
            <w:tcW w:w="1533" w:type="dxa"/>
            <w:shd w:val="clear" w:color="auto" w:fill="auto"/>
            <w:vAlign w:val="center"/>
          </w:tcPr>
          <w:p w14:paraId="53354408" w14:textId="4DB70EC2" w:rsidR="005C5C82" w:rsidRPr="00331475" w:rsidRDefault="005C5C82" w:rsidP="005C5C82">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66.1%</w:t>
            </w:r>
          </w:p>
        </w:tc>
      </w:tr>
      <w:tr w:rsidR="004F7E54" w:rsidRPr="00331475" w14:paraId="573DC8CA"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6A3D239B"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Prices</w:t>
            </w:r>
          </w:p>
        </w:tc>
        <w:tc>
          <w:tcPr>
            <w:tcW w:w="985" w:type="dxa"/>
            <w:shd w:val="clear" w:color="auto" w:fill="D9D9D9" w:themeFill="background1" w:themeFillShade="D9"/>
            <w:vAlign w:val="center"/>
          </w:tcPr>
          <w:p w14:paraId="468BEA78"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4" w:type="dxa"/>
            <w:shd w:val="clear" w:color="auto" w:fill="D9D9D9" w:themeFill="background1" w:themeFillShade="D9"/>
            <w:vAlign w:val="center"/>
          </w:tcPr>
          <w:p w14:paraId="00AECC6C"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4CE50202"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088AD81B"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17" w:type="dxa"/>
            <w:shd w:val="clear" w:color="auto" w:fill="D9D9D9" w:themeFill="background1" w:themeFillShade="D9"/>
            <w:vAlign w:val="center"/>
          </w:tcPr>
          <w:p w14:paraId="5191266D"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533" w:type="dxa"/>
            <w:shd w:val="clear" w:color="auto" w:fill="D9D9D9" w:themeFill="background1" w:themeFillShade="D9"/>
            <w:vAlign w:val="center"/>
          </w:tcPr>
          <w:p w14:paraId="487BFA4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r>
      <w:tr w:rsidR="003763FC" w:rsidRPr="00331475" w14:paraId="7C7FF94A"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784CDA66"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Inflation (Darwin)</w:t>
            </w:r>
          </w:p>
        </w:tc>
        <w:tc>
          <w:tcPr>
            <w:tcW w:w="985" w:type="dxa"/>
            <w:shd w:val="clear" w:color="auto" w:fill="auto"/>
            <w:vAlign w:val="center"/>
          </w:tcPr>
          <w:p w14:paraId="37638646" w14:textId="57D0C143"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Sep-22</w:t>
            </w:r>
          </w:p>
        </w:tc>
        <w:tc>
          <w:tcPr>
            <w:tcW w:w="1124" w:type="dxa"/>
            <w:shd w:val="clear" w:color="auto" w:fill="auto"/>
            <w:vAlign w:val="center"/>
          </w:tcPr>
          <w:p w14:paraId="0022F1CB" w14:textId="6CD42303"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7%</w:t>
            </w:r>
          </w:p>
        </w:tc>
        <w:tc>
          <w:tcPr>
            <w:tcW w:w="1126" w:type="dxa"/>
            <w:shd w:val="clear" w:color="auto" w:fill="auto"/>
            <w:vAlign w:val="center"/>
          </w:tcPr>
          <w:p w14:paraId="57A29B5D" w14:textId="1A5F5D69"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0.4 </w:t>
            </w:r>
            <w:proofErr w:type="spellStart"/>
            <w:r>
              <w:rPr>
                <w:rFonts w:ascii="Calibri" w:hAnsi="Calibri" w:cs="Calibri"/>
                <w:color w:val="000000"/>
                <w:sz w:val="20"/>
              </w:rPr>
              <w:t>ppt</w:t>
            </w:r>
            <w:proofErr w:type="spellEnd"/>
          </w:p>
        </w:tc>
        <w:tc>
          <w:tcPr>
            <w:tcW w:w="1126" w:type="dxa"/>
            <w:shd w:val="clear" w:color="auto" w:fill="auto"/>
            <w:vAlign w:val="center"/>
          </w:tcPr>
          <w:p w14:paraId="142F157B" w14:textId="2F41FD7E"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1.1 </w:t>
            </w:r>
            <w:proofErr w:type="spellStart"/>
            <w:r>
              <w:rPr>
                <w:rFonts w:ascii="Calibri" w:hAnsi="Calibri" w:cs="Calibri"/>
                <w:color w:val="000000"/>
                <w:sz w:val="20"/>
              </w:rPr>
              <w:t>ppt</w:t>
            </w:r>
            <w:proofErr w:type="spellEnd"/>
          </w:p>
        </w:tc>
        <w:tc>
          <w:tcPr>
            <w:tcW w:w="1117" w:type="dxa"/>
            <w:shd w:val="clear" w:color="auto" w:fill="auto"/>
            <w:vAlign w:val="center"/>
          </w:tcPr>
          <w:p w14:paraId="6D57D79D" w14:textId="3DE3F0C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2.7 </w:t>
            </w:r>
            <w:proofErr w:type="spellStart"/>
            <w:r>
              <w:rPr>
                <w:rFonts w:ascii="Calibri" w:hAnsi="Calibri" w:cs="Calibri"/>
                <w:color w:val="000000"/>
                <w:sz w:val="20"/>
              </w:rPr>
              <w:t>ppt</w:t>
            </w:r>
            <w:proofErr w:type="spellEnd"/>
          </w:p>
        </w:tc>
        <w:tc>
          <w:tcPr>
            <w:tcW w:w="1533" w:type="dxa"/>
            <w:shd w:val="clear" w:color="auto" w:fill="auto"/>
            <w:vAlign w:val="center"/>
          </w:tcPr>
          <w:p w14:paraId="5DF78A42" w14:textId="5044B218"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6.5 </w:t>
            </w:r>
            <w:proofErr w:type="spellStart"/>
            <w:r>
              <w:rPr>
                <w:rFonts w:ascii="Calibri" w:hAnsi="Calibri" w:cs="Calibri"/>
                <w:color w:val="000000"/>
                <w:sz w:val="20"/>
              </w:rPr>
              <w:t>ppt</w:t>
            </w:r>
            <w:proofErr w:type="spellEnd"/>
          </w:p>
        </w:tc>
      </w:tr>
      <w:tr w:rsidR="003763FC" w:rsidRPr="00331475" w14:paraId="0F829271"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548B7AA0"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Inflation (8 Capitals)</w:t>
            </w:r>
          </w:p>
        </w:tc>
        <w:tc>
          <w:tcPr>
            <w:tcW w:w="985" w:type="dxa"/>
            <w:vAlign w:val="center"/>
          </w:tcPr>
          <w:p w14:paraId="05EC37F3" w14:textId="6DCB9B53"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Sep-22</w:t>
            </w:r>
          </w:p>
        </w:tc>
        <w:tc>
          <w:tcPr>
            <w:tcW w:w="1124" w:type="dxa"/>
            <w:vAlign w:val="center"/>
          </w:tcPr>
          <w:p w14:paraId="522B275D" w14:textId="621EFC04"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7.3%</w:t>
            </w:r>
          </w:p>
        </w:tc>
        <w:tc>
          <w:tcPr>
            <w:tcW w:w="1126" w:type="dxa"/>
            <w:vAlign w:val="center"/>
          </w:tcPr>
          <w:p w14:paraId="5C91FC91" w14:textId="5DD9C17E"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1.1 </w:t>
            </w:r>
            <w:proofErr w:type="spellStart"/>
            <w:r>
              <w:rPr>
                <w:rFonts w:ascii="Calibri" w:hAnsi="Calibri" w:cs="Calibri"/>
                <w:color w:val="000000"/>
                <w:sz w:val="20"/>
              </w:rPr>
              <w:t>ppt</w:t>
            </w:r>
            <w:proofErr w:type="spellEnd"/>
          </w:p>
        </w:tc>
        <w:tc>
          <w:tcPr>
            <w:tcW w:w="1126" w:type="dxa"/>
            <w:vAlign w:val="center"/>
          </w:tcPr>
          <w:p w14:paraId="67932216" w14:textId="1FDF99D2"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4.3 </w:t>
            </w:r>
            <w:proofErr w:type="spellStart"/>
            <w:r>
              <w:rPr>
                <w:rFonts w:ascii="Calibri" w:hAnsi="Calibri" w:cs="Calibri"/>
                <w:color w:val="000000"/>
                <w:sz w:val="20"/>
              </w:rPr>
              <w:t>ppt</w:t>
            </w:r>
            <w:proofErr w:type="spellEnd"/>
          </w:p>
        </w:tc>
        <w:tc>
          <w:tcPr>
            <w:tcW w:w="1117" w:type="dxa"/>
            <w:vAlign w:val="center"/>
          </w:tcPr>
          <w:p w14:paraId="128F96EA" w14:textId="49F6928E"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3.3 </w:t>
            </w:r>
            <w:proofErr w:type="spellStart"/>
            <w:r>
              <w:rPr>
                <w:rFonts w:ascii="Calibri" w:hAnsi="Calibri" w:cs="Calibri"/>
                <w:color w:val="000000"/>
                <w:sz w:val="20"/>
              </w:rPr>
              <w:t>ppt</w:t>
            </w:r>
            <w:proofErr w:type="spellEnd"/>
          </w:p>
        </w:tc>
        <w:tc>
          <w:tcPr>
            <w:tcW w:w="1533" w:type="dxa"/>
            <w:vAlign w:val="center"/>
          </w:tcPr>
          <w:p w14:paraId="299D3838" w14:textId="14020CCC"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5.4 </w:t>
            </w:r>
            <w:proofErr w:type="spellStart"/>
            <w:r>
              <w:rPr>
                <w:rFonts w:ascii="Calibri" w:hAnsi="Calibri" w:cs="Calibri"/>
                <w:color w:val="000000"/>
                <w:sz w:val="20"/>
              </w:rPr>
              <w:t>ppt</w:t>
            </w:r>
            <w:proofErr w:type="spellEnd"/>
          </w:p>
        </w:tc>
      </w:tr>
      <w:tr w:rsidR="003763FC" w:rsidRPr="00331475" w14:paraId="6B2A475C"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1F38A137" w14:textId="77777777" w:rsidR="003763FC" w:rsidRPr="00331475" w:rsidRDefault="003763FC" w:rsidP="003763FC">
            <w:pPr>
              <w:spacing w:before="0" w:after="0"/>
              <w:ind w:firstLineChars="200" w:firstLine="160"/>
              <w:rPr>
                <w:rFonts w:ascii="Calibri" w:hAnsi="Calibri" w:cs="Calibri"/>
                <w:color w:val="000000"/>
                <w:sz w:val="8"/>
                <w:szCs w:val="8"/>
              </w:rPr>
            </w:pPr>
            <w:r w:rsidRPr="00331475">
              <w:rPr>
                <w:rFonts w:ascii="Calibri" w:hAnsi="Calibri" w:cs="Calibri"/>
                <w:color w:val="000000"/>
                <w:sz w:val="8"/>
                <w:szCs w:val="8"/>
              </w:rPr>
              <w:t> </w:t>
            </w:r>
          </w:p>
        </w:tc>
        <w:tc>
          <w:tcPr>
            <w:tcW w:w="985" w:type="dxa"/>
            <w:shd w:val="clear" w:color="auto" w:fill="auto"/>
            <w:vAlign w:val="center"/>
          </w:tcPr>
          <w:p w14:paraId="5A8D7C3E" w14:textId="1190F4AD"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14:paraId="00E43862" w14:textId="11FCB17D"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4E53C39E" w14:textId="5BDF7DB3"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7E847131" w14:textId="422518BC"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14:paraId="39F76694" w14:textId="48A122CD"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14:paraId="63270651" w14:textId="4DF136D1"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3763FC" w:rsidRPr="00331475" w14:paraId="59DEB887"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500090E1"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WPI growth (NT)</w:t>
            </w:r>
          </w:p>
        </w:tc>
        <w:tc>
          <w:tcPr>
            <w:tcW w:w="985" w:type="dxa"/>
            <w:vAlign w:val="center"/>
          </w:tcPr>
          <w:p w14:paraId="40C2D657" w14:textId="1C689864"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Sep-22</w:t>
            </w:r>
          </w:p>
        </w:tc>
        <w:tc>
          <w:tcPr>
            <w:tcW w:w="1124" w:type="dxa"/>
            <w:vAlign w:val="center"/>
          </w:tcPr>
          <w:p w14:paraId="0DA58FD7" w14:textId="0165BAAA"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2.5%</w:t>
            </w:r>
          </w:p>
        </w:tc>
        <w:tc>
          <w:tcPr>
            <w:tcW w:w="1126" w:type="dxa"/>
            <w:vAlign w:val="center"/>
          </w:tcPr>
          <w:p w14:paraId="238BE27B" w14:textId="1A1E4621"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0.4 </w:t>
            </w:r>
            <w:proofErr w:type="spellStart"/>
            <w:r>
              <w:rPr>
                <w:rFonts w:ascii="Calibri" w:hAnsi="Calibri" w:cs="Calibri"/>
                <w:color w:val="000000"/>
                <w:sz w:val="20"/>
              </w:rPr>
              <w:t>ppt</w:t>
            </w:r>
            <w:proofErr w:type="spellEnd"/>
          </w:p>
        </w:tc>
        <w:tc>
          <w:tcPr>
            <w:tcW w:w="1126" w:type="dxa"/>
            <w:vAlign w:val="center"/>
          </w:tcPr>
          <w:p w14:paraId="487C4513" w14:textId="2802052B"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117" w:type="dxa"/>
            <w:vAlign w:val="center"/>
          </w:tcPr>
          <w:p w14:paraId="6272D32D" w14:textId="6BA744CB"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0.2 </w:t>
            </w:r>
            <w:proofErr w:type="spellStart"/>
            <w:r>
              <w:rPr>
                <w:rFonts w:ascii="Calibri" w:hAnsi="Calibri" w:cs="Calibri"/>
                <w:color w:val="000000"/>
                <w:sz w:val="20"/>
              </w:rPr>
              <w:t>ppt</w:t>
            </w:r>
            <w:proofErr w:type="spellEnd"/>
          </w:p>
        </w:tc>
        <w:tc>
          <w:tcPr>
            <w:tcW w:w="1533" w:type="dxa"/>
            <w:vAlign w:val="center"/>
          </w:tcPr>
          <w:p w14:paraId="6A1C470D" w14:textId="29C391A6"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r>
      <w:tr w:rsidR="003763FC" w:rsidRPr="00331475" w14:paraId="43A48D08"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505A0815"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WPI growth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w:t>
            </w:r>
          </w:p>
        </w:tc>
        <w:tc>
          <w:tcPr>
            <w:tcW w:w="985" w:type="dxa"/>
            <w:shd w:val="clear" w:color="auto" w:fill="auto"/>
            <w:vAlign w:val="center"/>
          </w:tcPr>
          <w:p w14:paraId="28F4DCD4" w14:textId="6AE90009"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Sep-22</w:t>
            </w:r>
          </w:p>
        </w:tc>
        <w:tc>
          <w:tcPr>
            <w:tcW w:w="1124" w:type="dxa"/>
            <w:shd w:val="clear" w:color="auto" w:fill="auto"/>
            <w:vAlign w:val="center"/>
          </w:tcPr>
          <w:p w14:paraId="54C88AA1" w14:textId="05B031D1"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3.2%</w:t>
            </w:r>
          </w:p>
        </w:tc>
        <w:tc>
          <w:tcPr>
            <w:tcW w:w="1126" w:type="dxa"/>
            <w:shd w:val="clear" w:color="auto" w:fill="auto"/>
            <w:vAlign w:val="center"/>
          </w:tcPr>
          <w:p w14:paraId="2C7B259F" w14:textId="1B254492"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0.6 </w:t>
            </w:r>
            <w:proofErr w:type="spellStart"/>
            <w:r>
              <w:rPr>
                <w:rFonts w:ascii="Calibri" w:hAnsi="Calibri" w:cs="Calibri"/>
                <w:color w:val="000000"/>
                <w:sz w:val="20"/>
              </w:rPr>
              <w:t>ppt</w:t>
            </w:r>
            <w:proofErr w:type="spellEnd"/>
          </w:p>
        </w:tc>
        <w:tc>
          <w:tcPr>
            <w:tcW w:w="1126" w:type="dxa"/>
            <w:shd w:val="clear" w:color="auto" w:fill="auto"/>
            <w:vAlign w:val="center"/>
          </w:tcPr>
          <w:p w14:paraId="0B5F0428" w14:textId="28FC17AB"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 </w:t>
            </w:r>
            <w:proofErr w:type="spellStart"/>
            <w:r>
              <w:rPr>
                <w:rFonts w:ascii="Calibri" w:hAnsi="Calibri" w:cs="Calibri"/>
                <w:color w:val="000000"/>
                <w:sz w:val="20"/>
              </w:rPr>
              <w:t>ppt</w:t>
            </w:r>
            <w:proofErr w:type="spellEnd"/>
          </w:p>
        </w:tc>
        <w:tc>
          <w:tcPr>
            <w:tcW w:w="1117" w:type="dxa"/>
            <w:shd w:val="clear" w:color="auto" w:fill="auto"/>
            <w:vAlign w:val="center"/>
          </w:tcPr>
          <w:p w14:paraId="572F1945" w14:textId="206CC5A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0.9 </w:t>
            </w:r>
            <w:proofErr w:type="spellStart"/>
            <w:r>
              <w:rPr>
                <w:rFonts w:ascii="Calibri" w:hAnsi="Calibri" w:cs="Calibri"/>
                <w:color w:val="000000"/>
                <w:sz w:val="20"/>
              </w:rPr>
              <w:t>ppt</w:t>
            </w:r>
            <w:proofErr w:type="spellEnd"/>
          </w:p>
        </w:tc>
        <w:tc>
          <w:tcPr>
            <w:tcW w:w="1533" w:type="dxa"/>
            <w:shd w:val="clear" w:color="auto" w:fill="auto"/>
            <w:vAlign w:val="center"/>
          </w:tcPr>
          <w:p w14:paraId="44E94262" w14:textId="631A773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 </w:t>
            </w:r>
            <w:proofErr w:type="spellStart"/>
            <w:r>
              <w:rPr>
                <w:rFonts w:ascii="Calibri" w:hAnsi="Calibri" w:cs="Calibri"/>
                <w:color w:val="000000"/>
                <w:sz w:val="20"/>
              </w:rPr>
              <w:t>ppt</w:t>
            </w:r>
            <w:proofErr w:type="spellEnd"/>
          </w:p>
        </w:tc>
      </w:tr>
      <w:tr w:rsidR="004F7E54" w:rsidRPr="00331475" w14:paraId="5A70FCD0"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1AC3472C"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Labour Market</w:t>
            </w:r>
          </w:p>
        </w:tc>
        <w:tc>
          <w:tcPr>
            <w:tcW w:w="985" w:type="dxa"/>
            <w:shd w:val="clear" w:color="auto" w:fill="D9D9D9" w:themeFill="background1" w:themeFillShade="D9"/>
            <w:vAlign w:val="center"/>
          </w:tcPr>
          <w:p w14:paraId="508E1F9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4" w:type="dxa"/>
            <w:shd w:val="clear" w:color="auto" w:fill="D9D9D9" w:themeFill="background1" w:themeFillShade="D9"/>
            <w:vAlign w:val="center"/>
          </w:tcPr>
          <w:p w14:paraId="775F2EC2"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1991C430"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082014B9"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17" w:type="dxa"/>
            <w:shd w:val="clear" w:color="auto" w:fill="D9D9D9" w:themeFill="background1" w:themeFillShade="D9"/>
            <w:vAlign w:val="center"/>
          </w:tcPr>
          <w:p w14:paraId="51C7A1EC"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533" w:type="dxa"/>
            <w:shd w:val="clear" w:color="auto" w:fill="D9D9D9" w:themeFill="background1" w:themeFillShade="D9"/>
            <w:vAlign w:val="center"/>
          </w:tcPr>
          <w:p w14:paraId="729BB4B8"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r>
      <w:tr w:rsidR="003763FC" w:rsidRPr="00331475" w14:paraId="514638C6"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3B9FAF13"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Employment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780C3AE0" w14:textId="274488B5"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Oct-22</w:t>
            </w:r>
          </w:p>
        </w:tc>
        <w:tc>
          <w:tcPr>
            <w:tcW w:w="1124" w:type="dxa"/>
            <w:shd w:val="clear" w:color="auto" w:fill="auto"/>
            <w:vAlign w:val="center"/>
          </w:tcPr>
          <w:p w14:paraId="083B8E74" w14:textId="44CBEDF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 137</w:t>
            </w:r>
            <w:r w:rsidR="00971767">
              <w:rPr>
                <w:rFonts w:ascii="Calibri" w:hAnsi="Calibri" w:cs="Calibri"/>
                <w:color w:val="000000"/>
                <w:sz w:val="20"/>
              </w:rPr>
              <w:t>,</w:t>
            </w:r>
            <w:r>
              <w:rPr>
                <w:rFonts w:ascii="Calibri" w:hAnsi="Calibri" w:cs="Calibri"/>
                <w:color w:val="000000"/>
                <w:sz w:val="20"/>
              </w:rPr>
              <w:t xml:space="preserve">227 </w:t>
            </w:r>
          </w:p>
        </w:tc>
        <w:tc>
          <w:tcPr>
            <w:tcW w:w="1126" w:type="dxa"/>
            <w:shd w:val="clear" w:color="auto" w:fill="auto"/>
            <w:vAlign w:val="center"/>
          </w:tcPr>
          <w:p w14:paraId="6FD49AFB" w14:textId="5A6090E0"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c>
          <w:tcPr>
            <w:tcW w:w="1126" w:type="dxa"/>
            <w:shd w:val="clear" w:color="auto" w:fill="auto"/>
            <w:vAlign w:val="center"/>
          </w:tcPr>
          <w:p w14:paraId="4A4A7AC8" w14:textId="124D981E"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w:t>
            </w:r>
          </w:p>
        </w:tc>
        <w:tc>
          <w:tcPr>
            <w:tcW w:w="1117" w:type="dxa"/>
            <w:shd w:val="clear" w:color="auto" w:fill="auto"/>
            <w:vAlign w:val="center"/>
          </w:tcPr>
          <w:p w14:paraId="26551E34" w14:textId="0DC8381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2.7%</w:t>
            </w:r>
          </w:p>
        </w:tc>
        <w:tc>
          <w:tcPr>
            <w:tcW w:w="1533" w:type="dxa"/>
            <w:shd w:val="clear" w:color="auto" w:fill="auto"/>
            <w:vAlign w:val="center"/>
          </w:tcPr>
          <w:p w14:paraId="2A7478AC" w14:textId="53EB8D0B"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2.5%</w:t>
            </w:r>
          </w:p>
        </w:tc>
      </w:tr>
      <w:tr w:rsidR="003763FC" w:rsidRPr="00331475" w14:paraId="7EC29B8F"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0DFCD90D"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Employment (</w:t>
            </w:r>
            <w:proofErr w:type="spellStart"/>
            <w:r w:rsidRPr="00331475">
              <w:rPr>
                <w:rFonts w:ascii="Calibri" w:hAnsi="Calibri" w:cs="Calibri"/>
                <w:i/>
                <w:iCs/>
                <w:color w:val="000000"/>
                <w:sz w:val="20"/>
              </w:rPr>
              <w:t>Aus</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381F8863" w14:textId="12CECD01"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Oct-22</w:t>
            </w:r>
          </w:p>
        </w:tc>
        <w:tc>
          <w:tcPr>
            <w:tcW w:w="1124" w:type="dxa"/>
            <w:vAlign w:val="center"/>
          </w:tcPr>
          <w:p w14:paraId="2CC00E70" w14:textId="3F356C34"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13.6 m</w:t>
            </w:r>
          </w:p>
        </w:tc>
        <w:tc>
          <w:tcPr>
            <w:tcW w:w="1126" w:type="dxa"/>
            <w:vAlign w:val="center"/>
          </w:tcPr>
          <w:p w14:paraId="5EF6BBAC" w14:textId="285AAFD9"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126" w:type="dxa"/>
            <w:vAlign w:val="center"/>
          </w:tcPr>
          <w:p w14:paraId="3A8A9F49" w14:textId="67614328"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5.9%</w:t>
            </w:r>
          </w:p>
        </w:tc>
        <w:tc>
          <w:tcPr>
            <w:tcW w:w="1117" w:type="dxa"/>
            <w:vAlign w:val="center"/>
          </w:tcPr>
          <w:p w14:paraId="730D7946" w14:textId="3913A4EB"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3.8%</w:t>
            </w:r>
          </w:p>
        </w:tc>
        <w:tc>
          <w:tcPr>
            <w:tcW w:w="1533" w:type="dxa"/>
            <w:vAlign w:val="center"/>
          </w:tcPr>
          <w:p w14:paraId="66F276C0" w14:textId="4A295EF2"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w:t>
            </w:r>
          </w:p>
        </w:tc>
      </w:tr>
      <w:tr w:rsidR="003763FC" w:rsidRPr="00331475" w14:paraId="2238011A"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0AD6A7CD" w14:textId="77777777" w:rsidR="003763FC" w:rsidRPr="00331475" w:rsidRDefault="003763FC" w:rsidP="003763FC">
            <w:pPr>
              <w:spacing w:before="0" w:after="0"/>
              <w:ind w:firstLineChars="200" w:firstLine="160"/>
              <w:rPr>
                <w:rFonts w:ascii="Calibri" w:hAnsi="Calibri" w:cs="Calibri"/>
                <w:i/>
                <w:iCs/>
                <w:color w:val="000000"/>
                <w:sz w:val="8"/>
                <w:szCs w:val="8"/>
              </w:rPr>
            </w:pPr>
            <w:r w:rsidRPr="00331475">
              <w:rPr>
                <w:rFonts w:ascii="Calibri" w:hAnsi="Calibri" w:cs="Calibri"/>
                <w:i/>
                <w:iCs/>
                <w:color w:val="000000"/>
                <w:sz w:val="8"/>
                <w:szCs w:val="8"/>
              </w:rPr>
              <w:t> </w:t>
            </w:r>
          </w:p>
        </w:tc>
        <w:tc>
          <w:tcPr>
            <w:tcW w:w="985" w:type="dxa"/>
            <w:shd w:val="clear" w:color="auto" w:fill="auto"/>
            <w:vAlign w:val="center"/>
          </w:tcPr>
          <w:p w14:paraId="67F017D8" w14:textId="2C5B5E5B"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4" w:type="dxa"/>
            <w:shd w:val="clear" w:color="auto" w:fill="auto"/>
            <w:vAlign w:val="center"/>
          </w:tcPr>
          <w:p w14:paraId="00CFB867" w14:textId="4BFD275D"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3BE1EF5B" w14:textId="18B7139B"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26" w:type="dxa"/>
            <w:shd w:val="clear" w:color="auto" w:fill="auto"/>
            <w:vAlign w:val="center"/>
          </w:tcPr>
          <w:p w14:paraId="65A848C7" w14:textId="0D724EEE"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117" w:type="dxa"/>
            <w:shd w:val="clear" w:color="auto" w:fill="auto"/>
            <w:vAlign w:val="center"/>
          </w:tcPr>
          <w:p w14:paraId="03FCF3FB" w14:textId="5177E6BC"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c>
          <w:tcPr>
            <w:tcW w:w="1533" w:type="dxa"/>
            <w:shd w:val="clear" w:color="auto" w:fill="auto"/>
            <w:vAlign w:val="center"/>
          </w:tcPr>
          <w:p w14:paraId="1A289710" w14:textId="24D1DFC5"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Pr>
                <w:rFonts w:ascii="Calibri" w:hAnsi="Calibri" w:cs="Calibri"/>
                <w:color w:val="000000"/>
                <w:sz w:val="8"/>
                <w:szCs w:val="8"/>
              </w:rPr>
              <w:t> </w:t>
            </w:r>
          </w:p>
        </w:tc>
      </w:tr>
      <w:tr w:rsidR="003763FC" w:rsidRPr="00331475" w14:paraId="53215664"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598F1670"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Unemployment rate (NT)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vAlign w:val="center"/>
          </w:tcPr>
          <w:p w14:paraId="615CB847" w14:textId="7BD5A62E"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Oct-22</w:t>
            </w:r>
          </w:p>
        </w:tc>
        <w:tc>
          <w:tcPr>
            <w:tcW w:w="1124" w:type="dxa"/>
            <w:vAlign w:val="center"/>
          </w:tcPr>
          <w:p w14:paraId="3D1663B8" w14:textId="32A96E1F"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 3.8% </w:t>
            </w:r>
          </w:p>
        </w:tc>
        <w:tc>
          <w:tcPr>
            <w:tcW w:w="1126" w:type="dxa"/>
            <w:vAlign w:val="center"/>
          </w:tcPr>
          <w:p w14:paraId="1EFC6136" w14:textId="77D99FBF"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-0.2 </w:t>
            </w:r>
            <w:proofErr w:type="spellStart"/>
            <w:r>
              <w:rPr>
                <w:rFonts w:ascii="Calibri" w:hAnsi="Calibri" w:cs="Calibri"/>
                <w:color w:val="000000"/>
                <w:sz w:val="20"/>
              </w:rPr>
              <w:t>ppt</w:t>
            </w:r>
            <w:proofErr w:type="spellEnd"/>
          </w:p>
        </w:tc>
        <w:tc>
          <w:tcPr>
            <w:tcW w:w="1126" w:type="dxa"/>
            <w:vAlign w:val="center"/>
          </w:tcPr>
          <w:p w14:paraId="532A2683" w14:textId="083D594C"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-0.2 </w:t>
            </w:r>
            <w:proofErr w:type="spellStart"/>
            <w:r>
              <w:rPr>
                <w:rFonts w:ascii="Calibri" w:hAnsi="Calibri" w:cs="Calibri"/>
                <w:color w:val="000000"/>
                <w:sz w:val="20"/>
              </w:rPr>
              <w:t>ppt</w:t>
            </w:r>
            <w:proofErr w:type="spellEnd"/>
          </w:p>
        </w:tc>
        <w:tc>
          <w:tcPr>
            <w:tcW w:w="1117" w:type="dxa"/>
            <w:vAlign w:val="center"/>
          </w:tcPr>
          <w:p w14:paraId="13145DE3" w14:textId="327BBE40"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-0.8 </w:t>
            </w:r>
            <w:proofErr w:type="spellStart"/>
            <w:r>
              <w:rPr>
                <w:rFonts w:ascii="Calibri" w:hAnsi="Calibri" w:cs="Calibri"/>
                <w:color w:val="000000"/>
                <w:sz w:val="20"/>
              </w:rPr>
              <w:t>ppt</w:t>
            </w:r>
            <w:proofErr w:type="spellEnd"/>
          </w:p>
        </w:tc>
        <w:tc>
          <w:tcPr>
            <w:tcW w:w="1533" w:type="dxa"/>
            <w:vAlign w:val="center"/>
          </w:tcPr>
          <w:p w14:paraId="0F628F55" w14:textId="02E7F305"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-1.4 </w:t>
            </w:r>
            <w:proofErr w:type="spellStart"/>
            <w:r>
              <w:rPr>
                <w:rFonts w:ascii="Calibri" w:hAnsi="Calibri" w:cs="Calibri"/>
                <w:color w:val="000000"/>
                <w:sz w:val="20"/>
              </w:rPr>
              <w:t>ppt</w:t>
            </w:r>
            <w:proofErr w:type="spellEnd"/>
          </w:p>
        </w:tc>
      </w:tr>
      <w:tr w:rsidR="003763FC" w:rsidRPr="00331475" w14:paraId="01535E0A"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40FC221B"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Unemployment rate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 (</w:t>
            </w:r>
            <w:proofErr w:type="spellStart"/>
            <w:r w:rsidRPr="00331475">
              <w:rPr>
                <w:rFonts w:ascii="Calibri" w:hAnsi="Calibri" w:cs="Calibri"/>
                <w:i/>
                <w:iCs/>
                <w:color w:val="000000"/>
                <w:sz w:val="20"/>
              </w:rPr>
              <w:t>sa</w:t>
            </w:r>
            <w:proofErr w:type="spellEnd"/>
            <w:r w:rsidRPr="00331475">
              <w:rPr>
                <w:rFonts w:ascii="Calibri" w:hAnsi="Calibri" w:cs="Calibri"/>
                <w:i/>
                <w:iCs/>
                <w:color w:val="000000"/>
                <w:sz w:val="20"/>
              </w:rPr>
              <w:t>)</w:t>
            </w:r>
          </w:p>
        </w:tc>
        <w:tc>
          <w:tcPr>
            <w:tcW w:w="985" w:type="dxa"/>
            <w:shd w:val="clear" w:color="auto" w:fill="auto"/>
            <w:vAlign w:val="center"/>
          </w:tcPr>
          <w:p w14:paraId="23B52F3E" w14:textId="428E958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Oct-22</w:t>
            </w:r>
          </w:p>
        </w:tc>
        <w:tc>
          <w:tcPr>
            <w:tcW w:w="1124" w:type="dxa"/>
            <w:shd w:val="clear" w:color="auto" w:fill="auto"/>
            <w:vAlign w:val="center"/>
          </w:tcPr>
          <w:p w14:paraId="78E2114C" w14:textId="22248135"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3.4%</w:t>
            </w:r>
          </w:p>
        </w:tc>
        <w:tc>
          <w:tcPr>
            <w:tcW w:w="1126" w:type="dxa"/>
            <w:shd w:val="clear" w:color="auto" w:fill="auto"/>
            <w:vAlign w:val="center"/>
          </w:tcPr>
          <w:p w14:paraId="13BE7E28" w14:textId="06398E5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-0.1 </w:t>
            </w:r>
            <w:proofErr w:type="spellStart"/>
            <w:r>
              <w:rPr>
                <w:rFonts w:ascii="Calibri" w:hAnsi="Calibri" w:cs="Calibri"/>
                <w:color w:val="000000"/>
                <w:sz w:val="20"/>
              </w:rPr>
              <w:t>ppt</w:t>
            </w:r>
            <w:proofErr w:type="spellEnd"/>
          </w:p>
        </w:tc>
        <w:tc>
          <w:tcPr>
            <w:tcW w:w="1126" w:type="dxa"/>
            <w:shd w:val="clear" w:color="auto" w:fill="auto"/>
            <w:vAlign w:val="center"/>
          </w:tcPr>
          <w:p w14:paraId="0DFA8D97" w14:textId="085E5804"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-1.9 </w:t>
            </w:r>
            <w:proofErr w:type="spellStart"/>
            <w:r>
              <w:rPr>
                <w:rFonts w:ascii="Calibri" w:hAnsi="Calibri" w:cs="Calibri"/>
                <w:color w:val="000000"/>
                <w:sz w:val="20"/>
              </w:rPr>
              <w:t>ppt</w:t>
            </w:r>
            <w:proofErr w:type="spellEnd"/>
          </w:p>
        </w:tc>
        <w:tc>
          <w:tcPr>
            <w:tcW w:w="1117" w:type="dxa"/>
            <w:shd w:val="clear" w:color="auto" w:fill="auto"/>
            <w:vAlign w:val="center"/>
          </w:tcPr>
          <w:p w14:paraId="60169127" w14:textId="4AC25FD6"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-1.7 </w:t>
            </w:r>
            <w:proofErr w:type="spellStart"/>
            <w:r>
              <w:rPr>
                <w:rFonts w:ascii="Calibri" w:hAnsi="Calibri" w:cs="Calibri"/>
                <w:color w:val="000000"/>
                <w:sz w:val="20"/>
              </w:rPr>
              <w:t>ppt</w:t>
            </w:r>
            <w:proofErr w:type="spellEnd"/>
          </w:p>
        </w:tc>
        <w:tc>
          <w:tcPr>
            <w:tcW w:w="1533" w:type="dxa"/>
            <w:shd w:val="clear" w:color="auto" w:fill="auto"/>
            <w:vAlign w:val="center"/>
          </w:tcPr>
          <w:p w14:paraId="5CCB60F4" w14:textId="3BB0FDCC"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-1.7 </w:t>
            </w:r>
            <w:proofErr w:type="spellStart"/>
            <w:r>
              <w:rPr>
                <w:rFonts w:ascii="Calibri" w:hAnsi="Calibri" w:cs="Calibri"/>
                <w:color w:val="000000"/>
                <w:sz w:val="20"/>
              </w:rPr>
              <w:t>ppt</w:t>
            </w:r>
            <w:proofErr w:type="spellEnd"/>
          </w:p>
        </w:tc>
      </w:tr>
      <w:tr w:rsidR="004F7E54" w:rsidRPr="00331475" w14:paraId="3EDA8D03"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D9D9D9" w:themeFill="background1" w:themeFillShade="D9"/>
            <w:vAlign w:val="center"/>
          </w:tcPr>
          <w:p w14:paraId="764B6099" w14:textId="77777777" w:rsidR="004F7E54" w:rsidRPr="00331475" w:rsidRDefault="004F7E54" w:rsidP="000D503C">
            <w:pPr>
              <w:rPr>
                <w:rFonts w:ascii="Calibri" w:hAnsi="Calibri" w:cs="Calibri"/>
                <w:b/>
                <w:bCs/>
                <w:color w:val="000000"/>
                <w:sz w:val="20"/>
              </w:rPr>
            </w:pPr>
            <w:r w:rsidRPr="00331475">
              <w:rPr>
                <w:rFonts w:ascii="Calibri" w:hAnsi="Calibri" w:cs="Calibri"/>
                <w:b/>
                <w:bCs/>
                <w:color w:val="000000"/>
                <w:sz w:val="20"/>
              </w:rPr>
              <w:t>Population</w:t>
            </w:r>
          </w:p>
        </w:tc>
        <w:tc>
          <w:tcPr>
            <w:tcW w:w="985" w:type="dxa"/>
            <w:shd w:val="clear" w:color="auto" w:fill="D9D9D9" w:themeFill="background1" w:themeFillShade="D9"/>
            <w:vAlign w:val="center"/>
          </w:tcPr>
          <w:p w14:paraId="44C5CBE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4" w:type="dxa"/>
            <w:shd w:val="clear" w:color="auto" w:fill="D9D9D9" w:themeFill="background1" w:themeFillShade="D9"/>
            <w:vAlign w:val="center"/>
          </w:tcPr>
          <w:p w14:paraId="732C9876"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10E1D983"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26" w:type="dxa"/>
            <w:shd w:val="clear" w:color="auto" w:fill="D9D9D9" w:themeFill="background1" w:themeFillShade="D9"/>
            <w:vAlign w:val="center"/>
          </w:tcPr>
          <w:p w14:paraId="436226C5"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117" w:type="dxa"/>
            <w:shd w:val="clear" w:color="auto" w:fill="D9D9D9" w:themeFill="background1" w:themeFillShade="D9"/>
            <w:vAlign w:val="center"/>
          </w:tcPr>
          <w:p w14:paraId="2776258A"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c>
          <w:tcPr>
            <w:tcW w:w="1533" w:type="dxa"/>
            <w:shd w:val="clear" w:color="auto" w:fill="D9D9D9" w:themeFill="background1" w:themeFillShade="D9"/>
            <w:vAlign w:val="center"/>
          </w:tcPr>
          <w:p w14:paraId="7A8AEE07" w14:textId="77777777" w:rsidR="004F7E54" w:rsidRPr="00331475" w:rsidRDefault="004F7E54" w:rsidP="000D503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31475">
              <w:rPr>
                <w:rFonts w:ascii="Calibri" w:hAnsi="Calibri" w:cs="Calibri"/>
                <w:color w:val="000000"/>
                <w:sz w:val="20"/>
              </w:rPr>
              <w:t> </w:t>
            </w:r>
          </w:p>
        </w:tc>
      </w:tr>
      <w:tr w:rsidR="003763FC" w:rsidRPr="00331475" w14:paraId="72E620D8" w14:textId="77777777" w:rsidTr="00992EB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shd w:val="clear" w:color="auto" w:fill="auto"/>
            <w:vAlign w:val="center"/>
          </w:tcPr>
          <w:p w14:paraId="61607957"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Population (NT)</w:t>
            </w:r>
          </w:p>
        </w:tc>
        <w:tc>
          <w:tcPr>
            <w:tcW w:w="985" w:type="dxa"/>
            <w:shd w:val="clear" w:color="auto" w:fill="auto"/>
            <w:vAlign w:val="center"/>
          </w:tcPr>
          <w:p w14:paraId="4D1BE2DC" w14:textId="358B6F79"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shd w:val="clear" w:color="auto" w:fill="auto"/>
            <w:vAlign w:val="center"/>
          </w:tcPr>
          <w:p w14:paraId="41DAED1C" w14:textId="0E3AE6E9"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250</w:t>
            </w:r>
            <w:r w:rsidR="00971767">
              <w:rPr>
                <w:rFonts w:ascii="Calibri" w:hAnsi="Calibri" w:cs="Calibri"/>
                <w:color w:val="000000"/>
                <w:sz w:val="20"/>
              </w:rPr>
              <w:t>,</w:t>
            </w:r>
            <w:r>
              <w:rPr>
                <w:rFonts w:ascii="Calibri" w:hAnsi="Calibri" w:cs="Calibri"/>
                <w:color w:val="000000"/>
                <w:sz w:val="20"/>
              </w:rPr>
              <w:t>398</w:t>
            </w:r>
          </w:p>
        </w:tc>
        <w:tc>
          <w:tcPr>
            <w:tcW w:w="1126" w:type="dxa"/>
            <w:shd w:val="clear" w:color="auto" w:fill="auto"/>
            <w:vAlign w:val="center"/>
          </w:tcPr>
          <w:p w14:paraId="06C72730" w14:textId="407F3426"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0.4%</w:t>
            </w:r>
          </w:p>
        </w:tc>
        <w:tc>
          <w:tcPr>
            <w:tcW w:w="1126" w:type="dxa"/>
            <w:shd w:val="clear" w:color="auto" w:fill="auto"/>
            <w:vAlign w:val="center"/>
          </w:tcPr>
          <w:p w14:paraId="21371203" w14:textId="08103DEA"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0.4%</w:t>
            </w:r>
          </w:p>
        </w:tc>
        <w:tc>
          <w:tcPr>
            <w:tcW w:w="1117" w:type="dxa"/>
            <w:shd w:val="clear" w:color="auto" w:fill="auto"/>
            <w:vAlign w:val="center"/>
          </w:tcPr>
          <w:p w14:paraId="58BAD20F" w14:textId="674380C0"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0.2%</w:t>
            </w:r>
          </w:p>
        </w:tc>
        <w:tc>
          <w:tcPr>
            <w:tcW w:w="1533" w:type="dxa"/>
            <w:shd w:val="clear" w:color="auto" w:fill="auto"/>
            <w:vAlign w:val="center"/>
          </w:tcPr>
          <w:p w14:paraId="1219628B" w14:textId="1540FD25" w:rsidR="003763FC" w:rsidRPr="00331475"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r>
      <w:tr w:rsidR="003763FC" w14:paraId="1CBBCE74" w14:textId="77777777" w:rsidTr="00992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78" w:type="dxa"/>
            <w:vAlign w:val="center"/>
          </w:tcPr>
          <w:p w14:paraId="01870113" w14:textId="77777777" w:rsidR="003763FC" w:rsidRPr="00331475" w:rsidRDefault="003763FC" w:rsidP="003763FC">
            <w:pPr>
              <w:spacing w:before="0" w:after="0"/>
              <w:ind w:firstLineChars="200" w:firstLine="400"/>
              <w:rPr>
                <w:rFonts w:ascii="Calibri" w:hAnsi="Calibri" w:cs="Calibri"/>
                <w:i/>
                <w:iCs/>
                <w:color w:val="000000"/>
                <w:sz w:val="20"/>
              </w:rPr>
            </w:pPr>
            <w:r w:rsidRPr="00331475">
              <w:rPr>
                <w:rFonts w:ascii="Calibri" w:hAnsi="Calibri" w:cs="Calibri"/>
                <w:i/>
                <w:iCs/>
                <w:color w:val="000000"/>
                <w:sz w:val="20"/>
              </w:rPr>
              <w:t>Population (</w:t>
            </w:r>
            <w:proofErr w:type="spellStart"/>
            <w:r w:rsidRPr="00331475">
              <w:rPr>
                <w:rFonts w:ascii="Calibri" w:hAnsi="Calibri" w:cs="Calibri"/>
                <w:i/>
                <w:iCs/>
                <w:color w:val="000000"/>
                <w:sz w:val="20"/>
              </w:rPr>
              <w:t>Aust</w:t>
            </w:r>
            <w:proofErr w:type="spellEnd"/>
            <w:r w:rsidRPr="00331475">
              <w:rPr>
                <w:rFonts w:ascii="Calibri" w:hAnsi="Calibri" w:cs="Calibri"/>
                <w:i/>
                <w:iCs/>
                <w:color w:val="000000"/>
                <w:sz w:val="20"/>
              </w:rPr>
              <w:t>)</w:t>
            </w:r>
          </w:p>
        </w:tc>
        <w:tc>
          <w:tcPr>
            <w:tcW w:w="985" w:type="dxa"/>
            <w:vAlign w:val="center"/>
          </w:tcPr>
          <w:p w14:paraId="3340DA18" w14:textId="14B469F5"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Mar-22</w:t>
            </w:r>
          </w:p>
        </w:tc>
        <w:tc>
          <w:tcPr>
            <w:tcW w:w="1124" w:type="dxa"/>
            <w:vAlign w:val="center"/>
          </w:tcPr>
          <w:p w14:paraId="59FB9A4B" w14:textId="1F7B0B02"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25.9 m</w:t>
            </w:r>
          </w:p>
        </w:tc>
        <w:tc>
          <w:tcPr>
            <w:tcW w:w="1126" w:type="dxa"/>
            <w:vAlign w:val="center"/>
          </w:tcPr>
          <w:p w14:paraId="245B10D8" w14:textId="233FE045"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0.5%</w:t>
            </w:r>
          </w:p>
        </w:tc>
        <w:tc>
          <w:tcPr>
            <w:tcW w:w="1126" w:type="dxa"/>
            <w:vAlign w:val="center"/>
          </w:tcPr>
          <w:p w14:paraId="54A1E551" w14:textId="5377A8AF"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0.9%</w:t>
            </w:r>
          </w:p>
        </w:tc>
        <w:tc>
          <w:tcPr>
            <w:tcW w:w="1117" w:type="dxa"/>
            <w:vAlign w:val="center"/>
          </w:tcPr>
          <w:p w14:paraId="61E72CC4" w14:textId="7F82A780" w:rsidR="003763FC" w:rsidRPr="00331475"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0.4%</w:t>
            </w:r>
          </w:p>
        </w:tc>
        <w:tc>
          <w:tcPr>
            <w:tcW w:w="1533" w:type="dxa"/>
            <w:vAlign w:val="center"/>
          </w:tcPr>
          <w:p w14:paraId="7CAD3AF5" w14:textId="688CA023" w:rsidR="003763FC"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w:t>
            </w:r>
          </w:p>
        </w:tc>
      </w:tr>
    </w:tbl>
    <w:p w14:paraId="6BEBFEF2" w14:textId="77777777" w:rsidR="004F7E54" w:rsidRDefault="004F7E54" w:rsidP="004F7E54">
      <w:pPr>
        <w:spacing w:after="0"/>
        <w:rPr>
          <w:sz w:val="16"/>
          <w:szCs w:val="16"/>
        </w:rPr>
      </w:pPr>
      <w:r>
        <w:rPr>
          <w:sz w:val="16"/>
          <w:szCs w:val="16"/>
        </w:rPr>
        <w:t>Source: ABS</w:t>
      </w:r>
    </w:p>
    <w:p w14:paraId="57A07CB4" w14:textId="77777777" w:rsidR="004F7E54" w:rsidRPr="00EE4666" w:rsidRDefault="004F7E54" w:rsidP="004F7E54">
      <w:pPr>
        <w:spacing w:after="0"/>
        <w:rPr>
          <w:sz w:val="16"/>
          <w:szCs w:val="16"/>
        </w:rPr>
      </w:pPr>
      <w:r>
        <w:rPr>
          <w:sz w:val="16"/>
          <w:szCs w:val="16"/>
        </w:rPr>
        <w:t>1. Monthly change for retail sales, goods exports, and unemployment; quarterly change for all other variables.</w:t>
      </w:r>
    </w:p>
    <w:p w14:paraId="42DCE9B8" w14:textId="77777777" w:rsidR="004F7E54" w:rsidRDefault="004F7E54" w:rsidP="004F7E54">
      <w:pPr>
        <w:spacing w:after="0"/>
        <w:rPr>
          <w:sz w:val="16"/>
          <w:szCs w:val="16"/>
        </w:rPr>
      </w:pPr>
      <w:r>
        <w:rPr>
          <w:sz w:val="16"/>
          <w:szCs w:val="16"/>
        </w:rPr>
        <w:t>2</w:t>
      </w:r>
      <w:r w:rsidRPr="00EE4666">
        <w:rPr>
          <w:sz w:val="16"/>
          <w:szCs w:val="16"/>
        </w:rPr>
        <w:t>. Compares the latest month w</w:t>
      </w:r>
      <w:r>
        <w:rPr>
          <w:sz w:val="16"/>
          <w:szCs w:val="16"/>
        </w:rPr>
        <w:t>ith the same month last year</w:t>
      </w:r>
    </w:p>
    <w:p w14:paraId="2FFF1A00" w14:textId="77777777" w:rsidR="004F7E54" w:rsidRDefault="004F7E54" w:rsidP="004F7E54">
      <w:pPr>
        <w:spacing w:after="0"/>
        <w:rPr>
          <w:sz w:val="16"/>
          <w:szCs w:val="16"/>
        </w:rPr>
      </w:pPr>
      <w:r>
        <w:rPr>
          <w:sz w:val="16"/>
          <w:szCs w:val="16"/>
        </w:rPr>
        <w:t>3</w:t>
      </w:r>
      <w:r w:rsidRPr="00EE4666">
        <w:rPr>
          <w:sz w:val="16"/>
          <w:szCs w:val="16"/>
        </w:rPr>
        <w:t>. Compares the 12 months up to and including the latest month with the previous 12-month</w:t>
      </w:r>
      <w:r>
        <w:rPr>
          <w:sz w:val="16"/>
          <w:szCs w:val="16"/>
        </w:rPr>
        <w:t xml:space="preserve"> period</w:t>
      </w:r>
    </w:p>
    <w:p w14:paraId="689549E4" w14:textId="33F32F08" w:rsidR="004F7E54" w:rsidRDefault="004F7E54" w:rsidP="004F7E54">
      <w:pPr>
        <w:spacing w:after="120"/>
        <w:jc w:val="both"/>
        <w:rPr>
          <w:sz w:val="21"/>
          <w:szCs w:val="21"/>
        </w:rPr>
      </w:pPr>
      <w:r>
        <w:rPr>
          <w:rFonts w:cstheme="minorHAnsi"/>
          <w:sz w:val="16"/>
          <w:szCs w:val="16"/>
        </w:rPr>
        <w:t xml:space="preserve">4. Growth rate </w:t>
      </w:r>
      <w:r w:rsidR="003763FC">
        <w:rPr>
          <w:rFonts w:cstheme="minorHAnsi"/>
          <w:sz w:val="16"/>
          <w:szCs w:val="16"/>
        </w:rPr>
        <w:t>from</w:t>
      </w:r>
      <w:r>
        <w:rPr>
          <w:rFonts w:cstheme="minorHAnsi"/>
          <w:sz w:val="16"/>
          <w:szCs w:val="16"/>
        </w:rPr>
        <w:t xml:space="preserve"> </w:t>
      </w:r>
      <w:r>
        <w:rPr>
          <w:sz w:val="16"/>
          <w:szCs w:val="16"/>
        </w:rPr>
        <w:t>December 2019 to most recent for monthly data, and December quarter 2019 to most recent for quarterly data.</w:t>
      </w:r>
    </w:p>
    <w:p w14:paraId="42408C24" w14:textId="77777777" w:rsidR="004F7E54" w:rsidRPr="00667D94" w:rsidRDefault="004F7E54" w:rsidP="003B0FF0">
      <w:pPr>
        <w:spacing w:after="120"/>
        <w:jc w:val="both"/>
        <w:rPr>
          <w:sz w:val="21"/>
          <w:szCs w:val="21"/>
        </w:rPr>
      </w:pPr>
    </w:p>
    <w:tbl>
      <w:tblPr>
        <w:tblStyle w:val="PlainTable4"/>
        <w:tblW w:w="0" w:type="auto"/>
        <w:tblLook w:val="04A0" w:firstRow="1" w:lastRow="0" w:firstColumn="1" w:lastColumn="0" w:noHBand="0" w:noVBand="1"/>
      </w:tblPr>
      <w:tblGrid>
        <w:gridCol w:w="5154"/>
        <w:gridCol w:w="5154"/>
      </w:tblGrid>
      <w:tr w:rsidR="00482D19" w:rsidRPr="00482D19" w14:paraId="6A9D9C39" w14:textId="77777777" w:rsidTr="00482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414D1287" w14:textId="42460B2C" w:rsidR="0008691E" w:rsidRDefault="003B0FF0" w:rsidP="00FE73C2">
            <w:pPr>
              <w:jc w:val="both"/>
              <w:rPr>
                <w:b w:val="0"/>
                <w:noProof/>
                <w:sz w:val="20"/>
                <w:szCs w:val="20"/>
                <w:lang w:eastAsia="en-AU"/>
              </w:rPr>
            </w:pPr>
            <w:r w:rsidRPr="003B0FF0">
              <w:rPr>
                <w:noProof/>
                <w:sz w:val="20"/>
                <w:szCs w:val="20"/>
                <w:lang w:eastAsia="en-AU"/>
              </w:rPr>
              <w:t>Graph 1</w:t>
            </w:r>
            <w:r w:rsidR="001D13F9">
              <w:rPr>
                <w:noProof/>
                <w:sz w:val="20"/>
                <w:szCs w:val="20"/>
                <w:lang w:eastAsia="en-AU"/>
              </w:rPr>
              <w:t xml:space="preserve">: </w:t>
            </w:r>
            <w:r w:rsidR="007E1C62">
              <w:rPr>
                <w:b w:val="0"/>
                <w:noProof/>
                <w:sz w:val="20"/>
                <w:szCs w:val="20"/>
                <w:lang w:eastAsia="en-AU"/>
              </w:rPr>
              <w:t xml:space="preserve">While quarterly growth in SFD </w:t>
            </w:r>
            <w:r w:rsidR="00D81BB1">
              <w:rPr>
                <w:b w:val="0"/>
                <w:noProof/>
                <w:sz w:val="20"/>
                <w:szCs w:val="20"/>
                <w:lang w:eastAsia="en-AU"/>
              </w:rPr>
              <w:t>was</w:t>
            </w:r>
            <w:r w:rsidR="007E1C62">
              <w:rPr>
                <w:b w:val="0"/>
                <w:noProof/>
                <w:sz w:val="20"/>
                <w:szCs w:val="20"/>
                <w:lang w:eastAsia="en-AU"/>
              </w:rPr>
              <w:t xml:space="preserve"> 2.7 per cent, annual SFD growth slowed to 2.9 per cent, as the </w:t>
            </w:r>
            <w:r w:rsidR="00430816">
              <w:rPr>
                <w:b w:val="0"/>
                <w:noProof/>
                <w:sz w:val="20"/>
                <w:szCs w:val="20"/>
                <w:lang w:eastAsia="en-AU"/>
              </w:rPr>
              <w:t xml:space="preserve">NT economy returns to a more normal setting </w:t>
            </w:r>
            <w:r w:rsidR="00DD37D4">
              <w:rPr>
                <w:b w:val="0"/>
                <w:noProof/>
                <w:sz w:val="20"/>
                <w:szCs w:val="20"/>
                <w:lang w:eastAsia="en-AU"/>
              </w:rPr>
              <w:t>following</w:t>
            </w:r>
            <w:bookmarkStart w:id="0" w:name="_GoBack"/>
            <w:bookmarkEnd w:id="0"/>
            <w:r w:rsidR="00430816">
              <w:rPr>
                <w:b w:val="0"/>
                <w:noProof/>
                <w:sz w:val="20"/>
                <w:szCs w:val="20"/>
                <w:lang w:eastAsia="en-AU"/>
              </w:rPr>
              <w:t xml:space="preserve"> </w:t>
            </w:r>
            <w:r w:rsidR="00971767">
              <w:rPr>
                <w:b w:val="0"/>
                <w:noProof/>
                <w:sz w:val="20"/>
                <w:szCs w:val="20"/>
                <w:lang w:eastAsia="en-AU"/>
              </w:rPr>
              <w:t>the</w:t>
            </w:r>
            <w:r w:rsidR="00430816">
              <w:rPr>
                <w:b w:val="0"/>
                <w:noProof/>
                <w:sz w:val="20"/>
                <w:szCs w:val="20"/>
                <w:lang w:eastAsia="en-AU"/>
              </w:rPr>
              <w:t xml:space="preserve"> COVID </w:t>
            </w:r>
            <w:r w:rsidR="00971767">
              <w:rPr>
                <w:b w:val="0"/>
                <w:noProof/>
                <w:sz w:val="20"/>
                <w:szCs w:val="20"/>
                <w:lang w:eastAsia="en-AU"/>
              </w:rPr>
              <w:t>period</w:t>
            </w:r>
            <w:r w:rsidR="00430816">
              <w:rPr>
                <w:b w:val="0"/>
                <w:noProof/>
                <w:sz w:val="20"/>
                <w:szCs w:val="20"/>
                <w:lang w:eastAsia="en-AU"/>
              </w:rPr>
              <w:t>.</w:t>
            </w:r>
            <w:r w:rsidR="007E1C62">
              <w:rPr>
                <w:b w:val="0"/>
                <w:noProof/>
                <w:sz w:val="20"/>
                <w:szCs w:val="20"/>
                <w:lang w:eastAsia="en-AU"/>
              </w:rPr>
              <w:t xml:space="preserve"> </w:t>
            </w:r>
            <w:r w:rsidR="00782AF4">
              <w:rPr>
                <w:b w:val="0"/>
                <w:noProof/>
                <w:sz w:val="20"/>
                <w:szCs w:val="20"/>
                <w:lang w:eastAsia="en-AU"/>
              </w:rPr>
              <w:t>Private investment was responsible for around half the growth over the past year.</w:t>
            </w:r>
            <w:r w:rsidR="007E1C62">
              <w:rPr>
                <w:b w:val="0"/>
                <w:noProof/>
                <w:sz w:val="20"/>
                <w:szCs w:val="20"/>
                <w:lang w:eastAsia="en-AU"/>
              </w:rPr>
              <w:t xml:space="preserve"> </w:t>
            </w:r>
            <w:r w:rsidR="00EF34C4">
              <w:rPr>
                <w:b w:val="0"/>
                <w:noProof/>
                <w:sz w:val="20"/>
                <w:szCs w:val="20"/>
                <w:lang w:eastAsia="en-AU"/>
              </w:rPr>
              <w:t xml:space="preserve"> </w:t>
            </w:r>
          </w:p>
          <w:p w14:paraId="44CC8987" w14:textId="7801D608" w:rsidR="003B0FF0" w:rsidRPr="00482D19" w:rsidRDefault="00E53490" w:rsidP="003B0FF0">
            <w:pPr>
              <w:jc w:val="center"/>
            </w:pPr>
            <w:r w:rsidRPr="00E53490">
              <w:rPr>
                <w:noProof/>
                <w:lang w:eastAsia="en-AU"/>
              </w:rPr>
              <w:drawing>
                <wp:inline distT="0" distB="0" distL="0" distR="0" wp14:anchorId="27520B1C" wp14:editId="273F5D05">
                  <wp:extent cx="3060000" cy="2815200"/>
                  <wp:effectExtent l="0" t="0" r="762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000" cy="2815200"/>
                          </a:xfrm>
                          <a:prstGeom prst="rect">
                            <a:avLst/>
                          </a:prstGeom>
                          <a:noFill/>
                          <a:ln>
                            <a:noFill/>
                          </a:ln>
                        </pic:spPr>
                      </pic:pic>
                    </a:graphicData>
                  </a:graphic>
                </wp:inline>
              </w:drawing>
            </w:r>
          </w:p>
        </w:tc>
        <w:tc>
          <w:tcPr>
            <w:tcW w:w="5154" w:type="dxa"/>
            <w:shd w:val="clear" w:color="auto" w:fill="auto"/>
          </w:tcPr>
          <w:p w14:paraId="0DBDEBAC" w14:textId="4E8F39D6" w:rsidR="00CA5C87" w:rsidRPr="001D13F9" w:rsidRDefault="003B0FF0" w:rsidP="00971767">
            <w:pPr>
              <w:jc w:val="both"/>
              <w:cnfStyle w:val="100000000000" w:firstRow="1" w:lastRow="0" w:firstColumn="0" w:lastColumn="0" w:oddVBand="0" w:evenVBand="0" w:oddHBand="0" w:evenHBand="0" w:firstRowFirstColumn="0" w:firstRowLastColumn="0" w:lastRowFirstColumn="0" w:lastRowLastColumn="0"/>
              <w:rPr>
                <w:b w:val="0"/>
                <w:noProof/>
                <w:sz w:val="20"/>
                <w:szCs w:val="20"/>
                <w:lang w:eastAsia="en-AU"/>
              </w:rPr>
            </w:pPr>
            <w:r w:rsidRPr="003B0FF0">
              <w:rPr>
                <w:sz w:val="20"/>
                <w:szCs w:val="20"/>
              </w:rPr>
              <w:t>Graph 2</w:t>
            </w:r>
            <w:r w:rsidR="001D13F9">
              <w:rPr>
                <w:sz w:val="20"/>
                <w:szCs w:val="20"/>
              </w:rPr>
              <w:t xml:space="preserve">: </w:t>
            </w:r>
            <w:r w:rsidR="00CA5C87">
              <w:rPr>
                <w:b w:val="0"/>
                <w:noProof/>
                <w:sz w:val="20"/>
                <w:szCs w:val="20"/>
                <w:lang w:eastAsia="en-AU"/>
              </w:rPr>
              <w:t>Non-residential building construction has grown steadily over recent quarters, but engineering construction work remains at a similar level to a year ago.</w:t>
            </w:r>
            <w:r w:rsidR="00971767">
              <w:rPr>
                <w:b w:val="0"/>
                <w:noProof/>
                <w:sz w:val="20"/>
                <w:szCs w:val="20"/>
                <w:lang w:eastAsia="en-AU"/>
              </w:rPr>
              <w:t xml:space="preserve"> Residential construction has started to recover from supply-side disruptions felt at the start of the year.</w:t>
            </w:r>
          </w:p>
          <w:p w14:paraId="1C04437C" w14:textId="035657FC" w:rsidR="003B0FF0" w:rsidRPr="00482D19" w:rsidRDefault="00CA5C87" w:rsidP="00CA5C87">
            <w:pPr>
              <w:jc w:val="both"/>
              <w:cnfStyle w:val="100000000000" w:firstRow="1" w:lastRow="0" w:firstColumn="0" w:lastColumn="0" w:oddVBand="0" w:evenVBand="0" w:oddHBand="0" w:evenHBand="0" w:firstRowFirstColumn="0" w:firstRowLastColumn="0" w:lastRowFirstColumn="0" w:lastRowLastColumn="0"/>
            </w:pPr>
            <w:r w:rsidRPr="005C5C82">
              <w:rPr>
                <w:noProof/>
                <w:sz w:val="20"/>
                <w:szCs w:val="20"/>
                <w:lang w:eastAsia="en-AU"/>
              </w:rPr>
              <w:drawing>
                <wp:inline distT="0" distB="0" distL="0" distR="0" wp14:anchorId="227A0BBB" wp14:editId="3F20CCB7">
                  <wp:extent cx="3060000" cy="2793600"/>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0000" cy="2793600"/>
                          </a:xfrm>
                          <a:prstGeom prst="rect">
                            <a:avLst/>
                          </a:prstGeom>
                          <a:noFill/>
                          <a:ln>
                            <a:noFill/>
                          </a:ln>
                        </pic:spPr>
                      </pic:pic>
                    </a:graphicData>
                  </a:graphic>
                </wp:inline>
              </w:drawing>
            </w:r>
          </w:p>
        </w:tc>
      </w:tr>
      <w:tr w:rsidR="00482D19" w:rsidRPr="00482D19" w14:paraId="53EF8C2D" w14:textId="77777777" w:rsidTr="0048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69625161" w14:textId="77777777" w:rsidR="003B0FF0" w:rsidRDefault="001D13F9" w:rsidP="00CA5C87">
            <w:pPr>
              <w:spacing w:before="240"/>
              <w:jc w:val="both"/>
              <w:rPr>
                <w:b w:val="0"/>
                <w:sz w:val="20"/>
                <w:szCs w:val="20"/>
              </w:rPr>
            </w:pPr>
            <w:r>
              <w:rPr>
                <w:noProof/>
                <w:sz w:val="20"/>
                <w:szCs w:val="20"/>
                <w:lang w:eastAsia="en-AU"/>
              </w:rPr>
              <w:t xml:space="preserve">Graph 3: </w:t>
            </w:r>
            <w:r w:rsidR="00CA5C87">
              <w:rPr>
                <w:b w:val="0"/>
                <w:sz w:val="20"/>
                <w:szCs w:val="20"/>
              </w:rPr>
              <w:t xml:space="preserve">Over the past year, employment has grown by around 4 per cent, entirely driven by full-time employment. The growth in full-time employment since </w:t>
            </w:r>
            <w:proofErr w:type="spellStart"/>
            <w:r w:rsidR="00CA5C87">
              <w:rPr>
                <w:b w:val="0"/>
                <w:sz w:val="20"/>
                <w:szCs w:val="20"/>
              </w:rPr>
              <w:t>mid 2021</w:t>
            </w:r>
            <w:proofErr w:type="spellEnd"/>
            <w:r w:rsidR="00CA5C87">
              <w:rPr>
                <w:b w:val="0"/>
                <w:sz w:val="20"/>
                <w:szCs w:val="20"/>
              </w:rPr>
              <w:t xml:space="preserve"> represents the longest period of sustained full-time employment growth since 2014.</w:t>
            </w:r>
          </w:p>
          <w:p w14:paraId="193C87E6" w14:textId="62333CD4" w:rsidR="00CA5C87" w:rsidRPr="00AD78C8" w:rsidRDefault="00CA5C87" w:rsidP="00CA5C87">
            <w:pPr>
              <w:jc w:val="both"/>
              <w:rPr>
                <w:b w:val="0"/>
                <w:noProof/>
                <w:sz w:val="20"/>
                <w:szCs w:val="20"/>
                <w:lang w:eastAsia="en-AU"/>
              </w:rPr>
            </w:pPr>
            <w:r w:rsidRPr="000246C7">
              <w:rPr>
                <w:noProof/>
                <w:lang w:eastAsia="en-AU"/>
              </w:rPr>
              <w:drawing>
                <wp:inline distT="0" distB="0" distL="0" distR="0" wp14:anchorId="62B17DE2" wp14:editId="4E374462">
                  <wp:extent cx="3060000" cy="2793600"/>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000" cy="2793600"/>
                          </a:xfrm>
                          <a:prstGeom prst="rect">
                            <a:avLst/>
                          </a:prstGeom>
                          <a:noFill/>
                          <a:ln>
                            <a:noFill/>
                          </a:ln>
                        </pic:spPr>
                      </pic:pic>
                    </a:graphicData>
                  </a:graphic>
                </wp:inline>
              </w:drawing>
            </w:r>
          </w:p>
        </w:tc>
        <w:tc>
          <w:tcPr>
            <w:tcW w:w="5154" w:type="dxa"/>
            <w:shd w:val="clear" w:color="auto" w:fill="auto"/>
          </w:tcPr>
          <w:p w14:paraId="4236404C" w14:textId="2C593D15" w:rsidR="00D11970" w:rsidRDefault="003B0FF0" w:rsidP="00FE73C2">
            <w:pPr>
              <w:spacing w:before="240"/>
              <w:jc w:val="both"/>
              <w:cnfStyle w:val="000000100000" w:firstRow="0" w:lastRow="0" w:firstColumn="0" w:lastColumn="0" w:oddVBand="0" w:evenVBand="0" w:oddHBand="1" w:evenHBand="0" w:firstRowFirstColumn="0" w:firstRowLastColumn="0" w:lastRowFirstColumn="0" w:lastRowLastColumn="0"/>
              <w:rPr>
                <w:noProof/>
                <w:sz w:val="20"/>
                <w:szCs w:val="20"/>
                <w:lang w:eastAsia="en-AU"/>
              </w:rPr>
            </w:pPr>
            <w:r w:rsidRPr="003B0FF0">
              <w:rPr>
                <w:b/>
                <w:noProof/>
                <w:sz w:val="20"/>
                <w:szCs w:val="20"/>
                <w:lang w:eastAsia="en-AU"/>
              </w:rPr>
              <w:t>Graph 4</w:t>
            </w:r>
            <w:r w:rsidR="004F7E54">
              <w:rPr>
                <w:b/>
                <w:noProof/>
                <w:sz w:val="20"/>
                <w:szCs w:val="20"/>
                <w:lang w:eastAsia="en-AU"/>
              </w:rPr>
              <w:t xml:space="preserve">: </w:t>
            </w:r>
            <w:r w:rsidR="00735A05">
              <w:rPr>
                <w:noProof/>
                <w:sz w:val="20"/>
                <w:szCs w:val="20"/>
                <w:lang w:eastAsia="en-AU"/>
              </w:rPr>
              <w:t>Reflecting the tight labour market, (nominal) p</w:t>
            </w:r>
            <w:r w:rsidR="00735A05" w:rsidRPr="00735A05">
              <w:rPr>
                <w:noProof/>
                <w:sz w:val="20"/>
                <w:szCs w:val="20"/>
                <w:lang w:eastAsia="en-AU"/>
              </w:rPr>
              <w:t>rivate</w:t>
            </w:r>
            <w:r w:rsidR="00735A05">
              <w:rPr>
                <w:noProof/>
                <w:sz w:val="20"/>
                <w:szCs w:val="20"/>
                <w:lang w:eastAsia="en-AU"/>
              </w:rPr>
              <w:t xml:space="preserve"> sector wage growth increased to 3.5 per cent in the September quarter, its highest level since 2011. Public sector wage growth continues to fall</w:t>
            </w:r>
            <w:r w:rsidR="00CA5C87">
              <w:rPr>
                <w:noProof/>
                <w:sz w:val="20"/>
                <w:szCs w:val="20"/>
                <w:lang w:eastAsia="en-AU"/>
              </w:rPr>
              <w:t>; a public sector</w:t>
            </w:r>
            <w:r w:rsidR="00AA4A64">
              <w:rPr>
                <w:noProof/>
                <w:sz w:val="20"/>
                <w:szCs w:val="20"/>
                <w:lang w:eastAsia="en-AU"/>
              </w:rPr>
              <w:t xml:space="preserve"> wage </w:t>
            </w:r>
            <w:r w:rsidR="00CA5C87">
              <w:rPr>
                <w:noProof/>
                <w:sz w:val="20"/>
                <w:szCs w:val="20"/>
                <w:lang w:eastAsia="en-AU"/>
              </w:rPr>
              <w:t>freeze has</w:t>
            </w:r>
            <w:r w:rsidR="00AA4A64">
              <w:rPr>
                <w:noProof/>
                <w:sz w:val="20"/>
                <w:szCs w:val="20"/>
                <w:lang w:eastAsia="en-AU"/>
              </w:rPr>
              <w:t xml:space="preserve"> been in place over the past year.</w:t>
            </w:r>
          </w:p>
          <w:p w14:paraId="364D70DD" w14:textId="10EEDBA7" w:rsidR="003B0FF0" w:rsidRPr="00AD78C8" w:rsidRDefault="00735A05" w:rsidP="00AD78C8">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AU"/>
              </w:rPr>
            </w:pPr>
            <w:r w:rsidRPr="00735A05">
              <w:rPr>
                <w:noProof/>
                <w:sz w:val="20"/>
                <w:szCs w:val="20"/>
                <w:lang w:eastAsia="en-AU"/>
              </w:rPr>
              <w:drawing>
                <wp:inline distT="0" distB="0" distL="0" distR="0" wp14:anchorId="771696EB" wp14:editId="10CE26D7">
                  <wp:extent cx="3060000" cy="2793600"/>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0" cy="2793600"/>
                          </a:xfrm>
                          <a:prstGeom prst="rect">
                            <a:avLst/>
                          </a:prstGeom>
                          <a:noFill/>
                          <a:ln>
                            <a:noFill/>
                          </a:ln>
                        </pic:spPr>
                      </pic:pic>
                    </a:graphicData>
                  </a:graphic>
                </wp:inline>
              </w:drawing>
            </w:r>
          </w:p>
        </w:tc>
      </w:tr>
      <w:tr w:rsidR="00CA5C87" w:rsidRPr="00482D19" w14:paraId="42BD4D4A" w14:textId="77777777" w:rsidTr="00482D19">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665BFB0A" w14:textId="3B3E2D0E" w:rsidR="00CA5C87" w:rsidRDefault="00CA5C87" w:rsidP="00CA5C87">
            <w:pPr>
              <w:jc w:val="both"/>
              <w:rPr>
                <w:b w:val="0"/>
                <w:noProof/>
                <w:sz w:val="20"/>
                <w:szCs w:val="20"/>
                <w:lang w:eastAsia="en-AU"/>
              </w:rPr>
            </w:pPr>
          </w:p>
          <w:p w14:paraId="71BA9129" w14:textId="77777777" w:rsidR="00CA5C87" w:rsidRPr="005C5C82" w:rsidRDefault="00CA5C87" w:rsidP="00CA5C87">
            <w:pPr>
              <w:jc w:val="both"/>
              <w:rPr>
                <w:b w:val="0"/>
                <w:noProof/>
                <w:sz w:val="20"/>
                <w:szCs w:val="20"/>
                <w:lang w:eastAsia="en-AU"/>
              </w:rPr>
            </w:pPr>
          </w:p>
          <w:p w14:paraId="5EB68024" w14:textId="77777777" w:rsidR="00CA5C87" w:rsidRDefault="00CA5C87" w:rsidP="00FE73C2">
            <w:pPr>
              <w:spacing w:before="240"/>
              <w:jc w:val="both"/>
              <w:rPr>
                <w:noProof/>
                <w:sz w:val="20"/>
                <w:szCs w:val="20"/>
                <w:lang w:eastAsia="en-AU"/>
              </w:rPr>
            </w:pPr>
          </w:p>
        </w:tc>
        <w:tc>
          <w:tcPr>
            <w:tcW w:w="5154" w:type="dxa"/>
            <w:shd w:val="clear" w:color="auto" w:fill="auto"/>
          </w:tcPr>
          <w:p w14:paraId="1A5ED27A" w14:textId="77777777" w:rsidR="00CA5C87" w:rsidRPr="003B0FF0" w:rsidRDefault="00CA5C87" w:rsidP="00FE73C2">
            <w:pPr>
              <w:spacing w:before="240"/>
              <w:jc w:val="both"/>
              <w:cnfStyle w:val="000000000000" w:firstRow="0" w:lastRow="0" w:firstColumn="0" w:lastColumn="0" w:oddVBand="0" w:evenVBand="0" w:oddHBand="0" w:evenHBand="0" w:firstRowFirstColumn="0" w:firstRowLastColumn="0" w:lastRowFirstColumn="0" w:lastRowLastColumn="0"/>
              <w:rPr>
                <w:b/>
                <w:noProof/>
                <w:sz w:val="20"/>
                <w:szCs w:val="20"/>
                <w:lang w:eastAsia="en-AU"/>
              </w:rPr>
            </w:pPr>
          </w:p>
        </w:tc>
      </w:tr>
    </w:tbl>
    <w:p w14:paraId="2432E6F8" w14:textId="77777777" w:rsidR="00B8103F" w:rsidRDefault="00B8103F" w:rsidP="00B8103F">
      <w:pPr>
        <w:rPr>
          <w:i/>
          <w:iCs/>
          <w:color w:val="808080" w:themeColor="background1" w:themeShade="80"/>
        </w:rPr>
      </w:pPr>
    </w:p>
    <w:p w14:paraId="27E1758A" w14:textId="33537817" w:rsidR="0008691E" w:rsidRPr="00B8103F" w:rsidRDefault="00B8103F" w:rsidP="00DD0E9F">
      <w:pPr>
        <w:jc w:val="both"/>
        <w:rPr>
          <w:rFonts w:ascii="Calibri" w:hAnsi="Calibri"/>
          <w:i/>
          <w:iCs/>
          <w:sz w:val="20"/>
          <w:szCs w:val="20"/>
        </w:rPr>
      </w:pPr>
      <w:r w:rsidRPr="00B8103F">
        <w:rPr>
          <w:i/>
          <w:iCs/>
          <w:color w:val="808080" w:themeColor="background1" w:themeShade="80"/>
          <w:sz w:val="20"/>
          <w:szCs w:val="20"/>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r w:rsidRPr="00B8103F">
        <w:rPr>
          <w:i/>
          <w:iCs/>
          <w:sz w:val="20"/>
          <w:szCs w:val="20"/>
        </w:rPr>
        <w:t>.</w:t>
      </w:r>
    </w:p>
    <w:sectPr w:rsidR="0008691E" w:rsidRPr="00B8103F" w:rsidSect="00DD607E">
      <w:headerReference w:type="default" r:id="rId13"/>
      <w:footerReference w:type="default" r:id="rId14"/>
      <w:headerReference w:type="first" r:id="rId15"/>
      <w:footerReference w:type="first" r:id="rId16"/>
      <w:pgSz w:w="11906" w:h="16838" w:code="9"/>
      <w:pgMar w:top="709" w:right="794" w:bottom="794" w:left="794" w:header="680" w:footer="2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84A10" w14:textId="77777777" w:rsidR="00A7279C" w:rsidRDefault="00A7279C" w:rsidP="007332FF">
      <w:r>
        <w:separator/>
      </w:r>
    </w:p>
  </w:endnote>
  <w:endnote w:type="continuationSeparator" w:id="0">
    <w:p w14:paraId="38CBFEC8" w14:textId="77777777" w:rsidR="00A7279C" w:rsidRDefault="00A7279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AC70" w14:textId="77777777" w:rsidR="00983000" w:rsidRPr="00DD607E" w:rsidRDefault="00983000"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6144F35" w14:textId="77777777" w:rsidTr="00DD607E">
      <w:trPr>
        <w:cantSplit/>
        <w:trHeight w:hRule="exact" w:val="850"/>
      </w:trPr>
      <w:tc>
        <w:tcPr>
          <w:tcW w:w="10318" w:type="dxa"/>
          <w:vAlign w:val="center"/>
        </w:tcPr>
        <w:p w14:paraId="47143647" w14:textId="77777777" w:rsidR="00D47DC7" w:rsidRDefault="00D47DC7"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91E">
                <w:rPr>
                  <w:rStyle w:val="PageNumber"/>
                  <w:b/>
                </w:rPr>
                <w:t>Industry, Tourism and Trade</w:t>
              </w:r>
            </w:sdtContent>
          </w:sdt>
        </w:p>
        <w:p w14:paraId="6D7329B7" w14:textId="713789C2" w:rsidR="00CA36A0" w:rsidRPr="00AC4488" w:rsidRDefault="00ED406B" w:rsidP="00DD607E">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12-09T00:00:00Z">
                <w:dateFormat w:val="d MMMM yyyy"/>
                <w:lid w:val="en-AU"/>
                <w:storeMappedDataAs w:val="dateTime"/>
                <w:calendar w:val="gregorian"/>
              </w:date>
            </w:sdtPr>
            <w:sdtEndPr>
              <w:rPr>
                <w:rStyle w:val="PageNumber"/>
              </w:rPr>
            </w:sdtEndPr>
            <w:sdtContent>
              <w:r w:rsidR="005C5C82">
                <w:rPr>
                  <w:rStyle w:val="PageNumber"/>
                </w:rPr>
                <w:t>9 December 2022</w:t>
              </w:r>
            </w:sdtContent>
          </w:sdt>
          <w:r w:rsidR="00D47DC7" w:rsidRPr="00CE6614">
            <w:rPr>
              <w:rStyle w:val="PageNumber"/>
            </w:rPr>
            <w:t xml:space="preserve">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Pr>
              <w:rStyle w:val="PageNumber"/>
              <w:noProof/>
            </w:rPr>
            <w:t>2</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Pr>
              <w:rStyle w:val="PageNumber"/>
              <w:noProof/>
            </w:rPr>
            <w:t>2</w:t>
          </w:r>
          <w:r w:rsidR="00D47DC7" w:rsidRPr="00AC4488">
            <w:rPr>
              <w:rStyle w:val="PageNumber"/>
            </w:rPr>
            <w:fldChar w:fldCharType="end"/>
          </w:r>
        </w:p>
      </w:tc>
    </w:tr>
  </w:tbl>
  <w:p w14:paraId="042F9CAB"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771F" w14:textId="77777777" w:rsidR="00D15D88" w:rsidRPr="00DD607E" w:rsidRDefault="00D15D88"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6641354" w14:textId="77777777" w:rsidTr="00DD607E">
      <w:trPr>
        <w:cantSplit/>
        <w:trHeight w:hRule="exact" w:val="1134"/>
      </w:trPr>
      <w:tc>
        <w:tcPr>
          <w:tcW w:w="7767" w:type="dxa"/>
          <w:vAlign w:val="center"/>
        </w:tcPr>
        <w:p w14:paraId="53DBAA4A" w14:textId="77777777" w:rsidR="00D47DC7" w:rsidRDefault="00D47DC7"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91E">
                <w:rPr>
                  <w:rStyle w:val="PageNumber"/>
                  <w:b/>
                </w:rPr>
                <w:t>Industry, Tourism and Trade</w:t>
              </w:r>
            </w:sdtContent>
          </w:sdt>
        </w:p>
        <w:p w14:paraId="2D20C468" w14:textId="6C7026F7" w:rsidR="0071700C" w:rsidRPr="00CE30CF" w:rsidRDefault="00ED406B" w:rsidP="00444DBF">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12-09T00:00:00Z">
                <w:dateFormat w:val="d MMMM yyyy"/>
                <w:lid w:val="en-AU"/>
                <w:storeMappedDataAs w:val="dateTime"/>
                <w:calendar w:val="gregorian"/>
              </w:date>
            </w:sdtPr>
            <w:sdtEndPr>
              <w:rPr>
                <w:rStyle w:val="PageNumber"/>
              </w:rPr>
            </w:sdtEndPr>
            <w:sdtContent>
              <w:r w:rsidR="005C5C82">
                <w:rPr>
                  <w:rStyle w:val="PageNumber"/>
                </w:rPr>
                <w:t>9 December 2022</w:t>
              </w:r>
            </w:sdtContent>
          </w:sdt>
          <w:r w:rsidR="00D47DC7" w:rsidRPr="00CE6614">
            <w:rPr>
              <w:rStyle w:val="PageNumber"/>
            </w:rPr>
            <w:t xml:space="preserve"> </w:t>
          </w:r>
          <w:r w:rsidR="00DD607E">
            <w:rPr>
              <w:rStyle w:val="PageNumber"/>
            </w:rPr>
            <w:t xml:space="preserve">|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Pr>
              <w:rStyle w:val="PageNumber"/>
              <w:noProof/>
            </w:rPr>
            <w:t>2</w:t>
          </w:r>
          <w:r w:rsidR="00D47DC7" w:rsidRPr="00AC4488">
            <w:rPr>
              <w:rStyle w:val="PageNumber"/>
            </w:rPr>
            <w:fldChar w:fldCharType="end"/>
          </w:r>
        </w:p>
      </w:tc>
      <w:tc>
        <w:tcPr>
          <w:tcW w:w="2551" w:type="dxa"/>
          <w:vAlign w:val="bottom"/>
        </w:tcPr>
        <w:p w14:paraId="5D1B965B" w14:textId="77777777" w:rsidR="0071700C" w:rsidRPr="001E14EB" w:rsidRDefault="0071700C" w:rsidP="0071700C">
          <w:pPr>
            <w:spacing w:after="0"/>
            <w:jc w:val="right"/>
          </w:pPr>
          <w:r>
            <w:rPr>
              <w:noProof/>
              <w:lang w:eastAsia="en-AU"/>
            </w:rPr>
            <w:drawing>
              <wp:inline distT="0" distB="0" distL="0" distR="0" wp14:anchorId="6278F0C3" wp14:editId="54B9576F">
                <wp:extent cx="1572479" cy="561600"/>
                <wp:effectExtent l="0" t="0" r="8890" b="0"/>
                <wp:docPr id="30" name="Picture 3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8463111"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B1FEC" w14:textId="77777777" w:rsidR="00A7279C" w:rsidRDefault="00A7279C" w:rsidP="007332FF">
      <w:r>
        <w:separator/>
      </w:r>
    </w:p>
  </w:footnote>
  <w:footnote w:type="continuationSeparator" w:id="0">
    <w:p w14:paraId="75BC19B0" w14:textId="77777777" w:rsidR="00A7279C" w:rsidRDefault="00A7279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7D10" w14:textId="24D00B82" w:rsidR="00983000" w:rsidRPr="00162207" w:rsidRDefault="00ED406B"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B70BEA">
          <w:t>State of the economy – September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B59E8FA" w14:textId="6E6DFE49" w:rsidR="00E54F9E" w:rsidRDefault="00A7279C" w:rsidP="0008691E">
        <w:pPr>
          <w:pStyle w:val="Title"/>
          <w:spacing w:after="120"/>
        </w:pPr>
        <w:r w:rsidRPr="00B70BEA">
          <w:rPr>
            <w:rStyle w:val="TitleChar"/>
            <w:sz w:val="56"/>
            <w:szCs w:val="56"/>
          </w:rPr>
          <w:t xml:space="preserve">State of the economy – </w:t>
        </w:r>
        <w:r w:rsidR="00B70BEA" w:rsidRPr="00B70BEA">
          <w:rPr>
            <w:rStyle w:val="TitleChar"/>
            <w:sz w:val="56"/>
            <w:szCs w:val="56"/>
          </w:rPr>
          <w:t>September</w:t>
        </w:r>
        <w:r w:rsidRPr="00B70BEA">
          <w:rPr>
            <w:rStyle w:val="TitleChar"/>
            <w:sz w:val="56"/>
            <w:szCs w:val="56"/>
          </w:rPr>
          <w:t xml:space="preserve">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C"/>
    <w:rsid w:val="00001DDF"/>
    <w:rsid w:val="0000322D"/>
    <w:rsid w:val="00007670"/>
    <w:rsid w:val="00010665"/>
    <w:rsid w:val="0002393A"/>
    <w:rsid w:val="000246C7"/>
    <w:rsid w:val="00027DB8"/>
    <w:rsid w:val="00031A96"/>
    <w:rsid w:val="00040BF3"/>
    <w:rsid w:val="0004211C"/>
    <w:rsid w:val="00046C59"/>
    <w:rsid w:val="00051362"/>
    <w:rsid w:val="00051F45"/>
    <w:rsid w:val="00052953"/>
    <w:rsid w:val="0005341A"/>
    <w:rsid w:val="0005591A"/>
    <w:rsid w:val="00056DEF"/>
    <w:rsid w:val="00056EDC"/>
    <w:rsid w:val="0006635A"/>
    <w:rsid w:val="000669A1"/>
    <w:rsid w:val="000720BE"/>
    <w:rsid w:val="0007259C"/>
    <w:rsid w:val="0007388D"/>
    <w:rsid w:val="000801B3"/>
    <w:rsid w:val="00080202"/>
    <w:rsid w:val="00080DCD"/>
    <w:rsid w:val="00080E22"/>
    <w:rsid w:val="00082573"/>
    <w:rsid w:val="000840A3"/>
    <w:rsid w:val="00085062"/>
    <w:rsid w:val="0008691E"/>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57B87"/>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13F9"/>
    <w:rsid w:val="001D4F99"/>
    <w:rsid w:val="001D52B0"/>
    <w:rsid w:val="001D5A18"/>
    <w:rsid w:val="001D5FAC"/>
    <w:rsid w:val="001D7CA4"/>
    <w:rsid w:val="001E057F"/>
    <w:rsid w:val="001E14EB"/>
    <w:rsid w:val="001F2C24"/>
    <w:rsid w:val="001F59E6"/>
    <w:rsid w:val="00203F1C"/>
    <w:rsid w:val="00206936"/>
    <w:rsid w:val="00206C6F"/>
    <w:rsid w:val="00206FBD"/>
    <w:rsid w:val="00207746"/>
    <w:rsid w:val="00210C9C"/>
    <w:rsid w:val="00230031"/>
    <w:rsid w:val="00235C01"/>
    <w:rsid w:val="00240BD3"/>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C5B87"/>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31475"/>
    <w:rsid w:val="00342283"/>
    <w:rsid w:val="00343A87"/>
    <w:rsid w:val="00344A36"/>
    <w:rsid w:val="003456F4"/>
    <w:rsid w:val="00347FB6"/>
    <w:rsid w:val="003504FD"/>
    <w:rsid w:val="00350881"/>
    <w:rsid w:val="003568EE"/>
    <w:rsid w:val="00357D55"/>
    <w:rsid w:val="00363513"/>
    <w:rsid w:val="003657E5"/>
    <w:rsid w:val="0036589C"/>
    <w:rsid w:val="00371312"/>
    <w:rsid w:val="00371DC7"/>
    <w:rsid w:val="003763FC"/>
    <w:rsid w:val="00377B21"/>
    <w:rsid w:val="00382A7F"/>
    <w:rsid w:val="0038616F"/>
    <w:rsid w:val="00390862"/>
    <w:rsid w:val="00390CE3"/>
    <w:rsid w:val="00394876"/>
    <w:rsid w:val="00394AAF"/>
    <w:rsid w:val="00394CE5"/>
    <w:rsid w:val="00397C41"/>
    <w:rsid w:val="003A6341"/>
    <w:rsid w:val="003B0FF0"/>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067D0"/>
    <w:rsid w:val="004100F7"/>
    <w:rsid w:val="00414CB3"/>
    <w:rsid w:val="0041563D"/>
    <w:rsid w:val="00426E25"/>
    <w:rsid w:val="00427D9C"/>
    <w:rsid w:val="00427E7E"/>
    <w:rsid w:val="00430816"/>
    <w:rsid w:val="0043465D"/>
    <w:rsid w:val="00435082"/>
    <w:rsid w:val="00443B6E"/>
    <w:rsid w:val="00444DBF"/>
    <w:rsid w:val="00446444"/>
    <w:rsid w:val="00447AB3"/>
    <w:rsid w:val="00450636"/>
    <w:rsid w:val="0045420A"/>
    <w:rsid w:val="004554D4"/>
    <w:rsid w:val="00461744"/>
    <w:rsid w:val="00462E61"/>
    <w:rsid w:val="00464495"/>
    <w:rsid w:val="00466185"/>
    <w:rsid w:val="00466303"/>
    <w:rsid w:val="004668A7"/>
    <w:rsid w:val="00466D96"/>
    <w:rsid w:val="00467747"/>
    <w:rsid w:val="00470017"/>
    <w:rsid w:val="0047105A"/>
    <w:rsid w:val="00473C98"/>
    <w:rsid w:val="00474965"/>
    <w:rsid w:val="00481C23"/>
    <w:rsid w:val="00482D19"/>
    <w:rsid w:val="00482DF8"/>
    <w:rsid w:val="004864DE"/>
    <w:rsid w:val="00492543"/>
    <w:rsid w:val="00492C34"/>
    <w:rsid w:val="00494BE5"/>
    <w:rsid w:val="004A0EBA"/>
    <w:rsid w:val="004A2538"/>
    <w:rsid w:val="004A331E"/>
    <w:rsid w:val="004B0C15"/>
    <w:rsid w:val="004B35EA"/>
    <w:rsid w:val="004B69E4"/>
    <w:rsid w:val="004C6C39"/>
    <w:rsid w:val="004D075F"/>
    <w:rsid w:val="004D1B76"/>
    <w:rsid w:val="004D344E"/>
    <w:rsid w:val="004D464A"/>
    <w:rsid w:val="004D6986"/>
    <w:rsid w:val="004E019E"/>
    <w:rsid w:val="004E06EC"/>
    <w:rsid w:val="004E0A3F"/>
    <w:rsid w:val="004E142F"/>
    <w:rsid w:val="004E2CB7"/>
    <w:rsid w:val="004F016A"/>
    <w:rsid w:val="004F7E54"/>
    <w:rsid w:val="00500F94"/>
    <w:rsid w:val="00502FB3"/>
    <w:rsid w:val="00503DE9"/>
    <w:rsid w:val="0050530C"/>
    <w:rsid w:val="00505DEA"/>
    <w:rsid w:val="00507782"/>
    <w:rsid w:val="00512A04"/>
    <w:rsid w:val="00520499"/>
    <w:rsid w:val="005249F5"/>
    <w:rsid w:val="005260F7"/>
    <w:rsid w:val="00543BD1"/>
    <w:rsid w:val="00550306"/>
    <w:rsid w:val="005509A7"/>
    <w:rsid w:val="00553BF7"/>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C5C82"/>
    <w:rsid w:val="005E144D"/>
    <w:rsid w:val="005E1500"/>
    <w:rsid w:val="005E3A43"/>
    <w:rsid w:val="005F0B17"/>
    <w:rsid w:val="005F6602"/>
    <w:rsid w:val="005F77C7"/>
    <w:rsid w:val="00620675"/>
    <w:rsid w:val="00622910"/>
    <w:rsid w:val="006254B6"/>
    <w:rsid w:val="0062608A"/>
    <w:rsid w:val="00627FC8"/>
    <w:rsid w:val="006433C3"/>
    <w:rsid w:val="00650094"/>
    <w:rsid w:val="00650F5B"/>
    <w:rsid w:val="006609AE"/>
    <w:rsid w:val="00664465"/>
    <w:rsid w:val="006670D7"/>
    <w:rsid w:val="00667D94"/>
    <w:rsid w:val="006719EA"/>
    <w:rsid w:val="00671F13"/>
    <w:rsid w:val="0067400A"/>
    <w:rsid w:val="006847AD"/>
    <w:rsid w:val="00684BC6"/>
    <w:rsid w:val="0069114B"/>
    <w:rsid w:val="006944C1"/>
    <w:rsid w:val="006A756A"/>
    <w:rsid w:val="006C0EC2"/>
    <w:rsid w:val="006D66F7"/>
    <w:rsid w:val="006E4B98"/>
    <w:rsid w:val="00703172"/>
    <w:rsid w:val="00705C9D"/>
    <w:rsid w:val="00705F13"/>
    <w:rsid w:val="0070624C"/>
    <w:rsid w:val="00714F1D"/>
    <w:rsid w:val="00715225"/>
    <w:rsid w:val="0071700C"/>
    <w:rsid w:val="00720662"/>
    <w:rsid w:val="00720CC6"/>
    <w:rsid w:val="00722DDB"/>
    <w:rsid w:val="00724728"/>
    <w:rsid w:val="00724F98"/>
    <w:rsid w:val="00726D30"/>
    <w:rsid w:val="00730B9B"/>
    <w:rsid w:val="0073182E"/>
    <w:rsid w:val="007332FF"/>
    <w:rsid w:val="007340CD"/>
    <w:rsid w:val="00735A05"/>
    <w:rsid w:val="007408F5"/>
    <w:rsid w:val="00741EAE"/>
    <w:rsid w:val="00755248"/>
    <w:rsid w:val="0076190B"/>
    <w:rsid w:val="007632F1"/>
    <w:rsid w:val="0076355D"/>
    <w:rsid w:val="00763A2D"/>
    <w:rsid w:val="007676A4"/>
    <w:rsid w:val="00777795"/>
    <w:rsid w:val="00782AF4"/>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C62"/>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363D9"/>
    <w:rsid w:val="009444F0"/>
    <w:rsid w:val="009468BC"/>
    <w:rsid w:val="00947FAE"/>
    <w:rsid w:val="009616DF"/>
    <w:rsid w:val="0096542F"/>
    <w:rsid w:val="00967FA7"/>
    <w:rsid w:val="009707F5"/>
    <w:rsid w:val="00971645"/>
    <w:rsid w:val="00971767"/>
    <w:rsid w:val="00977919"/>
    <w:rsid w:val="00983000"/>
    <w:rsid w:val="009870FA"/>
    <w:rsid w:val="009921C3"/>
    <w:rsid w:val="00992EBB"/>
    <w:rsid w:val="0099551D"/>
    <w:rsid w:val="009A5897"/>
    <w:rsid w:val="009A5F24"/>
    <w:rsid w:val="009B0B3E"/>
    <w:rsid w:val="009B1913"/>
    <w:rsid w:val="009B6657"/>
    <w:rsid w:val="009B6966"/>
    <w:rsid w:val="009D0EB5"/>
    <w:rsid w:val="009D14F9"/>
    <w:rsid w:val="009D2B74"/>
    <w:rsid w:val="009D414F"/>
    <w:rsid w:val="009D4CB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282"/>
    <w:rsid w:val="00A3739D"/>
    <w:rsid w:val="00A37DDA"/>
    <w:rsid w:val="00A45005"/>
    <w:rsid w:val="00A567EE"/>
    <w:rsid w:val="00A70DD8"/>
    <w:rsid w:val="00A7279C"/>
    <w:rsid w:val="00A76790"/>
    <w:rsid w:val="00A85D0C"/>
    <w:rsid w:val="00A925EC"/>
    <w:rsid w:val="00A929AA"/>
    <w:rsid w:val="00A92B6B"/>
    <w:rsid w:val="00AA4A64"/>
    <w:rsid w:val="00AA541E"/>
    <w:rsid w:val="00AB6AAC"/>
    <w:rsid w:val="00AC04CF"/>
    <w:rsid w:val="00AD0DA4"/>
    <w:rsid w:val="00AD3B51"/>
    <w:rsid w:val="00AD4169"/>
    <w:rsid w:val="00AD78C8"/>
    <w:rsid w:val="00AE25C6"/>
    <w:rsid w:val="00AE306C"/>
    <w:rsid w:val="00AF28C1"/>
    <w:rsid w:val="00B02EF1"/>
    <w:rsid w:val="00B071F2"/>
    <w:rsid w:val="00B07C97"/>
    <w:rsid w:val="00B11C67"/>
    <w:rsid w:val="00B14257"/>
    <w:rsid w:val="00B15754"/>
    <w:rsid w:val="00B16002"/>
    <w:rsid w:val="00B2046E"/>
    <w:rsid w:val="00B20E8B"/>
    <w:rsid w:val="00B257E1"/>
    <w:rsid w:val="00B2599A"/>
    <w:rsid w:val="00B27AC4"/>
    <w:rsid w:val="00B343CC"/>
    <w:rsid w:val="00B5084A"/>
    <w:rsid w:val="00B55F96"/>
    <w:rsid w:val="00B606A1"/>
    <w:rsid w:val="00B614F7"/>
    <w:rsid w:val="00B61B26"/>
    <w:rsid w:val="00B65E6B"/>
    <w:rsid w:val="00B675B2"/>
    <w:rsid w:val="00B70BEA"/>
    <w:rsid w:val="00B7450C"/>
    <w:rsid w:val="00B74CA2"/>
    <w:rsid w:val="00B8103F"/>
    <w:rsid w:val="00B81261"/>
    <w:rsid w:val="00B8223E"/>
    <w:rsid w:val="00B832AE"/>
    <w:rsid w:val="00B83FA9"/>
    <w:rsid w:val="00B86678"/>
    <w:rsid w:val="00B92F9B"/>
    <w:rsid w:val="00B941B3"/>
    <w:rsid w:val="00B96513"/>
    <w:rsid w:val="00BA1D47"/>
    <w:rsid w:val="00BA66F0"/>
    <w:rsid w:val="00BB2239"/>
    <w:rsid w:val="00BB2AE7"/>
    <w:rsid w:val="00BB6464"/>
    <w:rsid w:val="00BC1BB8"/>
    <w:rsid w:val="00BD7FE1"/>
    <w:rsid w:val="00BE37CA"/>
    <w:rsid w:val="00BE5E3F"/>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54091"/>
    <w:rsid w:val="00C61AFA"/>
    <w:rsid w:val="00C61D64"/>
    <w:rsid w:val="00C62099"/>
    <w:rsid w:val="00C62A34"/>
    <w:rsid w:val="00C64EA3"/>
    <w:rsid w:val="00C72867"/>
    <w:rsid w:val="00C75E81"/>
    <w:rsid w:val="00C814B0"/>
    <w:rsid w:val="00C81F19"/>
    <w:rsid w:val="00C83BB6"/>
    <w:rsid w:val="00C86609"/>
    <w:rsid w:val="00C90A1F"/>
    <w:rsid w:val="00C92B4C"/>
    <w:rsid w:val="00C954F6"/>
    <w:rsid w:val="00CA36A0"/>
    <w:rsid w:val="00CA5C87"/>
    <w:rsid w:val="00CA6BC5"/>
    <w:rsid w:val="00CC2FF8"/>
    <w:rsid w:val="00CC571B"/>
    <w:rsid w:val="00CC5ABA"/>
    <w:rsid w:val="00CC61CD"/>
    <w:rsid w:val="00CC6C02"/>
    <w:rsid w:val="00CC737B"/>
    <w:rsid w:val="00CD5011"/>
    <w:rsid w:val="00CE640F"/>
    <w:rsid w:val="00CE76BC"/>
    <w:rsid w:val="00CF540E"/>
    <w:rsid w:val="00D02F07"/>
    <w:rsid w:val="00D11970"/>
    <w:rsid w:val="00D15D88"/>
    <w:rsid w:val="00D27D49"/>
    <w:rsid w:val="00D27EBE"/>
    <w:rsid w:val="00D36A49"/>
    <w:rsid w:val="00D47DC7"/>
    <w:rsid w:val="00D517C6"/>
    <w:rsid w:val="00D71D84"/>
    <w:rsid w:val="00D72464"/>
    <w:rsid w:val="00D72A57"/>
    <w:rsid w:val="00D768EB"/>
    <w:rsid w:val="00D80594"/>
    <w:rsid w:val="00D81BB1"/>
    <w:rsid w:val="00D81E17"/>
    <w:rsid w:val="00D82D1E"/>
    <w:rsid w:val="00D832D9"/>
    <w:rsid w:val="00D90F00"/>
    <w:rsid w:val="00D96804"/>
    <w:rsid w:val="00D975C0"/>
    <w:rsid w:val="00DA5285"/>
    <w:rsid w:val="00DB191D"/>
    <w:rsid w:val="00DB3036"/>
    <w:rsid w:val="00DB4F91"/>
    <w:rsid w:val="00DB6D0A"/>
    <w:rsid w:val="00DC06BE"/>
    <w:rsid w:val="00DC1F0F"/>
    <w:rsid w:val="00DC3117"/>
    <w:rsid w:val="00DC4E2A"/>
    <w:rsid w:val="00DC5DD9"/>
    <w:rsid w:val="00DC6D2D"/>
    <w:rsid w:val="00DD0E9F"/>
    <w:rsid w:val="00DD37D4"/>
    <w:rsid w:val="00DD4E59"/>
    <w:rsid w:val="00DD52DD"/>
    <w:rsid w:val="00DD607E"/>
    <w:rsid w:val="00DE33B5"/>
    <w:rsid w:val="00DE5E18"/>
    <w:rsid w:val="00DF0487"/>
    <w:rsid w:val="00DF5EA4"/>
    <w:rsid w:val="00E02681"/>
    <w:rsid w:val="00E02792"/>
    <w:rsid w:val="00E034D8"/>
    <w:rsid w:val="00E04CC0"/>
    <w:rsid w:val="00E11135"/>
    <w:rsid w:val="00E15816"/>
    <w:rsid w:val="00E160D5"/>
    <w:rsid w:val="00E239FF"/>
    <w:rsid w:val="00E27D7B"/>
    <w:rsid w:val="00E30556"/>
    <w:rsid w:val="00E30981"/>
    <w:rsid w:val="00E33136"/>
    <w:rsid w:val="00E34D7C"/>
    <w:rsid w:val="00E3723D"/>
    <w:rsid w:val="00E44C89"/>
    <w:rsid w:val="00E457A6"/>
    <w:rsid w:val="00E473C5"/>
    <w:rsid w:val="00E53490"/>
    <w:rsid w:val="00E548EA"/>
    <w:rsid w:val="00E54F9E"/>
    <w:rsid w:val="00E61BA2"/>
    <w:rsid w:val="00E63864"/>
    <w:rsid w:val="00E6403F"/>
    <w:rsid w:val="00E70F60"/>
    <w:rsid w:val="00E75451"/>
    <w:rsid w:val="00E75EA9"/>
    <w:rsid w:val="00E76AD6"/>
    <w:rsid w:val="00E770C4"/>
    <w:rsid w:val="00E84C5A"/>
    <w:rsid w:val="00E861DB"/>
    <w:rsid w:val="00E908F1"/>
    <w:rsid w:val="00E93406"/>
    <w:rsid w:val="00E956C5"/>
    <w:rsid w:val="00E95C39"/>
    <w:rsid w:val="00EA2C39"/>
    <w:rsid w:val="00EA350D"/>
    <w:rsid w:val="00EB0A3C"/>
    <w:rsid w:val="00EB0A96"/>
    <w:rsid w:val="00EB77F9"/>
    <w:rsid w:val="00EC5769"/>
    <w:rsid w:val="00EC7D00"/>
    <w:rsid w:val="00ED0304"/>
    <w:rsid w:val="00ED406B"/>
    <w:rsid w:val="00ED4FF7"/>
    <w:rsid w:val="00ED5B7B"/>
    <w:rsid w:val="00EE38FA"/>
    <w:rsid w:val="00EE3E2C"/>
    <w:rsid w:val="00EE5D23"/>
    <w:rsid w:val="00EE750D"/>
    <w:rsid w:val="00EF34C4"/>
    <w:rsid w:val="00EF3CA4"/>
    <w:rsid w:val="00EF49A8"/>
    <w:rsid w:val="00EF7859"/>
    <w:rsid w:val="00F014DA"/>
    <w:rsid w:val="00F02591"/>
    <w:rsid w:val="00F30AE1"/>
    <w:rsid w:val="00F422C1"/>
    <w:rsid w:val="00F53D8B"/>
    <w:rsid w:val="00F5696E"/>
    <w:rsid w:val="00F60EFF"/>
    <w:rsid w:val="00F67D2D"/>
    <w:rsid w:val="00F70EFC"/>
    <w:rsid w:val="00F858F2"/>
    <w:rsid w:val="00F860CC"/>
    <w:rsid w:val="00F94398"/>
    <w:rsid w:val="00FB2B56"/>
    <w:rsid w:val="00FB55D5"/>
    <w:rsid w:val="00FC12BF"/>
    <w:rsid w:val="00FC2C60"/>
    <w:rsid w:val="00FD3E6F"/>
    <w:rsid w:val="00FD51B9"/>
    <w:rsid w:val="00FD5849"/>
    <w:rsid w:val="00FE03E4"/>
    <w:rsid w:val="00FE2A39"/>
    <w:rsid w:val="00FE73C2"/>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E30C9F6"/>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632F1"/>
    <w:pPr>
      <w:spacing w:after="0"/>
    </w:pPr>
    <w:rPr>
      <w:sz w:val="20"/>
      <w:szCs w:val="20"/>
    </w:rPr>
  </w:style>
  <w:style w:type="character" w:customStyle="1" w:styleId="FootnoteTextChar">
    <w:name w:val="Footnote Text Char"/>
    <w:basedOn w:val="DefaultParagraphFont"/>
    <w:link w:val="FootnoteText"/>
    <w:uiPriority w:val="99"/>
    <w:semiHidden/>
    <w:rsid w:val="007632F1"/>
    <w:rPr>
      <w:rFonts w:ascii="Lato" w:hAnsi="Lato"/>
      <w:sz w:val="20"/>
      <w:szCs w:val="20"/>
    </w:rPr>
  </w:style>
  <w:style w:type="character" w:styleId="FootnoteReference">
    <w:name w:val="footnote reference"/>
    <w:basedOn w:val="DefaultParagraphFont"/>
    <w:uiPriority w:val="99"/>
    <w:semiHidden/>
    <w:unhideWhenUsed/>
    <w:rsid w:val="007632F1"/>
    <w:rPr>
      <w:vertAlign w:val="superscript"/>
    </w:rPr>
  </w:style>
  <w:style w:type="character" w:styleId="CommentReference">
    <w:name w:val="annotation reference"/>
    <w:basedOn w:val="DefaultParagraphFont"/>
    <w:uiPriority w:val="99"/>
    <w:semiHidden/>
    <w:unhideWhenUsed/>
    <w:rsid w:val="00F422C1"/>
    <w:rPr>
      <w:sz w:val="16"/>
      <w:szCs w:val="16"/>
    </w:rPr>
  </w:style>
  <w:style w:type="paragraph" w:styleId="CommentText">
    <w:name w:val="annotation text"/>
    <w:basedOn w:val="Normal"/>
    <w:link w:val="CommentTextChar"/>
    <w:uiPriority w:val="99"/>
    <w:semiHidden/>
    <w:unhideWhenUsed/>
    <w:rsid w:val="00F422C1"/>
    <w:rPr>
      <w:sz w:val="20"/>
      <w:szCs w:val="20"/>
    </w:rPr>
  </w:style>
  <w:style w:type="character" w:customStyle="1" w:styleId="CommentTextChar">
    <w:name w:val="Comment Text Char"/>
    <w:basedOn w:val="DefaultParagraphFont"/>
    <w:link w:val="CommentText"/>
    <w:uiPriority w:val="99"/>
    <w:semiHidden/>
    <w:rsid w:val="00F422C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422C1"/>
    <w:rPr>
      <w:b/>
      <w:bCs/>
    </w:rPr>
  </w:style>
  <w:style w:type="character" w:customStyle="1" w:styleId="CommentSubjectChar">
    <w:name w:val="Comment Subject Char"/>
    <w:basedOn w:val="CommentTextChar"/>
    <w:link w:val="CommentSubject"/>
    <w:uiPriority w:val="99"/>
    <w:semiHidden/>
    <w:rsid w:val="00F422C1"/>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15497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5DE508-8D65-4251-94E5-CA33E4A4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1206</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State of the economy – September 2022</vt:lpstr>
    </vt:vector>
  </TitlesOfParts>
  <Company>Industry, Tourism and Trade</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September 2022</dc:title>
  <dc:creator>Northern Territory Government</dc:creator>
  <cp:lastModifiedBy>Brendan Russell</cp:lastModifiedBy>
  <cp:revision>47</cp:revision>
  <cp:lastPrinted>2022-12-09T01:51:00Z</cp:lastPrinted>
  <dcterms:created xsi:type="dcterms:W3CDTF">2022-06-06T06:14:00Z</dcterms:created>
  <dcterms:modified xsi:type="dcterms:W3CDTF">2022-12-09T01:52:00Z</dcterms:modified>
</cp:coreProperties>
</file>