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941" w:rsidRDefault="00A7279C" w:rsidP="0008691E">
      <w:pPr>
        <w:pStyle w:val="Heading1"/>
        <w:spacing w:before="0" w:after="120"/>
        <w:rPr>
          <w:noProof/>
          <w:lang w:eastAsia="en-AU"/>
        </w:rPr>
      </w:pPr>
      <w:r>
        <w:rPr>
          <w:noProof/>
          <w:lang w:eastAsia="en-AU"/>
        </w:rPr>
        <w:t>Overview</w:t>
      </w:r>
    </w:p>
    <w:p w:rsidR="00A7279C" w:rsidRPr="00DD607E" w:rsidRDefault="00A7279C" w:rsidP="00DD607E">
      <w:pPr>
        <w:spacing w:after="120"/>
        <w:jc w:val="both"/>
        <w:rPr>
          <w:rFonts w:asciiTheme="minorHAnsi" w:hAnsiTheme="minorHAnsi"/>
          <w:sz w:val="21"/>
          <w:szCs w:val="21"/>
        </w:rPr>
      </w:pPr>
      <w:r w:rsidRPr="00DD607E">
        <w:rPr>
          <w:sz w:val="21"/>
          <w:szCs w:val="21"/>
        </w:rPr>
        <w:t xml:space="preserve">Following two years of strong economic outcomes since the beginning of the pandemic, growth in a number of economic indicators for the Northern Territory </w:t>
      </w:r>
      <w:r w:rsidR="00D11970" w:rsidRPr="00DD607E">
        <w:rPr>
          <w:sz w:val="21"/>
          <w:szCs w:val="21"/>
        </w:rPr>
        <w:t>has</w:t>
      </w:r>
      <w:r w:rsidRPr="00DD607E">
        <w:rPr>
          <w:sz w:val="21"/>
          <w:szCs w:val="21"/>
        </w:rPr>
        <w:t xml:space="preserve"> slowed in recent quarters. In the March quarter state final demand </w:t>
      </w:r>
      <w:r w:rsidR="00DD607E" w:rsidRPr="00DD607E">
        <w:rPr>
          <w:sz w:val="21"/>
          <w:szCs w:val="21"/>
        </w:rPr>
        <w:t xml:space="preserve">(SFD) </w:t>
      </w:r>
      <w:r w:rsidRPr="00DD607E">
        <w:rPr>
          <w:sz w:val="21"/>
          <w:szCs w:val="21"/>
        </w:rPr>
        <w:t xml:space="preserve">grew by 2.2 per cent, </w:t>
      </w:r>
      <w:r w:rsidR="000669A1">
        <w:rPr>
          <w:sz w:val="21"/>
          <w:szCs w:val="21"/>
        </w:rPr>
        <w:t>driven</w:t>
      </w:r>
      <w:r w:rsidRPr="00DD607E">
        <w:rPr>
          <w:sz w:val="21"/>
          <w:szCs w:val="21"/>
        </w:rPr>
        <w:t xml:space="preserve"> entirely by pu</w:t>
      </w:r>
      <w:r w:rsidR="000669A1">
        <w:rPr>
          <w:sz w:val="21"/>
          <w:szCs w:val="21"/>
        </w:rPr>
        <w:t xml:space="preserve">blic consumption and investment; </w:t>
      </w:r>
      <w:r w:rsidR="00AD78C8">
        <w:rPr>
          <w:sz w:val="21"/>
          <w:szCs w:val="21"/>
        </w:rPr>
        <w:t>both</w:t>
      </w:r>
      <w:r w:rsidRPr="00DD607E">
        <w:rPr>
          <w:sz w:val="21"/>
          <w:szCs w:val="21"/>
        </w:rPr>
        <w:t xml:space="preserve"> private consumptio</w:t>
      </w:r>
      <w:r w:rsidR="00D80594">
        <w:rPr>
          <w:sz w:val="21"/>
          <w:szCs w:val="21"/>
        </w:rPr>
        <w:t>n and investment declined.</w:t>
      </w:r>
    </w:p>
    <w:p w:rsidR="00A7279C" w:rsidRPr="00DD607E" w:rsidRDefault="00A7279C" w:rsidP="00AD78C8">
      <w:pPr>
        <w:spacing w:after="120"/>
        <w:jc w:val="both"/>
        <w:rPr>
          <w:sz w:val="21"/>
          <w:szCs w:val="21"/>
        </w:rPr>
      </w:pPr>
      <w:r w:rsidRPr="00DD607E">
        <w:rPr>
          <w:sz w:val="21"/>
          <w:szCs w:val="21"/>
        </w:rPr>
        <w:t xml:space="preserve">Nevertheless, the Territory economy continues to operate at a noticeably higher level than it did pre-pandemic. </w:t>
      </w:r>
      <w:r w:rsidR="00DD607E" w:rsidRPr="00DD607E">
        <w:rPr>
          <w:sz w:val="21"/>
          <w:szCs w:val="21"/>
        </w:rPr>
        <w:t>SFD</w:t>
      </w:r>
      <w:r w:rsidRPr="00DD607E">
        <w:rPr>
          <w:sz w:val="21"/>
          <w:szCs w:val="21"/>
        </w:rPr>
        <w:t xml:space="preserve"> is now </w:t>
      </w:r>
      <w:r w:rsidR="00C814B0">
        <w:rPr>
          <w:sz w:val="21"/>
          <w:szCs w:val="21"/>
        </w:rPr>
        <w:t>13.4</w:t>
      </w:r>
      <w:r w:rsidRPr="00DD607E">
        <w:rPr>
          <w:sz w:val="21"/>
          <w:szCs w:val="21"/>
        </w:rPr>
        <w:t xml:space="preserve"> per cent higher than it was </w:t>
      </w:r>
      <w:r w:rsidR="00C814B0">
        <w:rPr>
          <w:sz w:val="21"/>
          <w:szCs w:val="21"/>
        </w:rPr>
        <w:t>pre-pandemic</w:t>
      </w:r>
      <w:r w:rsidRPr="00DD607E">
        <w:rPr>
          <w:sz w:val="21"/>
          <w:szCs w:val="21"/>
        </w:rPr>
        <w:t xml:space="preserve"> – the largest increase of all jurisdictions</w:t>
      </w:r>
      <w:r w:rsidR="00B83FA9">
        <w:rPr>
          <w:sz w:val="21"/>
          <w:szCs w:val="21"/>
        </w:rPr>
        <w:t xml:space="preserve"> (Graph 1)</w:t>
      </w:r>
      <w:r w:rsidRPr="00DD607E">
        <w:rPr>
          <w:sz w:val="21"/>
          <w:szCs w:val="21"/>
        </w:rPr>
        <w:t xml:space="preserve">. Although inflation-adjusted retail sales have declined a little, they remain at a similar level to that seen at the peak of the </w:t>
      </w:r>
      <w:proofErr w:type="spellStart"/>
      <w:r w:rsidRPr="00DD607E">
        <w:rPr>
          <w:sz w:val="21"/>
          <w:szCs w:val="21"/>
        </w:rPr>
        <w:t>Inpex</w:t>
      </w:r>
      <w:proofErr w:type="spellEnd"/>
      <w:r w:rsidRPr="00DD607E">
        <w:rPr>
          <w:sz w:val="21"/>
          <w:szCs w:val="21"/>
        </w:rPr>
        <w:t>-led boom</w:t>
      </w:r>
      <w:r w:rsidR="00667D94">
        <w:rPr>
          <w:sz w:val="21"/>
          <w:szCs w:val="21"/>
        </w:rPr>
        <w:t xml:space="preserve"> (Graph 2)</w:t>
      </w:r>
      <w:r w:rsidRPr="00DD607E">
        <w:rPr>
          <w:sz w:val="21"/>
          <w:szCs w:val="21"/>
        </w:rPr>
        <w:t xml:space="preserve">. Looking forward, a strong pipeline of investment projects should ensure that private investment increases over the rest of 2022, and will support overall growth. </w:t>
      </w:r>
      <w:r w:rsidR="001D13F9">
        <w:rPr>
          <w:sz w:val="21"/>
          <w:szCs w:val="21"/>
        </w:rPr>
        <w:t>G</w:t>
      </w:r>
      <w:r w:rsidRPr="00DD607E">
        <w:rPr>
          <w:sz w:val="21"/>
          <w:szCs w:val="21"/>
        </w:rPr>
        <w:t xml:space="preserve">oods </w:t>
      </w:r>
      <w:r w:rsidR="004F7E54">
        <w:rPr>
          <w:sz w:val="21"/>
          <w:szCs w:val="21"/>
        </w:rPr>
        <w:t>export volumes dropped in the March quarter, but the value of NT goods exports is already above the total value of exports from FY21</w:t>
      </w:r>
      <w:r w:rsidRPr="00DD607E">
        <w:rPr>
          <w:sz w:val="21"/>
          <w:szCs w:val="21"/>
        </w:rPr>
        <w:t xml:space="preserve"> as a result of </w:t>
      </w:r>
      <w:r w:rsidR="004F7E54">
        <w:rPr>
          <w:sz w:val="21"/>
          <w:szCs w:val="21"/>
        </w:rPr>
        <w:t>high prices for gas</w:t>
      </w:r>
      <w:r w:rsidR="00C814B0">
        <w:rPr>
          <w:sz w:val="21"/>
          <w:szCs w:val="21"/>
        </w:rPr>
        <w:t>.</w:t>
      </w:r>
    </w:p>
    <w:p w:rsidR="00A7279C" w:rsidRDefault="00DD607E" w:rsidP="003B0FF0">
      <w:pPr>
        <w:spacing w:after="120"/>
        <w:jc w:val="both"/>
        <w:rPr>
          <w:sz w:val="21"/>
          <w:szCs w:val="21"/>
        </w:rPr>
      </w:pPr>
      <w:r w:rsidRPr="00667D94">
        <w:rPr>
          <w:sz w:val="21"/>
          <w:szCs w:val="21"/>
        </w:rPr>
        <w:t>C</w:t>
      </w:r>
      <w:r w:rsidR="00A7279C" w:rsidRPr="00667D94">
        <w:rPr>
          <w:sz w:val="21"/>
          <w:szCs w:val="21"/>
        </w:rPr>
        <w:t xml:space="preserve">hallenges for the NT economy over the rest of 2022 include </w:t>
      </w:r>
      <w:r w:rsidR="00D11970" w:rsidRPr="00667D94">
        <w:rPr>
          <w:sz w:val="21"/>
          <w:szCs w:val="21"/>
        </w:rPr>
        <w:t>broadening price and wage</w:t>
      </w:r>
      <w:r w:rsidR="00D80594" w:rsidRPr="00667D94">
        <w:rPr>
          <w:sz w:val="21"/>
          <w:szCs w:val="21"/>
        </w:rPr>
        <w:t xml:space="preserve"> pressures and </w:t>
      </w:r>
      <w:r w:rsidR="00A7279C" w:rsidRPr="00667D94">
        <w:rPr>
          <w:sz w:val="21"/>
          <w:szCs w:val="21"/>
        </w:rPr>
        <w:t>higher interest rate</w:t>
      </w:r>
      <w:r w:rsidRPr="00667D94">
        <w:rPr>
          <w:sz w:val="21"/>
          <w:szCs w:val="21"/>
        </w:rPr>
        <w:t>s</w:t>
      </w:r>
      <w:r w:rsidR="00667D94">
        <w:rPr>
          <w:sz w:val="21"/>
          <w:szCs w:val="21"/>
        </w:rPr>
        <w:t xml:space="preserve"> (Graph 3</w:t>
      </w:r>
      <w:r w:rsidR="00B83FA9" w:rsidRPr="00667D94">
        <w:rPr>
          <w:sz w:val="21"/>
          <w:szCs w:val="21"/>
        </w:rPr>
        <w:t>)</w:t>
      </w:r>
      <w:r w:rsidR="00D80594" w:rsidRPr="00667D94">
        <w:rPr>
          <w:sz w:val="21"/>
          <w:szCs w:val="21"/>
        </w:rPr>
        <w:t xml:space="preserve">. The Territory economy is also starting to face constraints. </w:t>
      </w:r>
      <w:r w:rsidR="00C814B0" w:rsidRPr="00667D94">
        <w:rPr>
          <w:sz w:val="21"/>
          <w:szCs w:val="21"/>
        </w:rPr>
        <w:t xml:space="preserve">In the residential construction sector timeframes for house construction have lengthened, and across the </w:t>
      </w:r>
      <w:r w:rsidR="00492543" w:rsidRPr="00667D94">
        <w:rPr>
          <w:sz w:val="21"/>
          <w:szCs w:val="21"/>
        </w:rPr>
        <w:t>NT</w:t>
      </w:r>
      <w:r w:rsidR="00C814B0" w:rsidRPr="00667D94">
        <w:rPr>
          <w:sz w:val="21"/>
          <w:szCs w:val="21"/>
        </w:rPr>
        <w:t xml:space="preserve"> economy as a whole there are </w:t>
      </w:r>
      <w:r w:rsidR="00492543" w:rsidRPr="00667D94">
        <w:rPr>
          <w:sz w:val="21"/>
          <w:szCs w:val="21"/>
        </w:rPr>
        <w:t>now</w:t>
      </w:r>
      <w:r w:rsidR="00D80594" w:rsidRPr="00667D94">
        <w:rPr>
          <w:sz w:val="21"/>
          <w:szCs w:val="21"/>
        </w:rPr>
        <w:t xml:space="preserve"> more job vacancies </w:t>
      </w:r>
      <w:r w:rsidR="00C814B0" w:rsidRPr="00667D94">
        <w:rPr>
          <w:sz w:val="21"/>
          <w:szCs w:val="21"/>
        </w:rPr>
        <w:t>than unemployed persons</w:t>
      </w:r>
      <w:r w:rsidR="00667D94">
        <w:rPr>
          <w:sz w:val="21"/>
          <w:szCs w:val="21"/>
        </w:rPr>
        <w:t xml:space="preserve"> (Graph</w:t>
      </w:r>
      <w:r w:rsidR="00481C23" w:rsidRPr="00667D94">
        <w:rPr>
          <w:sz w:val="21"/>
          <w:szCs w:val="21"/>
        </w:rPr>
        <w:t xml:space="preserve"> 4</w:t>
      </w:r>
      <w:r w:rsidR="00B83FA9" w:rsidRPr="00667D94">
        <w:rPr>
          <w:sz w:val="21"/>
          <w:szCs w:val="21"/>
        </w:rPr>
        <w:t>)</w:t>
      </w:r>
      <w:r w:rsidR="00D80594" w:rsidRPr="00667D94">
        <w:rPr>
          <w:sz w:val="21"/>
          <w:szCs w:val="21"/>
        </w:rPr>
        <w:t>.</w:t>
      </w:r>
    </w:p>
    <w:tbl>
      <w:tblPr>
        <w:tblStyle w:val="NTGtable1"/>
        <w:tblW w:w="10489" w:type="dxa"/>
        <w:jc w:val="center"/>
        <w:tblLook w:val="04A0" w:firstRow="1" w:lastRow="0" w:firstColumn="1" w:lastColumn="0" w:noHBand="0" w:noVBand="1"/>
      </w:tblPr>
      <w:tblGrid>
        <w:gridCol w:w="3478"/>
        <w:gridCol w:w="985"/>
        <w:gridCol w:w="1124"/>
        <w:gridCol w:w="1126"/>
        <w:gridCol w:w="1126"/>
        <w:gridCol w:w="1117"/>
        <w:gridCol w:w="1533"/>
      </w:tblGrid>
      <w:tr w:rsidR="004F7E54" w:rsidTr="00992EB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478" w:type="dxa"/>
            <w:vAlign w:val="center"/>
          </w:tcPr>
          <w:p w:rsidR="004F7E54" w:rsidRPr="0007765A" w:rsidRDefault="004F7E54" w:rsidP="009363D9">
            <w:pPr>
              <w:spacing w:after="40"/>
              <w:jc w:val="center"/>
              <w:rPr>
                <w:rFonts w:asciiTheme="minorHAnsi" w:hAnsiTheme="minorHAnsi"/>
                <w:sz w:val="20"/>
              </w:rPr>
            </w:pPr>
            <w:r w:rsidRPr="0007765A">
              <w:rPr>
                <w:rFonts w:asciiTheme="minorHAnsi" w:hAnsiTheme="minorHAnsi"/>
                <w:sz w:val="20"/>
              </w:rPr>
              <w:t>Indicator</w:t>
            </w:r>
          </w:p>
        </w:tc>
        <w:tc>
          <w:tcPr>
            <w:tcW w:w="985" w:type="dxa"/>
            <w:vAlign w:val="center"/>
          </w:tcPr>
          <w:p w:rsidR="004F7E54" w:rsidRPr="0007765A"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Most recent</w:t>
            </w:r>
          </w:p>
        </w:tc>
        <w:tc>
          <w:tcPr>
            <w:tcW w:w="1124" w:type="dxa"/>
            <w:vAlign w:val="center"/>
          </w:tcPr>
          <w:p w:rsidR="004F7E54" w:rsidRPr="0007765A"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Level</w:t>
            </w:r>
          </w:p>
        </w:tc>
        <w:tc>
          <w:tcPr>
            <w:tcW w:w="1126" w:type="dxa"/>
            <w:vAlign w:val="center"/>
          </w:tcPr>
          <w:p w:rsidR="004F7E54" w:rsidRPr="0007765A"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Period change</w:t>
            </w:r>
            <w:r w:rsidRPr="0007765A">
              <w:rPr>
                <w:rFonts w:asciiTheme="minorHAnsi" w:hAnsiTheme="minorHAnsi" w:cs="Calibri"/>
                <w:sz w:val="20"/>
              </w:rPr>
              <w:t>¹</w:t>
            </w:r>
          </w:p>
        </w:tc>
        <w:tc>
          <w:tcPr>
            <w:tcW w:w="1126" w:type="dxa"/>
            <w:vAlign w:val="center"/>
          </w:tcPr>
          <w:p w:rsidR="004F7E54" w:rsidRPr="0007765A"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Annual change</w:t>
            </w:r>
            <w:r w:rsidRPr="0007765A">
              <w:rPr>
                <w:rFonts w:asciiTheme="minorHAnsi" w:hAnsiTheme="minorHAnsi" w:cs="Calibri"/>
                <w:sz w:val="20"/>
                <w:vertAlign w:val="superscript"/>
              </w:rPr>
              <w:t>2</w:t>
            </w:r>
          </w:p>
        </w:tc>
        <w:tc>
          <w:tcPr>
            <w:tcW w:w="1117" w:type="dxa"/>
            <w:vAlign w:val="center"/>
          </w:tcPr>
          <w:p w:rsidR="004F7E54" w:rsidRPr="0007765A"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Year on Year</w:t>
            </w:r>
            <w:r w:rsidRPr="0007765A">
              <w:rPr>
                <w:rFonts w:asciiTheme="minorHAnsi" w:hAnsiTheme="minorHAnsi" w:cs="Calibri"/>
                <w:sz w:val="20"/>
                <w:vertAlign w:val="superscript"/>
              </w:rPr>
              <w:t>3</w:t>
            </w:r>
          </w:p>
        </w:tc>
        <w:tc>
          <w:tcPr>
            <w:tcW w:w="1533" w:type="dxa"/>
            <w:vAlign w:val="center"/>
          </w:tcPr>
          <w:p w:rsidR="004F7E54" w:rsidRPr="0007765A"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07765A">
              <w:rPr>
                <w:rFonts w:asciiTheme="minorHAnsi" w:hAnsiTheme="minorHAnsi"/>
                <w:sz w:val="20"/>
              </w:rPr>
              <w:t>COVID period change</w:t>
            </w:r>
            <w:r w:rsidRPr="0007765A">
              <w:rPr>
                <w:rFonts w:asciiTheme="minorHAnsi" w:hAnsiTheme="minorHAnsi"/>
                <w:sz w:val="20"/>
                <w:vertAlign w:val="superscript"/>
              </w:rPr>
              <w:t>4</w:t>
            </w:r>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rsidR="004F7E54" w:rsidRDefault="004F7E54" w:rsidP="000D503C">
            <w:pPr>
              <w:rPr>
                <w:rFonts w:ascii="Calibri" w:hAnsi="Calibri" w:cs="Calibri"/>
                <w:b/>
                <w:bCs/>
                <w:color w:val="000000"/>
                <w:sz w:val="20"/>
              </w:rPr>
            </w:pPr>
            <w:r>
              <w:rPr>
                <w:rFonts w:ascii="Calibri" w:hAnsi="Calibri" w:cs="Calibri"/>
                <w:b/>
                <w:bCs/>
                <w:color w:val="000000"/>
                <w:sz w:val="20"/>
              </w:rPr>
              <w:t>Economic Growth</w:t>
            </w:r>
          </w:p>
        </w:tc>
        <w:tc>
          <w:tcPr>
            <w:tcW w:w="985" w:type="dxa"/>
            <w:shd w:val="clear" w:color="auto" w:fill="D9D9D9" w:themeFill="background1" w:themeFillShade="D9"/>
          </w:tcPr>
          <w:p w:rsidR="004F7E54" w:rsidRPr="0007765A"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24" w:type="dxa"/>
            <w:shd w:val="clear" w:color="auto" w:fill="D9D9D9" w:themeFill="background1" w:themeFillShade="D9"/>
          </w:tcPr>
          <w:p w:rsidR="004F7E54" w:rsidRPr="0007765A"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26" w:type="dxa"/>
            <w:shd w:val="clear" w:color="auto" w:fill="D9D9D9" w:themeFill="background1" w:themeFillShade="D9"/>
          </w:tcPr>
          <w:p w:rsidR="004F7E54" w:rsidRPr="0007765A"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26" w:type="dxa"/>
            <w:shd w:val="clear" w:color="auto" w:fill="D9D9D9" w:themeFill="background1" w:themeFillShade="D9"/>
          </w:tcPr>
          <w:p w:rsidR="004F7E54" w:rsidRPr="0007765A"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17" w:type="dxa"/>
            <w:shd w:val="clear" w:color="auto" w:fill="D9D9D9" w:themeFill="background1" w:themeFillShade="D9"/>
          </w:tcPr>
          <w:p w:rsidR="004F7E54" w:rsidRPr="0007765A"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533" w:type="dxa"/>
            <w:shd w:val="clear" w:color="auto" w:fill="D9D9D9" w:themeFill="background1" w:themeFillShade="D9"/>
            <w:vAlign w:val="center"/>
          </w:tcPr>
          <w:p w:rsidR="004F7E54" w:rsidRPr="0007765A"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State final demand (NT) (</w:t>
            </w:r>
            <w:proofErr w:type="spellStart"/>
            <w:r>
              <w:rPr>
                <w:rFonts w:ascii="Calibri" w:hAnsi="Calibri" w:cs="Calibri"/>
                <w:i/>
                <w:iCs/>
                <w:color w:val="000000"/>
                <w:sz w:val="20"/>
              </w:rPr>
              <w:t>sa</w:t>
            </w:r>
            <w:proofErr w:type="spellEnd"/>
            <w:r>
              <w:rPr>
                <w:rFonts w:ascii="Calibri" w:hAnsi="Calibri" w:cs="Calibri"/>
                <w:i/>
                <w:iCs/>
                <w:color w:val="000000"/>
                <w:sz w:val="20"/>
              </w:rPr>
              <w:t>)</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$6.8 b</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2.2%</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10.8%</w:t>
            </w:r>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10.1%</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13.4%</w:t>
            </w:r>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Domestic final demand (</w:t>
            </w:r>
            <w:proofErr w:type="spellStart"/>
            <w:r>
              <w:rPr>
                <w:rFonts w:ascii="Calibri" w:hAnsi="Calibri" w:cs="Calibri"/>
                <w:i/>
                <w:iCs/>
                <w:color w:val="000000"/>
                <w:sz w:val="20"/>
              </w:rPr>
              <w:t>Aus</w:t>
            </w:r>
            <w:proofErr w:type="spellEnd"/>
            <w:r>
              <w:rPr>
                <w:rFonts w:ascii="Calibri" w:hAnsi="Calibri" w:cs="Calibri"/>
                <w:i/>
                <w:iCs/>
                <w:color w:val="000000"/>
                <w:sz w:val="20"/>
              </w:rPr>
              <w:t>) (</w:t>
            </w:r>
            <w:proofErr w:type="spellStart"/>
            <w:r>
              <w:rPr>
                <w:rFonts w:ascii="Calibri" w:hAnsi="Calibri" w:cs="Calibri"/>
                <w:i/>
                <w:iCs/>
                <w:color w:val="000000"/>
                <w:sz w:val="20"/>
              </w:rPr>
              <w:t>sa</w:t>
            </w:r>
            <w:proofErr w:type="spellEnd"/>
            <w:r>
              <w:rPr>
                <w:rFonts w:ascii="Calibri" w:hAnsi="Calibri" w:cs="Calibri"/>
                <w:i/>
                <w:iCs/>
                <w:color w:val="000000"/>
                <w:sz w:val="20"/>
              </w:rPr>
              <w:t>)</w:t>
            </w:r>
          </w:p>
        </w:tc>
        <w:tc>
          <w:tcPr>
            <w:tcW w:w="985"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$519.8 b</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4.8%</w:t>
            </w:r>
          </w:p>
        </w:tc>
        <w:tc>
          <w:tcPr>
            <w:tcW w:w="1117"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6.7%</w:t>
            </w:r>
          </w:p>
        </w:tc>
        <w:tc>
          <w:tcPr>
            <w:tcW w:w="1533"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6.4%</w:t>
            </w:r>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160"/>
              <w:rPr>
                <w:rFonts w:ascii="Calibri" w:hAnsi="Calibri" w:cs="Calibri"/>
                <w:i/>
                <w:iCs/>
                <w:color w:val="000000"/>
                <w:sz w:val="8"/>
                <w:szCs w:val="8"/>
              </w:rPr>
            </w:pPr>
            <w:r>
              <w:rPr>
                <w:rFonts w:ascii="Calibri" w:hAnsi="Calibri" w:cs="Calibri"/>
                <w:i/>
                <w:iCs/>
                <w:color w:val="000000"/>
                <w:sz w:val="8"/>
                <w:szCs w:val="8"/>
              </w:rPr>
              <w:t> </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Gross state product (NT)</w:t>
            </w:r>
          </w:p>
        </w:tc>
        <w:tc>
          <w:tcPr>
            <w:tcW w:w="985"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2020-21</w:t>
            </w:r>
          </w:p>
        </w:tc>
        <w:tc>
          <w:tcPr>
            <w:tcW w:w="1124"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$26.2 b</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117"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-0.6%</w:t>
            </w:r>
          </w:p>
        </w:tc>
        <w:tc>
          <w:tcPr>
            <w:tcW w:w="1533"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Gross domestic product (</w:t>
            </w:r>
            <w:proofErr w:type="spellStart"/>
            <w:r>
              <w:rPr>
                <w:rFonts w:ascii="Calibri" w:hAnsi="Calibri" w:cs="Calibri"/>
                <w:i/>
                <w:iCs/>
                <w:color w:val="000000"/>
                <w:sz w:val="20"/>
              </w:rPr>
              <w:t>Aust</w:t>
            </w:r>
            <w:proofErr w:type="spellEnd"/>
            <w:r>
              <w:rPr>
                <w:rFonts w:ascii="Calibri" w:hAnsi="Calibri" w:cs="Calibri"/>
                <w:i/>
                <w:iCs/>
                <w:color w:val="000000"/>
                <w:sz w:val="20"/>
              </w:rPr>
              <w:t>)</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2020-21</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$2010.1 b</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1.5%</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rsidR="004F7E54" w:rsidRDefault="004F7E54" w:rsidP="000D503C">
            <w:pPr>
              <w:rPr>
                <w:rFonts w:ascii="Calibri" w:hAnsi="Calibri" w:cs="Calibri"/>
                <w:b/>
                <w:bCs/>
                <w:color w:val="000000"/>
                <w:sz w:val="20"/>
              </w:rPr>
            </w:pPr>
            <w:r>
              <w:rPr>
                <w:rFonts w:ascii="Calibri" w:hAnsi="Calibri" w:cs="Calibri"/>
                <w:b/>
                <w:bCs/>
                <w:color w:val="000000"/>
                <w:sz w:val="20"/>
              </w:rPr>
              <w:t>Partial Indicators</w:t>
            </w:r>
          </w:p>
        </w:tc>
        <w:tc>
          <w:tcPr>
            <w:tcW w:w="985"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4"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6"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6"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17"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533"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r>
      <w:tr w:rsidR="00992EBB"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992EBB" w:rsidRDefault="00992EBB" w:rsidP="00992EBB">
            <w:pPr>
              <w:spacing w:before="0" w:after="0"/>
              <w:ind w:firstLineChars="200" w:firstLine="400"/>
              <w:rPr>
                <w:rFonts w:ascii="Calibri" w:hAnsi="Calibri" w:cs="Calibri"/>
                <w:i/>
                <w:iCs/>
                <w:color w:val="000000"/>
                <w:sz w:val="20"/>
              </w:rPr>
            </w:pPr>
            <w:r>
              <w:rPr>
                <w:rFonts w:ascii="Calibri" w:hAnsi="Calibri" w:cs="Calibri"/>
                <w:i/>
                <w:iCs/>
                <w:color w:val="000000"/>
                <w:sz w:val="20"/>
              </w:rPr>
              <w:t>Nominal retail sales (NT) (</w:t>
            </w:r>
            <w:proofErr w:type="spellStart"/>
            <w:r>
              <w:rPr>
                <w:rFonts w:ascii="Calibri" w:hAnsi="Calibri" w:cs="Calibri"/>
                <w:i/>
                <w:iCs/>
                <w:color w:val="000000"/>
                <w:sz w:val="20"/>
              </w:rPr>
              <w:t>sa</w:t>
            </w:r>
            <w:proofErr w:type="spellEnd"/>
            <w:r>
              <w:rPr>
                <w:rFonts w:ascii="Calibri" w:hAnsi="Calibri" w:cs="Calibri"/>
                <w:i/>
                <w:iCs/>
                <w:color w:val="000000"/>
                <w:sz w:val="20"/>
              </w:rPr>
              <w:t>)</w:t>
            </w:r>
          </w:p>
        </w:tc>
        <w:tc>
          <w:tcPr>
            <w:tcW w:w="985"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Apr-22</w:t>
            </w:r>
          </w:p>
        </w:tc>
        <w:tc>
          <w:tcPr>
            <w:tcW w:w="1124"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$302.8 m</w:t>
            </w:r>
          </w:p>
        </w:tc>
        <w:tc>
          <w:tcPr>
            <w:tcW w:w="1126"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0.7%</w:t>
            </w:r>
          </w:p>
        </w:tc>
        <w:tc>
          <w:tcPr>
            <w:tcW w:w="1126"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0.3%</w:t>
            </w:r>
          </w:p>
        </w:tc>
        <w:tc>
          <w:tcPr>
            <w:tcW w:w="1117"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1.1%</w:t>
            </w:r>
          </w:p>
        </w:tc>
        <w:tc>
          <w:tcPr>
            <w:tcW w:w="1533"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16.2%</w:t>
            </w:r>
          </w:p>
        </w:tc>
      </w:tr>
      <w:tr w:rsidR="00992EBB"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992EBB" w:rsidRDefault="00992EBB" w:rsidP="00992EBB">
            <w:pPr>
              <w:spacing w:before="0" w:after="0"/>
              <w:ind w:firstLineChars="200" w:firstLine="400"/>
              <w:rPr>
                <w:rFonts w:ascii="Calibri" w:hAnsi="Calibri" w:cs="Calibri"/>
                <w:i/>
                <w:iCs/>
                <w:color w:val="000000"/>
                <w:sz w:val="20"/>
              </w:rPr>
            </w:pPr>
            <w:r>
              <w:rPr>
                <w:rFonts w:ascii="Calibri" w:hAnsi="Calibri" w:cs="Calibri"/>
                <w:i/>
                <w:iCs/>
                <w:color w:val="000000"/>
                <w:sz w:val="20"/>
              </w:rPr>
              <w:t>Nominal retail sales (</w:t>
            </w:r>
            <w:proofErr w:type="spellStart"/>
            <w:r>
              <w:rPr>
                <w:rFonts w:ascii="Calibri" w:hAnsi="Calibri" w:cs="Calibri"/>
                <w:i/>
                <w:iCs/>
                <w:color w:val="000000"/>
                <w:sz w:val="20"/>
              </w:rPr>
              <w:t>Aust</w:t>
            </w:r>
            <w:proofErr w:type="spellEnd"/>
            <w:r>
              <w:rPr>
                <w:rFonts w:ascii="Calibri" w:hAnsi="Calibri" w:cs="Calibri"/>
                <w:i/>
                <w:iCs/>
                <w:color w:val="000000"/>
                <w:sz w:val="20"/>
              </w:rPr>
              <w:t>) (</w:t>
            </w:r>
            <w:proofErr w:type="spellStart"/>
            <w:r>
              <w:rPr>
                <w:rFonts w:ascii="Calibri" w:hAnsi="Calibri" w:cs="Calibri"/>
                <w:i/>
                <w:iCs/>
                <w:color w:val="000000"/>
                <w:sz w:val="20"/>
              </w:rPr>
              <w:t>sa</w:t>
            </w:r>
            <w:proofErr w:type="spellEnd"/>
            <w:r>
              <w:rPr>
                <w:rFonts w:ascii="Calibri" w:hAnsi="Calibri" w:cs="Calibri"/>
                <w:i/>
                <w:iCs/>
                <w:color w:val="000000"/>
                <w:sz w:val="20"/>
              </w:rPr>
              <w:t>)</w:t>
            </w:r>
          </w:p>
        </w:tc>
        <w:tc>
          <w:tcPr>
            <w:tcW w:w="985"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Apr-22</w:t>
            </w:r>
          </w:p>
        </w:tc>
        <w:tc>
          <w:tcPr>
            <w:tcW w:w="1124"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$33.9 b</w:t>
            </w:r>
          </w:p>
        </w:tc>
        <w:tc>
          <w:tcPr>
            <w:tcW w:w="1126"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0.9%</w:t>
            </w:r>
          </w:p>
        </w:tc>
        <w:tc>
          <w:tcPr>
            <w:tcW w:w="1126"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9.6%</w:t>
            </w:r>
          </w:p>
        </w:tc>
        <w:tc>
          <w:tcPr>
            <w:tcW w:w="1117"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4.9%</w:t>
            </w:r>
          </w:p>
        </w:tc>
        <w:tc>
          <w:tcPr>
            <w:tcW w:w="1533"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22.2%</w:t>
            </w:r>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160"/>
              <w:rPr>
                <w:rFonts w:ascii="Calibri" w:hAnsi="Calibri" w:cs="Calibri"/>
                <w:i/>
                <w:iCs/>
                <w:color w:val="000000"/>
                <w:sz w:val="8"/>
                <w:szCs w:val="8"/>
              </w:rPr>
            </w:pPr>
            <w:r>
              <w:rPr>
                <w:rFonts w:ascii="Calibri" w:hAnsi="Calibri" w:cs="Calibri"/>
                <w:i/>
                <w:iCs/>
                <w:color w:val="000000"/>
                <w:sz w:val="8"/>
                <w:szCs w:val="8"/>
              </w:rPr>
              <w:t> </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Construction work done (NT) (</w:t>
            </w:r>
            <w:proofErr w:type="spellStart"/>
            <w:r>
              <w:rPr>
                <w:rFonts w:ascii="Calibri" w:hAnsi="Calibri" w:cs="Calibri"/>
                <w:i/>
                <w:iCs/>
                <w:color w:val="000000"/>
                <w:sz w:val="20"/>
              </w:rPr>
              <w:t>sa</w:t>
            </w:r>
            <w:proofErr w:type="spellEnd"/>
            <w:r>
              <w:rPr>
                <w:rFonts w:ascii="Calibri" w:hAnsi="Calibri" w:cs="Calibri"/>
                <w:i/>
                <w:iCs/>
                <w:color w:val="000000"/>
                <w:sz w:val="20"/>
              </w:rPr>
              <w:t>)</w:t>
            </w:r>
          </w:p>
        </w:tc>
        <w:tc>
          <w:tcPr>
            <w:tcW w:w="985"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$628.6 m</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-19.2%</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31.4%</w:t>
            </w:r>
          </w:p>
        </w:tc>
        <w:tc>
          <w:tcPr>
            <w:tcW w:w="1117"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21.4%</w:t>
            </w:r>
          </w:p>
        </w:tc>
        <w:tc>
          <w:tcPr>
            <w:tcW w:w="1533"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32%</w:t>
            </w:r>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Construction work done (</w:t>
            </w:r>
            <w:proofErr w:type="spellStart"/>
            <w:r>
              <w:rPr>
                <w:rFonts w:ascii="Calibri" w:hAnsi="Calibri" w:cs="Calibri"/>
                <w:i/>
                <w:iCs/>
                <w:color w:val="000000"/>
                <w:sz w:val="20"/>
              </w:rPr>
              <w:t>Aust</w:t>
            </w:r>
            <w:proofErr w:type="spellEnd"/>
            <w:r>
              <w:rPr>
                <w:rFonts w:ascii="Calibri" w:hAnsi="Calibri" w:cs="Calibri"/>
                <w:i/>
                <w:iCs/>
                <w:color w:val="000000"/>
                <w:sz w:val="20"/>
              </w:rPr>
              <w:t>) (</w:t>
            </w:r>
            <w:proofErr w:type="spellStart"/>
            <w:r>
              <w:rPr>
                <w:rFonts w:ascii="Calibri" w:hAnsi="Calibri" w:cs="Calibri"/>
                <w:i/>
                <w:iCs/>
                <w:color w:val="000000"/>
                <w:sz w:val="20"/>
              </w:rPr>
              <w:t>sa</w:t>
            </w:r>
            <w:proofErr w:type="spellEnd"/>
            <w:r>
              <w:rPr>
                <w:rFonts w:ascii="Calibri" w:hAnsi="Calibri" w:cs="Calibri"/>
                <w:i/>
                <w:iCs/>
                <w:color w:val="000000"/>
                <w:sz w:val="20"/>
              </w:rPr>
              <w:t>)</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$53.7 b</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-0.9%</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1.4%</w:t>
            </w:r>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2.5%</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1.6%</w:t>
            </w:r>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4F7E54" w:rsidRDefault="004F7E54" w:rsidP="000D503C">
            <w:pPr>
              <w:spacing w:before="0" w:after="0"/>
              <w:ind w:firstLineChars="200" w:firstLine="160"/>
              <w:rPr>
                <w:rFonts w:ascii="Calibri" w:hAnsi="Calibri" w:cs="Calibri"/>
                <w:i/>
                <w:iCs/>
                <w:color w:val="000000"/>
                <w:sz w:val="8"/>
                <w:szCs w:val="8"/>
              </w:rPr>
            </w:pPr>
            <w:r>
              <w:rPr>
                <w:rFonts w:ascii="Calibri" w:hAnsi="Calibri" w:cs="Calibri"/>
                <w:i/>
                <w:iCs/>
                <w:color w:val="000000"/>
                <w:sz w:val="8"/>
                <w:szCs w:val="8"/>
              </w:rPr>
              <w:t> </w:t>
            </w:r>
          </w:p>
        </w:tc>
        <w:tc>
          <w:tcPr>
            <w:tcW w:w="985"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400"/>
              <w:rPr>
                <w:rFonts w:ascii="Calibri" w:hAnsi="Calibri" w:cs="Calibri"/>
                <w:i/>
                <w:iCs/>
                <w:color w:val="000000"/>
                <w:sz w:val="20"/>
              </w:rPr>
            </w:pPr>
            <w:r w:rsidRPr="001F2C24">
              <w:rPr>
                <w:rFonts w:ascii="Calibri" w:hAnsi="Calibri" w:cs="Calibri"/>
                <w:i/>
                <w:iCs/>
                <w:color w:val="000000"/>
                <w:sz w:val="20"/>
              </w:rPr>
              <w:t>Residential</w:t>
            </w:r>
            <w:r>
              <w:rPr>
                <w:rFonts w:ascii="Calibri" w:hAnsi="Calibri" w:cs="Calibri"/>
                <w:i/>
                <w:iCs/>
                <w:color w:val="000000"/>
                <w:sz w:val="20"/>
              </w:rPr>
              <w:t xml:space="preserve"> building activity (NT)</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Dec-21</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$82.3 m</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-6.8%</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-9.9%</w:t>
            </w:r>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2.8%</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1.4%</w:t>
            </w:r>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4F7E54" w:rsidRDefault="004F7E54" w:rsidP="000D503C">
            <w:pPr>
              <w:spacing w:before="0" w:after="0"/>
              <w:ind w:firstLineChars="200" w:firstLine="400"/>
              <w:rPr>
                <w:rFonts w:ascii="Calibri" w:hAnsi="Calibri" w:cs="Calibri"/>
                <w:i/>
                <w:iCs/>
                <w:color w:val="000000"/>
                <w:sz w:val="20"/>
              </w:rPr>
            </w:pPr>
            <w:r w:rsidRPr="001F2C24">
              <w:rPr>
                <w:rFonts w:ascii="Calibri" w:hAnsi="Calibri" w:cs="Calibri"/>
                <w:i/>
                <w:iCs/>
                <w:color w:val="000000"/>
                <w:sz w:val="20"/>
              </w:rPr>
              <w:t>Residential</w:t>
            </w:r>
            <w:r>
              <w:rPr>
                <w:rFonts w:ascii="Calibri" w:hAnsi="Calibri" w:cs="Calibri"/>
                <w:i/>
                <w:iCs/>
                <w:color w:val="000000"/>
                <w:sz w:val="20"/>
              </w:rPr>
              <w:t xml:space="preserve"> building activity (</w:t>
            </w:r>
            <w:proofErr w:type="spellStart"/>
            <w:r>
              <w:rPr>
                <w:rFonts w:ascii="Calibri" w:hAnsi="Calibri" w:cs="Calibri"/>
                <w:i/>
                <w:iCs/>
                <w:color w:val="000000"/>
                <w:sz w:val="20"/>
              </w:rPr>
              <w:t>Aust</w:t>
            </w:r>
            <w:proofErr w:type="spellEnd"/>
            <w:r>
              <w:rPr>
                <w:rFonts w:ascii="Calibri" w:hAnsi="Calibri" w:cs="Calibri"/>
                <w:i/>
                <w:iCs/>
                <w:color w:val="000000"/>
                <w:sz w:val="20"/>
              </w:rPr>
              <w:t>)</w:t>
            </w:r>
          </w:p>
        </w:tc>
        <w:tc>
          <w:tcPr>
            <w:tcW w:w="985"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Dec-21</w:t>
            </w:r>
          </w:p>
        </w:tc>
        <w:tc>
          <w:tcPr>
            <w:tcW w:w="1124"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$18.4 b</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-4.9%</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0.1%</w:t>
            </w:r>
          </w:p>
        </w:tc>
        <w:tc>
          <w:tcPr>
            <w:tcW w:w="1117"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4.8%</w:t>
            </w:r>
          </w:p>
        </w:tc>
        <w:tc>
          <w:tcPr>
            <w:tcW w:w="1533"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0.3%</w:t>
            </w:r>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160"/>
              <w:rPr>
                <w:rFonts w:ascii="Calibri" w:hAnsi="Calibri" w:cs="Calibri"/>
                <w:i/>
                <w:iCs/>
                <w:color w:val="000000"/>
                <w:sz w:val="8"/>
                <w:szCs w:val="8"/>
              </w:rPr>
            </w:pPr>
            <w:r>
              <w:rPr>
                <w:rFonts w:ascii="Calibri" w:hAnsi="Calibri" w:cs="Calibri"/>
                <w:i/>
                <w:iCs/>
                <w:color w:val="000000"/>
                <w:sz w:val="8"/>
                <w:szCs w:val="8"/>
              </w:rPr>
              <w:t> </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Goods exports (NT)</w:t>
            </w:r>
          </w:p>
        </w:tc>
        <w:tc>
          <w:tcPr>
            <w:tcW w:w="985"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Apr-22</w:t>
            </w:r>
          </w:p>
        </w:tc>
        <w:tc>
          <w:tcPr>
            <w:tcW w:w="1124"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 b</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-11.8%</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132.2%</w:t>
            </w:r>
          </w:p>
        </w:tc>
        <w:tc>
          <w:tcPr>
            <w:tcW w:w="1117"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54.5%</w:t>
            </w:r>
          </w:p>
        </w:tc>
        <w:tc>
          <w:tcPr>
            <w:tcW w:w="1533"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18.9%</w:t>
            </w:r>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Goods exports (</w:t>
            </w:r>
            <w:proofErr w:type="spellStart"/>
            <w:r>
              <w:rPr>
                <w:rFonts w:ascii="Calibri" w:hAnsi="Calibri" w:cs="Calibri"/>
                <w:i/>
                <w:iCs/>
                <w:color w:val="000000"/>
                <w:sz w:val="20"/>
              </w:rPr>
              <w:t>Aust</w:t>
            </w:r>
            <w:proofErr w:type="spellEnd"/>
            <w:r>
              <w:rPr>
                <w:rFonts w:ascii="Calibri" w:hAnsi="Calibri" w:cs="Calibri"/>
                <w:i/>
                <w:iCs/>
                <w:color w:val="000000"/>
                <w:sz w:val="20"/>
              </w:rPr>
              <w:t>) (</w:t>
            </w:r>
            <w:proofErr w:type="spellStart"/>
            <w:r>
              <w:rPr>
                <w:rFonts w:ascii="Calibri" w:hAnsi="Calibri" w:cs="Calibri"/>
                <w:i/>
                <w:iCs/>
                <w:color w:val="000000"/>
                <w:sz w:val="20"/>
              </w:rPr>
              <w:t>sa</w:t>
            </w:r>
            <w:proofErr w:type="spellEnd"/>
            <w:r>
              <w:rPr>
                <w:rFonts w:ascii="Calibri" w:hAnsi="Calibri" w:cs="Calibri"/>
                <w:i/>
                <w:iCs/>
                <w:color w:val="000000"/>
                <w:sz w:val="20"/>
              </w:rPr>
              <w:t>)</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Apr-22</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$45.1 b</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26%</w:t>
            </w:r>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31.9%</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40.4%</w:t>
            </w:r>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rsidR="004F7E54" w:rsidRDefault="004F7E54" w:rsidP="000D503C">
            <w:pPr>
              <w:rPr>
                <w:rFonts w:ascii="Calibri" w:hAnsi="Calibri" w:cs="Calibri"/>
                <w:b/>
                <w:bCs/>
                <w:color w:val="000000"/>
                <w:sz w:val="20"/>
              </w:rPr>
            </w:pPr>
            <w:r>
              <w:rPr>
                <w:rFonts w:ascii="Calibri" w:hAnsi="Calibri" w:cs="Calibri"/>
                <w:b/>
                <w:bCs/>
                <w:color w:val="000000"/>
                <w:sz w:val="20"/>
              </w:rPr>
              <w:t>Prices</w:t>
            </w:r>
          </w:p>
        </w:tc>
        <w:tc>
          <w:tcPr>
            <w:tcW w:w="985"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4"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6"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6"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17"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533"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r>
      <w:tr w:rsidR="00992EBB"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992EBB" w:rsidRDefault="00992EBB" w:rsidP="00992EBB">
            <w:pPr>
              <w:spacing w:before="0" w:after="0"/>
              <w:ind w:firstLineChars="200" w:firstLine="400"/>
              <w:rPr>
                <w:rFonts w:ascii="Calibri" w:hAnsi="Calibri" w:cs="Calibri"/>
                <w:i/>
                <w:iCs/>
                <w:color w:val="000000"/>
                <w:sz w:val="20"/>
              </w:rPr>
            </w:pPr>
            <w:r>
              <w:rPr>
                <w:rFonts w:ascii="Calibri" w:hAnsi="Calibri" w:cs="Calibri"/>
                <w:i/>
                <w:iCs/>
                <w:color w:val="000000"/>
                <w:sz w:val="20"/>
              </w:rPr>
              <w:t>Inflation (Darwin)</w:t>
            </w:r>
          </w:p>
        </w:tc>
        <w:tc>
          <w:tcPr>
            <w:tcW w:w="985"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5.5%</w:t>
            </w:r>
          </w:p>
        </w:tc>
        <w:tc>
          <w:tcPr>
            <w:tcW w:w="1126"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-0.5 </w:t>
            </w:r>
            <w:proofErr w:type="spellStart"/>
            <w:r>
              <w:rPr>
                <w:rFonts w:ascii="Calibri" w:hAnsi="Calibri" w:cs="Calibri"/>
                <w:color w:val="000000"/>
                <w:sz w:val="20"/>
              </w:rPr>
              <w:t>ppt</w:t>
            </w:r>
            <w:proofErr w:type="spellEnd"/>
          </w:p>
        </w:tc>
        <w:tc>
          <w:tcPr>
            <w:tcW w:w="1126"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3.2 </w:t>
            </w:r>
            <w:proofErr w:type="spellStart"/>
            <w:r>
              <w:rPr>
                <w:rFonts w:ascii="Calibri" w:hAnsi="Calibri" w:cs="Calibri"/>
                <w:color w:val="000000"/>
                <w:sz w:val="20"/>
              </w:rPr>
              <w:t>ppt</w:t>
            </w:r>
            <w:proofErr w:type="spellEnd"/>
          </w:p>
        </w:tc>
        <w:tc>
          <w:tcPr>
            <w:tcW w:w="1117"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5.8 </w:t>
            </w:r>
            <w:proofErr w:type="spellStart"/>
            <w:r>
              <w:rPr>
                <w:rFonts w:ascii="Calibri" w:hAnsi="Calibri" w:cs="Calibri"/>
                <w:color w:val="000000"/>
                <w:sz w:val="20"/>
              </w:rPr>
              <w:t>ppt</w:t>
            </w:r>
            <w:proofErr w:type="spellEnd"/>
          </w:p>
        </w:tc>
        <w:tc>
          <w:tcPr>
            <w:tcW w:w="1533"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5.1 </w:t>
            </w:r>
            <w:proofErr w:type="spellStart"/>
            <w:r>
              <w:rPr>
                <w:rFonts w:ascii="Calibri" w:hAnsi="Calibri" w:cs="Calibri"/>
                <w:color w:val="000000"/>
                <w:sz w:val="20"/>
              </w:rPr>
              <w:t>ppt</w:t>
            </w:r>
            <w:proofErr w:type="spellEnd"/>
          </w:p>
        </w:tc>
      </w:tr>
      <w:tr w:rsidR="00992EBB"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992EBB" w:rsidRDefault="00992EBB" w:rsidP="00992EBB">
            <w:pPr>
              <w:spacing w:before="0" w:after="0"/>
              <w:ind w:firstLineChars="200" w:firstLine="400"/>
              <w:rPr>
                <w:rFonts w:ascii="Calibri" w:hAnsi="Calibri" w:cs="Calibri"/>
                <w:i/>
                <w:iCs/>
                <w:color w:val="000000"/>
                <w:sz w:val="20"/>
              </w:rPr>
            </w:pPr>
            <w:r>
              <w:rPr>
                <w:rFonts w:ascii="Calibri" w:hAnsi="Calibri" w:cs="Calibri"/>
                <w:i/>
                <w:iCs/>
                <w:color w:val="000000"/>
                <w:sz w:val="20"/>
              </w:rPr>
              <w:t>Inflation (8 Capitals)</w:t>
            </w:r>
          </w:p>
        </w:tc>
        <w:tc>
          <w:tcPr>
            <w:tcW w:w="985"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5.1%</w:t>
            </w:r>
          </w:p>
        </w:tc>
        <w:tc>
          <w:tcPr>
            <w:tcW w:w="1126"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1.6 </w:t>
            </w:r>
            <w:proofErr w:type="spellStart"/>
            <w:r>
              <w:rPr>
                <w:rFonts w:ascii="Calibri" w:hAnsi="Calibri" w:cs="Calibri"/>
                <w:color w:val="000000"/>
                <w:sz w:val="20"/>
              </w:rPr>
              <w:t>ppt</w:t>
            </w:r>
            <w:proofErr w:type="spellEnd"/>
          </w:p>
        </w:tc>
        <w:tc>
          <w:tcPr>
            <w:tcW w:w="1126"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4 </w:t>
            </w:r>
            <w:proofErr w:type="spellStart"/>
            <w:r>
              <w:rPr>
                <w:rFonts w:ascii="Calibri" w:hAnsi="Calibri" w:cs="Calibri"/>
                <w:color w:val="000000"/>
                <w:sz w:val="20"/>
              </w:rPr>
              <w:t>ppt</w:t>
            </w:r>
            <w:proofErr w:type="spellEnd"/>
          </w:p>
        </w:tc>
        <w:tc>
          <w:tcPr>
            <w:tcW w:w="1117"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3.3 </w:t>
            </w:r>
            <w:proofErr w:type="spellStart"/>
            <w:r>
              <w:rPr>
                <w:rFonts w:ascii="Calibri" w:hAnsi="Calibri" w:cs="Calibri"/>
                <w:color w:val="000000"/>
                <w:sz w:val="20"/>
              </w:rPr>
              <w:t>ppt</w:t>
            </w:r>
            <w:proofErr w:type="spellEnd"/>
          </w:p>
        </w:tc>
        <w:tc>
          <w:tcPr>
            <w:tcW w:w="1533"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3.2 </w:t>
            </w:r>
            <w:proofErr w:type="spellStart"/>
            <w:r>
              <w:rPr>
                <w:rFonts w:ascii="Calibri" w:hAnsi="Calibri" w:cs="Calibri"/>
                <w:color w:val="000000"/>
                <w:sz w:val="20"/>
              </w:rPr>
              <w:t>ppt</w:t>
            </w:r>
            <w:proofErr w:type="spellEnd"/>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160"/>
              <w:rPr>
                <w:rFonts w:ascii="Calibri" w:hAnsi="Calibri" w:cs="Calibri"/>
                <w:color w:val="000000"/>
                <w:sz w:val="8"/>
                <w:szCs w:val="8"/>
              </w:rPr>
            </w:pPr>
            <w:r>
              <w:rPr>
                <w:rFonts w:ascii="Calibri" w:hAnsi="Calibri" w:cs="Calibri"/>
                <w:color w:val="000000"/>
                <w:sz w:val="8"/>
                <w:szCs w:val="8"/>
              </w:rPr>
              <w:t> </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rsidR="004F7E54" w:rsidRDefault="004F7E54"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992EBB"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992EBB" w:rsidRDefault="00992EBB" w:rsidP="00992EBB">
            <w:pPr>
              <w:spacing w:before="0" w:after="0"/>
              <w:ind w:firstLineChars="200" w:firstLine="400"/>
              <w:rPr>
                <w:rFonts w:ascii="Calibri" w:hAnsi="Calibri" w:cs="Calibri"/>
                <w:i/>
                <w:iCs/>
                <w:color w:val="000000"/>
                <w:sz w:val="20"/>
              </w:rPr>
            </w:pPr>
            <w:r>
              <w:rPr>
                <w:rFonts w:ascii="Calibri" w:hAnsi="Calibri" w:cs="Calibri"/>
                <w:i/>
                <w:iCs/>
                <w:color w:val="000000"/>
                <w:sz w:val="20"/>
              </w:rPr>
              <w:t>WPI growth (NT)</w:t>
            </w:r>
          </w:p>
        </w:tc>
        <w:tc>
          <w:tcPr>
            <w:tcW w:w="985"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w:t>
            </w:r>
          </w:p>
        </w:tc>
        <w:tc>
          <w:tcPr>
            <w:tcW w:w="1126"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-0.2 </w:t>
            </w:r>
            <w:proofErr w:type="spellStart"/>
            <w:r>
              <w:rPr>
                <w:rFonts w:ascii="Calibri" w:hAnsi="Calibri" w:cs="Calibri"/>
                <w:color w:val="000000"/>
                <w:sz w:val="20"/>
              </w:rPr>
              <w:t>ppt</w:t>
            </w:r>
            <w:proofErr w:type="spellEnd"/>
          </w:p>
        </w:tc>
        <w:tc>
          <w:tcPr>
            <w:tcW w:w="1126"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c>
          <w:tcPr>
            <w:tcW w:w="1117"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0.2 </w:t>
            </w:r>
            <w:proofErr w:type="spellStart"/>
            <w:r>
              <w:rPr>
                <w:rFonts w:ascii="Calibri" w:hAnsi="Calibri" w:cs="Calibri"/>
                <w:color w:val="000000"/>
                <w:sz w:val="20"/>
              </w:rPr>
              <w:t>ppt</w:t>
            </w:r>
            <w:proofErr w:type="spellEnd"/>
          </w:p>
        </w:tc>
        <w:tc>
          <w:tcPr>
            <w:tcW w:w="1533" w:type="dxa"/>
            <w:vAlign w:val="center"/>
          </w:tcPr>
          <w:p w:rsidR="00992EBB" w:rsidRDefault="00992EBB" w:rsidP="00992EBB">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-0.6 </w:t>
            </w:r>
            <w:proofErr w:type="spellStart"/>
            <w:r>
              <w:rPr>
                <w:rFonts w:ascii="Calibri" w:hAnsi="Calibri" w:cs="Calibri"/>
                <w:color w:val="000000"/>
                <w:sz w:val="20"/>
              </w:rPr>
              <w:t>ppt</w:t>
            </w:r>
            <w:proofErr w:type="spellEnd"/>
          </w:p>
        </w:tc>
      </w:tr>
      <w:tr w:rsidR="00992EBB"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992EBB" w:rsidRDefault="00992EBB" w:rsidP="00992EBB">
            <w:pPr>
              <w:spacing w:before="0" w:after="0"/>
              <w:ind w:firstLineChars="200" w:firstLine="400"/>
              <w:rPr>
                <w:rFonts w:ascii="Calibri" w:hAnsi="Calibri" w:cs="Calibri"/>
                <w:i/>
                <w:iCs/>
                <w:color w:val="000000"/>
                <w:sz w:val="20"/>
              </w:rPr>
            </w:pPr>
            <w:r>
              <w:rPr>
                <w:rFonts w:ascii="Calibri" w:hAnsi="Calibri" w:cs="Calibri"/>
                <w:i/>
                <w:iCs/>
                <w:color w:val="000000"/>
                <w:sz w:val="20"/>
              </w:rPr>
              <w:t>WPI growth (</w:t>
            </w:r>
            <w:proofErr w:type="spellStart"/>
            <w:r>
              <w:rPr>
                <w:rFonts w:ascii="Calibri" w:hAnsi="Calibri" w:cs="Calibri"/>
                <w:i/>
                <w:iCs/>
                <w:color w:val="000000"/>
                <w:sz w:val="20"/>
              </w:rPr>
              <w:t>Aust</w:t>
            </w:r>
            <w:proofErr w:type="spellEnd"/>
            <w:r>
              <w:rPr>
                <w:rFonts w:ascii="Calibri" w:hAnsi="Calibri" w:cs="Calibri"/>
                <w:i/>
                <w:iCs/>
                <w:color w:val="000000"/>
                <w:sz w:val="20"/>
              </w:rPr>
              <w:t>)</w:t>
            </w:r>
          </w:p>
        </w:tc>
        <w:tc>
          <w:tcPr>
            <w:tcW w:w="985"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2.4%</w:t>
            </w:r>
          </w:p>
        </w:tc>
        <w:tc>
          <w:tcPr>
            <w:tcW w:w="1126"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c>
          <w:tcPr>
            <w:tcW w:w="1126"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0.9 </w:t>
            </w:r>
            <w:proofErr w:type="spellStart"/>
            <w:r>
              <w:rPr>
                <w:rFonts w:ascii="Calibri" w:hAnsi="Calibri" w:cs="Calibri"/>
                <w:color w:val="000000"/>
                <w:sz w:val="20"/>
              </w:rPr>
              <w:t>ppt</w:t>
            </w:r>
            <w:proofErr w:type="spellEnd"/>
          </w:p>
        </w:tc>
        <w:tc>
          <w:tcPr>
            <w:tcW w:w="1117"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0.7 </w:t>
            </w:r>
            <w:proofErr w:type="spellStart"/>
            <w:r>
              <w:rPr>
                <w:rFonts w:ascii="Calibri" w:hAnsi="Calibri" w:cs="Calibri"/>
                <w:color w:val="000000"/>
                <w:sz w:val="20"/>
              </w:rPr>
              <w:t>ppt</w:t>
            </w:r>
            <w:proofErr w:type="spellEnd"/>
          </w:p>
        </w:tc>
        <w:tc>
          <w:tcPr>
            <w:tcW w:w="1533" w:type="dxa"/>
            <w:shd w:val="clear" w:color="auto" w:fill="auto"/>
            <w:vAlign w:val="center"/>
          </w:tcPr>
          <w:p w:rsidR="00992EBB" w:rsidRDefault="00992EBB" w:rsidP="00992EBB">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rsidR="004F7E54" w:rsidRDefault="004F7E54" w:rsidP="000D503C">
            <w:pPr>
              <w:rPr>
                <w:rFonts w:ascii="Calibri" w:hAnsi="Calibri" w:cs="Calibri"/>
                <w:b/>
                <w:bCs/>
                <w:color w:val="000000"/>
                <w:sz w:val="20"/>
              </w:rPr>
            </w:pPr>
            <w:r>
              <w:rPr>
                <w:rFonts w:ascii="Calibri" w:hAnsi="Calibri" w:cs="Calibri"/>
                <w:b/>
                <w:bCs/>
                <w:color w:val="000000"/>
                <w:sz w:val="20"/>
              </w:rPr>
              <w:t>Labour Market</w:t>
            </w:r>
          </w:p>
        </w:tc>
        <w:tc>
          <w:tcPr>
            <w:tcW w:w="985"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4"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6"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6"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17"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533"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Employment (NT) (</w:t>
            </w:r>
            <w:proofErr w:type="spellStart"/>
            <w:r>
              <w:rPr>
                <w:rFonts w:ascii="Calibri" w:hAnsi="Calibri" w:cs="Calibri"/>
                <w:i/>
                <w:iCs/>
                <w:color w:val="000000"/>
                <w:sz w:val="20"/>
              </w:rPr>
              <w:t>sa</w:t>
            </w:r>
            <w:proofErr w:type="spellEnd"/>
            <w:r>
              <w:rPr>
                <w:rFonts w:ascii="Calibri" w:hAnsi="Calibri" w:cs="Calibri"/>
                <w:i/>
                <w:iCs/>
                <w:color w:val="000000"/>
                <w:sz w:val="20"/>
              </w:rPr>
              <w:t>)</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Apr-22</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 134040 </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2.2%</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2.4%</w:t>
            </w:r>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0.5%</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0.1%</w:t>
            </w:r>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Employment (</w:t>
            </w:r>
            <w:proofErr w:type="spellStart"/>
            <w:r>
              <w:rPr>
                <w:rFonts w:ascii="Calibri" w:hAnsi="Calibri" w:cs="Calibri"/>
                <w:i/>
                <w:iCs/>
                <w:color w:val="000000"/>
                <w:sz w:val="20"/>
              </w:rPr>
              <w:t>Aus</w:t>
            </w:r>
            <w:proofErr w:type="spellEnd"/>
            <w:r>
              <w:rPr>
                <w:rFonts w:ascii="Calibri" w:hAnsi="Calibri" w:cs="Calibri"/>
                <w:i/>
                <w:iCs/>
                <w:color w:val="000000"/>
                <w:sz w:val="20"/>
              </w:rPr>
              <w:t>) (</w:t>
            </w:r>
            <w:proofErr w:type="spellStart"/>
            <w:r>
              <w:rPr>
                <w:rFonts w:ascii="Calibri" w:hAnsi="Calibri" w:cs="Calibri"/>
                <w:i/>
                <w:iCs/>
                <w:color w:val="000000"/>
                <w:sz w:val="20"/>
              </w:rPr>
              <w:t>sa</w:t>
            </w:r>
            <w:proofErr w:type="spellEnd"/>
            <w:r>
              <w:rPr>
                <w:rFonts w:ascii="Calibri" w:hAnsi="Calibri" w:cs="Calibri"/>
                <w:i/>
                <w:iCs/>
                <w:color w:val="000000"/>
                <w:sz w:val="20"/>
              </w:rPr>
              <w:t>)</w:t>
            </w:r>
          </w:p>
        </w:tc>
        <w:tc>
          <w:tcPr>
            <w:tcW w:w="985"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Apr-22</w:t>
            </w:r>
          </w:p>
        </w:tc>
        <w:tc>
          <w:tcPr>
            <w:tcW w:w="1124"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13.4 m</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2.9%</w:t>
            </w:r>
          </w:p>
        </w:tc>
        <w:tc>
          <w:tcPr>
            <w:tcW w:w="1117"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3.6%</w:t>
            </w:r>
          </w:p>
        </w:tc>
        <w:tc>
          <w:tcPr>
            <w:tcW w:w="1533"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3.4%</w:t>
            </w:r>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160"/>
              <w:rPr>
                <w:rFonts w:ascii="Calibri" w:hAnsi="Calibri" w:cs="Calibri"/>
                <w:i/>
                <w:iCs/>
                <w:color w:val="000000"/>
                <w:sz w:val="8"/>
                <w:szCs w:val="8"/>
              </w:rPr>
            </w:pPr>
            <w:r>
              <w:rPr>
                <w:rFonts w:ascii="Calibri" w:hAnsi="Calibri" w:cs="Calibri"/>
                <w:i/>
                <w:iCs/>
                <w:color w:val="000000"/>
                <w:sz w:val="8"/>
                <w:szCs w:val="8"/>
              </w:rPr>
              <w:t> </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Unemployment rate (NT) (</w:t>
            </w:r>
            <w:proofErr w:type="spellStart"/>
            <w:r>
              <w:rPr>
                <w:rFonts w:ascii="Calibri" w:hAnsi="Calibri" w:cs="Calibri"/>
                <w:i/>
                <w:iCs/>
                <w:color w:val="000000"/>
                <w:sz w:val="20"/>
              </w:rPr>
              <w:t>sa</w:t>
            </w:r>
            <w:proofErr w:type="spellEnd"/>
            <w:r>
              <w:rPr>
                <w:rFonts w:ascii="Calibri" w:hAnsi="Calibri" w:cs="Calibri"/>
                <w:i/>
                <w:iCs/>
                <w:color w:val="000000"/>
                <w:sz w:val="20"/>
              </w:rPr>
              <w:t>)</w:t>
            </w:r>
          </w:p>
        </w:tc>
        <w:tc>
          <w:tcPr>
            <w:tcW w:w="985"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Apr-22</w:t>
            </w:r>
          </w:p>
        </w:tc>
        <w:tc>
          <w:tcPr>
            <w:tcW w:w="1124"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 4.1% </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0.3 </w:t>
            </w:r>
            <w:proofErr w:type="spellStart"/>
            <w:r>
              <w:rPr>
                <w:rFonts w:ascii="Calibri" w:hAnsi="Calibri" w:cs="Calibri"/>
                <w:color w:val="000000"/>
                <w:sz w:val="20"/>
              </w:rPr>
              <w:t>ppt</w:t>
            </w:r>
            <w:proofErr w:type="spellEnd"/>
          </w:p>
        </w:tc>
        <w:tc>
          <w:tcPr>
            <w:tcW w:w="1117"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-1.4 </w:t>
            </w:r>
            <w:proofErr w:type="spellStart"/>
            <w:r>
              <w:rPr>
                <w:rFonts w:ascii="Calibri" w:hAnsi="Calibri" w:cs="Calibri"/>
                <w:color w:val="000000"/>
                <w:sz w:val="20"/>
              </w:rPr>
              <w:t>ppt</w:t>
            </w:r>
            <w:proofErr w:type="spellEnd"/>
          </w:p>
        </w:tc>
        <w:tc>
          <w:tcPr>
            <w:tcW w:w="1533"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 </w:t>
            </w:r>
            <w:proofErr w:type="spellStart"/>
            <w:r>
              <w:rPr>
                <w:rFonts w:ascii="Calibri" w:hAnsi="Calibri" w:cs="Calibri"/>
                <w:color w:val="000000"/>
                <w:sz w:val="20"/>
              </w:rPr>
              <w:t>ppt</w:t>
            </w:r>
            <w:proofErr w:type="spellEnd"/>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Unemployment rate (</w:t>
            </w:r>
            <w:proofErr w:type="spellStart"/>
            <w:r>
              <w:rPr>
                <w:rFonts w:ascii="Calibri" w:hAnsi="Calibri" w:cs="Calibri"/>
                <w:i/>
                <w:iCs/>
                <w:color w:val="000000"/>
                <w:sz w:val="20"/>
              </w:rPr>
              <w:t>Aust</w:t>
            </w:r>
            <w:proofErr w:type="spellEnd"/>
            <w:r>
              <w:rPr>
                <w:rFonts w:ascii="Calibri" w:hAnsi="Calibri" w:cs="Calibri"/>
                <w:i/>
                <w:iCs/>
                <w:color w:val="000000"/>
                <w:sz w:val="20"/>
              </w:rPr>
              <w:t>) (</w:t>
            </w:r>
            <w:proofErr w:type="spellStart"/>
            <w:r>
              <w:rPr>
                <w:rFonts w:ascii="Calibri" w:hAnsi="Calibri" w:cs="Calibri"/>
                <w:i/>
                <w:iCs/>
                <w:color w:val="000000"/>
                <w:sz w:val="20"/>
              </w:rPr>
              <w:t>sa</w:t>
            </w:r>
            <w:proofErr w:type="spellEnd"/>
            <w:r>
              <w:rPr>
                <w:rFonts w:ascii="Calibri" w:hAnsi="Calibri" w:cs="Calibri"/>
                <w:i/>
                <w:iCs/>
                <w:color w:val="000000"/>
                <w:sz w:val="20"/>
              </w:rPr>
              <w:t>)</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Apr-22</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3.9%</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-1.6 </w:t>
            </w:r>
            <w:proofErr w:type="spellStart"/>
            <w:r>
              <w:rPr>
                <w:rFonts w:ascii="Calibri" w:hAnsi="Calibri" w:cs="Calibri"/>
                <w:color w:val="000000"/>
                <w:sz w:val="20"/>
              </w:rPr>
              <w:t>ppt</w:t>
            </w:r>
            <w:proofErr w:type="spellEnd"/>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-2.1 </w:t>
            </w:r>
            <w:proofErr w:type="spellStart"/>
            <w:r>
              <w:rPr>
                <w:rFonts w:ascii="Calibri" w:hAnsi="Calibri" w:cs="Calibri"/>
                <w:color w:val="000000"/>
                <w:sz w:val="20"/>
              </w:rPr>
              <w:t>ppt</w:t>
            </w:r>
            <w:proofErr w:type="spellEnd"/>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-1.2 </w:t>
            </w:r>
            <w:proofErr w:type="spellStart"/>
            <w:r>
              <w:rPr>
                <w:rFonts w:ascii="Calibri" w:hAnsi="Calibri" w:cs="Calibri"/>
                <w:color w:val="000000"/>
                <w:sz w:val="20"/>
              </w:rPr>
              <w:t>ppt</w:t>
            </w:r>
            <w:proofErr w:type="spellEnd"/>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rsidR="004F7E54" w:rsidRDefault="004F7E54" w:rsidP="000D503C">
            <w:pPr>
              <w:rPr>
                <w:rFonts w:ascii="Calibri" w:hAnsi="Calibri" w:cs="Calibri"/>
                <w:b/>
                <w:bCs/>
                <w:color w:val="000000"/>
                <w:sz w:val="20"/>
              </w:rPr>
            </w:pPr>
            <w:r>
              <w:rPr>
                <w:rFonts w:ascii="Calibri" w:hAnsi="Calibri" w:cs="Calibri"/>
                <w:b/>
                <w:bCs/>
                <w:color w:val="000000"/>
                <w:sz w:val="20"/>
              </w:rPr>
              <w:t>Population</w:t>
            </w:r>
          </w:p>
        </w:tc>
        <w:tc>
          <w:tcPr>
            <w:tcW w:w="985"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4"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6"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26"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117"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c>
          <w:tcPr>
            <w:tcW w:w="1533" w:type="dxa"/>
            <w:shd w:val="clear" w:color="auto" w:fill="D9D9D9" w:themeFill="background1" w:themeFillShade="D9"/>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w:t>
            </w:r>
          </w:p>
        </w:tc>
      </w:tr>
      <w:tr w:rsidR="004F7E54"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Population (NT)</w:t>
            </w:r>
          </w:p>
        </w:tc>
        <w:tc>
          <w:tcPr>
            <w:tcW w:w="985"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Sep-21</w:t>
            </w:r>
          </w:p>
        </w:tc>
        <w:tc>
          <w:tcPr>
            <w:tcW w:w="1124"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245865</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w:t>
            </w:r>
          </w:p>
        </w:tc>
        <w:tc>
          <w:tcPr>
            <w:tcW w:w="1126"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c>
          <w:tcPr>
            <w:tcW w:w="1117"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w:t>
            </w:r>
          </w:p>
        </w:tc>
        <w:tc>
          <w:tcPr>
            <w:tcW w:w="1533" w:type="dxa"/>
            <w:shd w:val="clear" w:color="auto" w:fill="auto"/>
            <w:vAlign w:val="center"/>
          </w:tcPr>
          <w:p w:rsidR="004F7E54" w:rsidRDefault="004F7E54" w:rsidP="000D503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r>
      <w:tr w:rsidR="004F7E54"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rsidR="004F7E54" w:rsidRDefault="004F7E54" w:rsidP="000D503C">
            <w:pPr>
              <w:spacing w:before="0" w:after="0"/>
              <w:ind w:firstLineChars="200" w:firstLine="400"/>
              <w:rPr>
                <w:rFonts w:ascii="Calibri" w:hAnsi="Calibri" w:cs="Calibri"/>
                <w:i/>
                <w:iCs/>
                <w:color w:val="000000"/>
                <w:sz w:val="20"/>
              </w:rPr>
            </w:pPr>
            <w:r>
              <w:rPr>
                <w:rFonts w:ascii="Calibri" w:hAnsi="Calibri" w:cs="Calibri"/>
                <w:i/>
                <w:iCs/>
                <w:color w:val="000000"/>
                <w:sz w:val="20"/>
              </w:rPr>
              <w:t>Population (</w:t>
            </w:r>
            <w:proofErr w:type="spellStart"/>
            <w:r>
              <w:rPr>
                <w:rFonts w:ascii="Calibri" w:hAnsi="Calibri" w:cs="Calibri"/>
                <w:i/>
                <w:iCs/>
                <w:color w:val="000000"/>
                <w:sz w:val="20"/>
              </w:rPr>
              <w:t>Aust</w:t>
            </w:r>
            <w:proofErr w:type="spellEnd"/>
            <w:r>
              <w:rPr>
                <w:rFonts w:ascii="Calibri" w:hAnsi="Calibri" w:cs="Calibri"/>
                <w:i/>
                <w:iCs/>
                <w:color w:val="000000"/>
                <w:sz w:val="20"/>
              </w:rPr>
              <w:t>)</w:t>
            </w:r>
          </w:p>
        </w:tc>
        <w:tc>
          <w:tcPr>
            <w:tcW w:w="985"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Sep-21</w:t>
            </w:r>
          </w:p>
        </w:tc>
        <w:tc>
          <w:tcPr>
            <w:tcW w:w="1124"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25.8 m</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w:t>
            </w:r>
          </w:p>
        </w:tc>
        <w:tc>
          <w:tcPr>
            <w:tcW w:w="1126"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0.3%</w:t>
            </w:r>
          </w:p>
        </w:tc>
        <w:tc>
          <w:tcPr>
            <w:tcW w:w="1117"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0.3%</w:t>
            </w:r>
          </w:p>
        </w:tc>
        <w:tc>
          <w:tcPr>
            <w:tcW w:w="1533" w:type="dxa"/>
            <w:vAlign w:val="center"/>
          </w:tcPr>
          <w:p w:rsidR="004F7E54"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0.8%</w:t>
            </w:r>
          </w:p>
        </w:tc>
      </w:tr>
    </w:tbl>
    <w:p w:rsidR="004F7E54" w:rsidRDefault="004F7E54" w:rsidP="004F7E54">
      <w:pPr>
        <w:spacing w:after="0"/>
        <w:rPr>
          <w:sz w:val="16"/>
          <w:szCs w:val="16"/>
        </w:rPr>
      </w:pPr>
      <w:r>
        <w:rPr>
          <w:sz w:val="16"/>
          <w:szCs w:val="16"/>
        </w:rPr>
        <w:t>Source: ABS</w:t>
      </w:r>
    </w:p>
    <w:p w:rsidR="004F7E54" w:rsidRPr="00EE4666" w:rsidRDefault="004F7E54" w:rsidP="004F7E54">
      <w:pPr>
        <w:spacing w:after="0"/>
        <w:rPr>
          <w:sz w:val="16"/>
          <w:szCs w:val="16"/>
        </w:rPr>
      </w:pPr>
      <w:r>
        <w:rPr>
          <w:sz w:val="16"/>
          <w:szCs w:val="16"/>
        </w:rPr>
        <w:t>1. Monthly change for retail sales, goods exports, and unemployment; quarterly change for all other variables.</w:t>
      </w:r>
    </w:p>
    <w:p w:rsidR="004F7E54" w:rsidRDefault="004F7E54" w:rsidP="004F7E54">
      <w:pPr>
        <w:spacing w:after="0"/>
        <w:rPr>
          <w:sz w:val="16"/>
          <w:szCs w:val="16"/>
        </w:rPr>
      </w:pPr>
      <w:r>
        <w:rPr>
          <w:sz w:val="16"/>
          <w:szCs w:val="16"/>
        </w:rPr>
        <w:t>2</w:t>
      </w:r>
      <w:r w:rsidRPr="00EE4666">
        <w:rPr>
          <w:sz w:val="16"/>
          <w:szCs w:val="16"/>
        </w:rPr>
        <w:t>. Compares the latest month w</w:t>
      </w:r>
      <w:r>
        <w:rPr>
          <w:sz w:val="16"/>
          <w:szCs w:val="16"/>
        </w:rPr>
        <w:t>ith the same month last year</w:t>
      </w:r>
    </w:p>
    <w:p w:rsidR="004F7E54" w:rsidRDefault="004F7E54" w:rsidP="004F7E54">
      <w:pPr>
        <w:spacing w:after="0"/>
        <w:rPr>
          <w:sz w:val="16"/>
          <w:szCs w:val="16"/>
        </w:rPr>
      </w:pPr>
      <w:r>
        <w:rPr>
          <w:sz w:val="16"/>
          <w:szCs w:val="16"/>
        </w:rPr>
        <w:t>3</w:t>
      </w:r>
      <w:r w:rsidRPr="00EE4666">
        <w:rPr>
          <w:sz w:val="16"/>
          <w:szCs w:val="16"/>
        </w:rPr>
        <w:t>. Compares the 12 months up to and including the latest month with the previous 12-month</w:t>
      </w:r>
      <w:r>
        <w:rPr>
          <w:sz w:val="16"/>
          <w:szCs w:val="16"/>
        </w:rPr>
        <w:t xml:space="preserve"> period</w:t>
      </w:r>
    </w:p>
    <w:p w:rsidR="004F7E54" w:rsidRDefault="004F7E54" w:rsidP="004F7E54">
      <w:pPr>
        <w:spacing w:after="120"/>
        <w:jc w:val="both"/>
        <w:rPr>
          <w:sz w:val="21"/>
          <w:szCs w:val="21"/>
        </w:rPr>
      </w:pPr>
      <w:r>
        <w:rPr>
          <w:rFonts w:cstheme="minorHAnsi"/>
          <w:sz w:val="16"/>
          <w:szCs w:val="16"/>
        </w:rPr>
        <w:t xml:space="preserve">4. Growth rate period is </w:t>
      </w:r>
      <w:r>
        <w:rPr>
          <w:sz w:val="16"/>
          <w:szCs w:val="16"/>
        </w:rPr>
        <w:t>December 2019 to most recent for monthly data, and December quarter 2019 to most recent for quarterly data.</w:t>
      </w:r>
    </w:p>
    <w:p w:rsidR="004F7E54" w:rsidRPr="00667D94" w:rsidRDefault="004F7E54" w:rsidP="003B0FF0">
      <w:pPr>
        <w:spacing w:after="120"/>
        <w:jc w:val="both"/>
        <w:rPr>
          <w:sz w:val="21"/>
          <w:szCs w:val="21"/>
        </w:rPr>
      </w:pPr>
    </w:p>
    <w:tbl>
      <w:tblPr>
        <w:tblStyle w:val="PlainTable4"/>
        <w:tblW w:w="0" w:type="auto"/>
        <w:tblLook w:val="04A0" w:firstRow="1" w:lastRow="0" w:firstColumn="1" w:lastColumn="0" w:noHBand="0" w:noVBand="1"/>
      </w:tblPr>
      <w:tblGrid>
        <w:gridCol w:w="5154"/>
        <w:gridCol w:w="5154"/>
      </w:tblGrid>
      <w:tr w:rsidR="00482D19" w:rsidRPr="00482D19" w:rsidTr="00482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rsidR="0008691E" w:rsidRPr="001D13F9" w:rsidRDefault="003B0FF0" w:rsidP="001D13F9">
            <w:pPr>
              <w:rPr>
                <w:b w:val="0"/>
                <w:noProof/>
                <w:sz w:val="20"/>
                <w:szCs w:val="20"/>
                <w:lang w:eastAsia="en-AU"/>
              </w:rPr>
            </w:pPr>
            <w:r w:rsidRPr="003B0FF0">
              <w:rPr>
                <w:noProof/>
                <w:sz w:val="20"/>
                <w:szCs w:val="20"/>
                <w:lang w:eastAsia="en-AU"/>
              </w:rPr>
              <w:t>Graph 1</w:t>
            </w:r>
            <w:r w:rsidR="001D13F9">
              <w:rPr>
                <w:noProof/>
                <w:sz w:val="20"/>
                <w:szCs w:val="20"/>
                <w:lang w:eastAsia="en-AU"/>
              </w:rPr>
              <w:t xml:space="preserve">: </w:t>
            </w:r>
            <w:r w:rsidR="001D13F9">
              <w:rPr>
                <w:b w:val="0"/>
                <w:noProof/>
                <w:sz w:val="20"/>
                <w:szCs w:val="20"/>
                <w:lang w:eastAsia="en-AU"/>
              </w:rPr>
              <w:t>State final demand has increased by 13.4 per cent since the December quarter 2019</w:t>
            </w:r>
            <w:r w:rsidR="00AD78C8">
              <w:rPr>
                <w:b w:val="0"/>
                <w:noProof/>
                <w:sz w:val="20"/>
                <w:szCs w:val="20"/>
                <w:lang w:eastAsia="en-AU"/>
              </w:rPr>
              <w:t>. In mid-2021 growth was driven by private sector investment and consumption</w:t>
            </w:r>
            <w:r w:rsidR="001D13F9">
              <w:rPr>
                <w:b w:val="0"/>
                <w:noProof/>
                <w:sz w:val="20"/>
                <w:szCs w:val="20"/>
                <w:lang w:eastAsia="en-AU"/>
              </w:rPr>
              <w:t>,</w:t>
            </w:r>
            <w:r w:rsidR="00AD78C8">
              <w:rPr>
                <w:b w:val="0"/>
                <w:noProof/>
                <w:sz w:val="20"/>
                <w:szCs w:val="20"/>
                <w:lang w:eastAsia="en-AU"/>
              </w:rPr>
              <w:t xml:space="preserve"> but in the March quarter government consumption drove most of the growth.</w:t>
            </w:r>
          </w:p>
          <w:p w:rsidR="003B0FF0" w:rsidRPr="00482D19" w:rsidRDefault="003B0FF0" w:rsidP="003B0FF0">
            <w:pPr>
              <w:jc w:val="center"/>
            </w:pPr>
            <w:bookmarkStart w:id="0" w:name="_GoBack"/>
            <w:r w:rsidRPr="00482D19">
              <w:rPr>
                <w:noProof/>
                <w:lang w:eastAsia="en-AU"/>
              </w:rPr>
              <w:drawing>
                <wp:inline distT="0" distB="0" distL="0" distR="0" wp14:anchorId="3A8662B6" wp14:editId="5085ABA5">
                  <wp:extent cx="3059306" cy="2733675"/>
                  <wp:effectExtent l="0" t="0" r="8255" b="0"/>
                  <wp:docPr id="14" name="Picture 14" descr="Graphic illustration of graph 1." title="NT State Final Demand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1022" cy="2735209"/>
                          </a:xfrm>
                          <a:prstGeom prst="rect">
                            <a:avLst/>
                          </a:prstGeom>
                          <a:noFill/>
                        </pic:spPr>
                      </pic:pic>
                    </a:graphicData>
                  </a:graphic>
                </wp:inline>
              </w:drawing>
            </w:r>
            <w:bookmarkEnd w:id="0"/>
          </w:p>
        </w:tc>
        <w:tc>
          <w:tcPr>
            <w:tcW w:w="5154" w:type="dxa"/>
            <w:shd w:val="clear" w:color="auto" w:fill="auto"/>
          </w:tcPr>
          <w:p w:rsidR="00E473C5" w:rsidRPr="001D13F9" w:rsidRDefault="003B0FF0" w:rsidP="00E473C5">
            <w:pPr>
              <w:cnfStyle w:val="100000000000" w:firstRow="1" w:lastRow="0" w:firstColumn="0" w:lastColumn="0" w:oddVBand="0" w:evenVBand="0" w:oddHBand="0" w:evenHBand="0" w:firstRowFirstColumn="0" w:firstRowLastColumn="0" w:lastRowFirstColumn="0" w:lastRowLastColumn="0"/>
              <w:rPr>
                <w:b w:val="0"/>
                <w:sz w:val="20"/>
                <w:szCs w:val="20"/>
              </w:rPr>
            </w:pPr>
            <w:r w:rsidRPr="003B0FF0">
              <w:rPr>
                <w:sz w:val="20"/>
                <w:szCs w:val="20"/>
              </w:rPr>
              <w:t>Graph 2</w:t>
            </w:r>
            <w:r w:rsidR="001D13F9">
              <w:rPr>
                <w:sz w:val="20"/>
                <w:szCs w:val="20"/>
              </w:rPr>
              <w:t xml:space="preserve">: </w:t>
            </w:r>
            <w:r w:rsidR="00E473C5" w:rsidRPr="00E473C5">
              <w:rPr>
                <w:b w:val="0"/>
                <w:sz w:val="20"/>
                <w:szCs w:val="20"/>
              </w:rPr>
              <w:t>Growth in retail sales has slowed, but both</w:t>
            </w:r>
            <w:r w:rsidR="00E473C5">
              <w:rPr>
                <w:b w:val="0"/>
                <w:sz w:val="20"/>
                <w:szCs w:val="20"/>
              </w:rPr>
              <w:t xml:space="preserve"> nominal and inflation-adjusted (real)</w:t>
            </w:r>
            <w:r w:rsidR="001D13F9">
              <w:rPr>
                <w:b w:val="0"/>
                <w:sz w:val="20"/>
                <w:szCs w:val="20"/>
              </w:rPr>
              <w:t xml:space="preserve"> retail sales are noticeably higher than their pre-pandemic levels. The level of nominal retail sales is being supported by price increases.</w:t>
            </w:r>
          </w:p>
          <w:p w:rsidR="003B0FF0" w:rsidRPr="00482D19" w:rsidRDefault="0007388D" w:rsidP="00A7279C">
            <w:pPr>
              <w:jc w:val="both"/>
              <w:cnfStyle w:val="100000000000" w:firstRow="1" w:lastRow="0" w:firstColumn="0" w:lastColumn="0" w:oddVBand="0" w:evenVBand="0" w:oddHBand="0" w:evenHBand="0" w:firstRowFirstColumn="0" w:firstRowLastColumn="0" w:lastRowFirstColumn="0" w:lastRowLastColumn="0"/>
            </w:pPr>
            <w:r>
              <w:rPr>
                <w:noProof/>
                <w:lang w:eastAsia="en-AU"/>
              </w:rPr>
              <w:drawing>
                <wp:inline distT="0" distB="0" distL="0" distR="0" wp14:anchorId="3ABF4A21">
                  <wp:extent cx="3060000" cy="2804400"/>
                  <wp:effectExtent l="0" t="0" r="7620" b="0"/>
                  <wp:docPr id="6" name="Picture 6" descr="Graphic illustration of graph 2." title="NT Retail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000" cy="2804400"/>
                          </a:xfrm>
                          <a:prstGeom prst="rect">
                            <a:avLst/>
                          </a:prstGeom>
                          <a:noFill/>
                        </pic:spPr>
                      </pic:pic>
                    </a:graphicData>
                  </a:graphic>
                </wp:inline>
              </w:drawing>
            </w:r>
          </w:p>
        </w:tc>
      </w:tr>
      <w:tr w:rsidR="00482D19" w:rsidRPr="00482D19" w:rsidTr="0048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rsidR="00D11970" w:rsidRDefault="001D13F9" w:rsidP="009363D9">
            <w:pPr>
              <w:spacing w:before="240"/>
              <w:rPr>
                <w:b w:val="0"/>
                <w:noProof/>
                <w:sz w:val="20"/>
                <w:szCs w:val="20"/>
                <w:lang w:eastAsia="en-AU"/>
              </w:rPr>
            </w:pPr>
            <w:r>
              <w:rPr>
                <w:noProof/>
                <w:sz w:val="20"/>
                <w:szCs w:val="20"/>
                <w:lang w:eastAsia="en-AU"/>
              </w:rPr>
              <w:t xml:space="preserve">Graph 3: </w:t>
            </w:r>
            <w:r>
              <w:rPr>
                <w:b w:val="0"/>
                <w:noProof/>
                <w:sz w:val="20"/>
                <w:szCs w:val="20"/>
                <w:lang w:eastAsia="en-AU"/>
              </w:rPr>
              <w:t xml:space="preserve">Inflation in Darwin increased sharply in </w:t>
            </w:r>
            <w:r w:rsidR="00AD78C8">
              <w:rPr>
                <w:b w:val="0"/>
                <w:noProof/>
                <w:sz w:val="20"/>
                <w:szCs w:val="20"/>
                <w:lang w:eastAsia="en-AU"/>
              </w:rPr>
              <w:t>mid-</w:t>
            </w:r>
            <w:r>
              <w:rPr>
                <w:b w:val="0"/>
                <w:noProof/>
                <w:sz w:val="20"/>
                <w:szCs w:val="20"/>
                <w:lang w:eastAsia="en-AU"/>
              </w:rPr>
              <w:t xml:space="preserve">2021 and has remained high since then. Inflationary pressures broadened </w:t>
            </w:r>
            <w:r w:rsidR="004F7E54">
              <w:rPr>
                <w:b w:val="0"/>
                <w:noProof/>
                <w:sz w:val="20"/>
                <w:szCs w:val="20"/>
                <w:lang w:eastAsia="en-AU"/>
              </w:rPr>
              <w:t>over recent quarters - around 60 per cent of expenditure classes have recorded price increases of over 2.5 per cent over the year to March.</w:t>
            </w:r>
          </w:p>
          <w:p w:rsidR="003B0FF0" w:rsidRPr="00AD78C8" w:rsidRDefault="004F7E54" w:rsidP="00AD78C8">
            <w:pPr>
              <w:jc w:val="center"/>
              <w:rPr>
                <w:b w:val="0"/>
                <w:noProof/>
                <w:sz w:val="20"/>
                <w:szCs w:val="20"/>
                <w:lang w:eastAsia="en-AU"/>
              </w:rPr>
            </w:pPr>
            <w:r w:rsidRPr="00482D19">
              <w:rPr>
                <w:noProof/>
                <w:lang w:eastAsia="en-AU"/>
              </w:rPr>
              <w:drawing>
                <wp:inline distT="0" distB="0" distL="0" distR="0" wp14:anchorId="2A4870CB" wp14:editId="381BEDF1">
                  <wp:extent cx="3060000" cy="2811600"/>
                  <wp:effectExtent l="0" t="0" r="7620" b="8255"/>
                  <wp:docPr id="32" name="Picture 32" descr="Graphic illustration of graph 3." title="NT inflationary pres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000" cy="2811600"/>
                          </a:xfrm>
                          <a:prstGeom prst="rect">
                            <a:avLst/>
                          </a:prstGeom>
                          <a:noFill/>
                        </pic:spPr>
                      </pic:pic>
                    </a:graphicData>
                  </a:graphic>
                </wp:inline>
              </w:drawing>
            </w:r>
          </w:p>
        </w:tc>
        <w:tc>
          <w:tcPr>
            <w:tcW w:w="5154" w:type="dxa"/>
            <w:shd w:val="clear" w:color="auto" w:fill="auto"/>
          </w:tcPr>
          <w:p w:rsidR="00D11970" w:rsidRDefault="003B0FF0" w:rsidP="009363D9">
            <w:pPr>
              <w:spacing w:before="240"/>
              <w:cnfStyle w:val="000000100000" w:firstRow="0" w:lastRow="0" w:firstColumn="0" w:lastColumn="0" w:oddVBand="0" w:evenVBand="0" w:oddHBand="1" w:evenHBand="0" w:firstRowFirstColumn="0" w:firstRowLastColumn="0" w:lastRowFirstColumn="0" w:lastRowLastColumn="0"/>
              <w:rPr>
                <w:noProof/>
                <w:sz w:val="20"/>
                <w:szCs w:val="20"/>
                <w:lang w:eastAsia="en-AU"/>
              </w:rPr>
            </w:pPr>
            <w:r w:rsidRPr="003B0FF0">
              <w:rPr>
                <w:b/>
                <w:noProof/>
                <w:sz w:val="20"/>
                <w:szCs w:val="20"/>
                <w:lang w:eastAsia="en-AU"/>
              </w:rPr>
              <w:t>Graph 4</w:t>
            </w:r>
            <w:r w:rsidR="004F7E54">
              <w:rPr>
                <w:b/>
                <w:noProof/>
                <w:sz w:val="20"/>
                <w:szCs w:val="20"/>
                <w:lang w:eastAsia="en-AU"/>
              </w:rPr>
              <w:t xml:space="preserve">: </w:t>
            </w:r>
            <w:r w:rsidR="004F7E54">
              <w:rPr>
                <w:noProof/>
                <w:sz w:val="20"/>
                <w:szCs w:val="20"/>
                <w:lang w:eastAsia="en-AU"/>
              </w:rPr>
              <w:t>After spiking at the onset of the pandemic, the ratio of unemployed persons to vacancies in the Territory is now below one, indicating there are currently more job vacancies than unemployed persons in the Territory.</w:t>
            </w:r>
          </w:p>
          <w:p w:rsidR="003B0FF0" w:rsidRPr="00AD78C8" w:rsidRDefault="00992EBB" w:rsidP="00AD78C8">
            <w:pPr>
              <w:jc w:val="center"/>
              <w:cnfStyle w:val="000000100000" w:firstRow="0" w:lastRow="0" w:firstColumn="0" w:lastColumn="0" w:oddVBand="0" w:evenVBand="0" w:oddHBand="1" w:evenHBand="0" w:firstRowFirstColumn="0" w:firstRowLastColumn="0" w:lastRowFirstColumn="0" w:lastRowLastColumn="0"/>
              <w:rPr>
                <w:noProof/>
                <w:sz w:val="20"/>
                <w:szCs w:val="20"/>
                <w:lang w:eastAsia="en-AU"/>
              </w:rPr>
            </w:pPr>
            <w:r>
              <w:rPr>
                <w:noProof/>
                <w:sz w:val="20"/>
                <w:szCs w:val="20"/>
                <w:lang w:eastAsia="en-AU"/>
              </w:rPr>
              <w:drawing>
                <wp:inline distT="0" distB="0" distL="0" distR="0" wp14:anchorId="04D2447A">
                  <wp:extent cx="3060000" cy="2815200"/>
                  <wp:effectExtent l="0" t="0" r="7620" b="4445"/>
                  <wp:docPr id="4" name="Picture 4" descr="Graphic illustration of graph 4." title="Unemployed to Vacancies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0" cy="2815200"/>
                          </a:xfrm>
                          <a:prstGeom prst="rect">
                            <a:avLst/>
                          </a:prstGeom>
                          <a:noFill/>
                        </pic:spPr>
                      </pic:pic>
                    </a:graphicData>
                  </a:graphic>
                </wp:inline>
              </w:drawing>
            </w:r>
          </w:p>
        </w:tc>
      </w:tr>
    </w:tbl>
    <w:p w:rsidR="0008691E" w:rsidRDefault="0008691E" w:rsidP="001F2C24">
      <w:pPr>
        <w:jc w:val="both"/>
      </w:pPr>
    </w:p>
    <w:sectPr w:rsidR="0008691E" w:rsidSect="00DD607E">
      <w:headerReference w:type="default" r:id="rId13"/>
      <w:footerReference w:type="default" r:id="rId14"/>
      <w:headerReference w:type="first" r:id="rId15"/>
      <w:footerReference w:type="first" r:id="rId16"/>
      <w:pgSz w:w="11906" w:h="16838" w:code="9"/>
      <w:pgMar w:top="709" w:right="794" w:bottom="794" w:left="794" w:header="680" w:footer="2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79C" w:rsidRDefault="00A7279C" w:rsidP="007332FF">
      <w:r>
        <w:separator/>
      </w:r>
    </w:p>
  </w:endnote>
  <w:endnote w:type="continuationSeparator" w:id="0">
    <w:p w:rsidR="00A7279C" w:rsidRDefault="00A7279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DD607E" w:rsidRDefault="00983000" w:rsidP="00450636">
    <w:pPr>
      <w:spacing w:after="0"/>
      <w:rPr>
        <w:sz w:val="4"/>
        <w:szCs w:val="4"/>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D607E">
      <w:trPr>
        <w:cantSplit/>
        <w:trHeight w:hRule="exact" w:val="850"/>
      </w:trPr>
      <w:tc>
        <w:tcPr>
          <w:tcW w:w="10318" w:type="dxa"/>
          <w:vAlign w:val="center"/>
        </w:tcPr>
        <w:p w:rsidR="00D47DC7" w:rsidRDefault="00D47DC7" w:rsidP="00DD607E">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91E">
                <w:rPr>
                  <w:rStyle w:val="PageNumber"/>
                  <w:b/>
                </w:rPr>
                <w:t>Industry, Tourism and Trade</w:t>
              </w:r>
            </w:sdtContent>
          </w:sdt>
        </w:p>
        <w:p w:rsidR="00CA36A0" w:rsidRPr="00AC4488" w:rsidRDefault="00DD52DD" w:rsidP="00DD607E">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06-08T00:00:00Z">
                <w:dateFormat w:val="d MMMM yyyy"/>
                <w:lid w:val="en-AU"/>
                <w:storeMappedDataAs w:val="dateTime"/>
                <w:calendar w:val="gregorian"/>
              </w:date>
            </w:sdtPr>
            <w:sdtEndPr>
              <w:rPr>
                <w:rStyle w:val="PageNumber"/>
              </w:rPr>
            </w:sdtEndPr>
            <w:sdtContent>
              <w:r w:rsidR="0007388D">
                <w:rPr>
                  <w:rStyle w:val="PageNumber"/>
                </w:rPr>
                <w:t>8 June 2022</w:t>
              </w:r>
            </w:sdtContent>
          </w:sdt>
          <w:r w:rsidR="00D47DC7" w:rsidRPr="00CE6614">
            <w:rPr>
              <w:rStyle w:val="PageNumber"/>
            </w:rPr>
            <w:t xml:space="preserve">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Pr>
              <w:rStyle w:val="PageNumber"/>
              <w:noProof/>
            </w:rPr>
            <w:t>2</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Pr>
              <w:rStyle w:val="PageNumber"/>
              <w:noProof/>
            </w:rPr>
            <w:t>2</w:t>
          </w:r>
          <w:r w:rsidR="00D47DC7"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Pr="00DD607E" w:rsidRDefault="00D15D88" w:rsidP="0071700C">
    <w:pPr>
      <w:spacing w:after="0"/>
      <w:rPr>
        <w:sz w:val="4"/>
        <w:szCs w:val="4"/>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DD607E">
      <w:trPr>
        <w:cantSplit/>
        <w:trHeight w:hRule="exact" w:val="1134"/>
      </w:trPr>
      <w:tc>
        <w:tcPr>
          <w:tcW w:w="7767" w:type="dxa"/>
          <w:vAlign w:val="center"/>
        </w:tcPr>
        <w:p w:rsidR="00D47DC7" w:rsidRDefault="00D47DC7" w:rsidP="00DD607E">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91E">
                <w:rPr>
                  <w:rStyle w:val="PageNumber"/>
                  <w:b/>
                </w:rPr>
                <w:t>Industry, Tourism and Trade</w:t>
              </w:r>
            </w:sdtContent>
          </w:sdt>
        </w:p>
        <w:p w:rsidR="0071700C" w:rsidRPr="00CE30CF" w:rsidRDefault="00DD52DD" w:rsidP="00DD607E">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6-08T00:00:00Z">
                <w:dateFormat w:val="d MMMM yyyy"/>
                <w:lid w:val="en-AU"/>
                <w:storeMappedDataAs w:val="dateTime"/>
                <w:calendar w:val="gregorian"/>
              </w:date>
            </w:sdtPr>
            <w:sdtEndPr>
              <w:rPr>
                <w:rStyle w:val="PageNumber"/>
              </w:rPr>
            </w:sdtEndPr>
            <w:sdtContent>
              <w:r w:rsidR="0007388D">
                <w:rPr>
                  <w:rStyle w:val="PageNumber"/>
                </w:rPr>
                <w:t>8 June 2022</w:t>
              </w:r>
            </w:sdtContent>
          </w:sdt>
          <w:r w:rsidR="00D47DC7" w:rsidRPr="00CE6614">
            <w:rPr>
              <w:rStyle w:val="PageNumber"/>
            </w:rPr>
            <w:t xml:space="preserve"> </w:t>
          </w:r>
          <w:r w:rsidR="00DD607E">
            <w:rPr>
              <w:rStyle w:val="PageNumber"/>
            </w:rPr>
            <w:t xml:space="preserve">|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Pr>
              <w:rStyle w:val="PageNumber"/>
              <w:noProof/>
            </w:rPr>
            <w:t>2</w:t>
          </w:r>
          <w:r w:rsidR="00D47DC7"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30" name="Picture 3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79C" w:rsidRDefault="00A7279C" w:rsidP="007332FF">
      <w:r>
        <w:separator/>
      </w:r>
    </w:p>
  </w:footnote>
  <w:footnote w:type="continuationSeparator" w:id="0">
    <w:p w:rsidR="00A7279C" w:rsidRDefault="00A7279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DD52DD"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A7279C">
          <w:t>State of the economy – March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E54F9E" w:rsidRDefault="00A7279C" w:rsidP="0008691E">
        <w:pPr>
          <w:pStyle w:val="Title"/>
          <w:spacing w:after="120"/>
        </w:pPr>
        <w:r>
          <w:rPr>
            <w:rStyle w:val="TitleChar"/>
          </w:rPr>
          <w:t>State of the economy – March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9C"/>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669A1"/>
    <w:rsid w:val="000720BE"/>
    <w:rsid w:val="0007259C"/>
    <w:rsid w:val="0007388D"/>
    <w:rsid w:val="000801B3"/>
    <w:rsid w:val="00080202"/>
    <w:rsid w:val="00080DCD"/>
    <w:rsid w:val="00080E22"/>
    <w:rsid w:val="00082573"/>
    <w:rsid w:val="000840A3"/>
    <w:rsid w:val="00085062"/>
    <w:rsid w:val="0008691E"/>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13F9"/>
    <w:rsid w:val="001D4F99"/>
    <w:rsid w:val="001D52B0"/>
    <w:rsid w:val="001D5A18"/>
    <w:rsid w:val="001D7CA4"/>
    <w:rsid w:val="001E057F"/>
    <w:rsid w:val="001E14EB"/>
    <w:rsid w:val="001F2C24"/>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68EE"/>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0FF0"/>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1C23"/>
    <w:rsid w:val="00482D19"/>
    <w:rsid w:val="00482DF8"/>
    <w:rsid w:val="004864DE"/>
    <w:rsid w:val="00492543"/>
    <w:rsid w:val="00492C34"/>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4F7E54"/>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608A"/>
    <w:rsid w:val="00627FC8"/>
    <w:rsid w:val="006433C3"/>
    <w:rsid w:val="00650094"/>
    <w:rsid w:val="00650F5B"/>
    <w:rsid w:val="006670D7"/>
    <w:rsid w:val="00667D94"/>
    <w:rsid w:val="006719EA"/>
    <w:rsid w:val="00671F13"/>
    <w:rsid w:val="0067400A"/>
    <w:rsid w:val="006847AD"/>
    <w:rsid w:val="00684BC6"/>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340CD"/>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363D9"/>
    <w:rsid w:val="009444F0"/>
    <w:rsid w:val="009468BC"/>
    <w:rsid w:val="00947FAE"/>
    <w:rsid w:val="009616DF"/>
    <w:rsid w:val="0096542F"/>
    <w:rsid w:val="00967FA7"/>
    <w:rsid w:val="00971645"/>
    <w:rsid w:val="00977919"/>
    <w:rsid w:val="00983000"/>
    <w:rsid w:val="009870FA"/>
    <w:rsid w:val="009921C3"/>
    <w:rsid w:val="00992EBB"/>
    <w:rsid w:val="0099551D"/>
    <w:rsid w:val="009A5897"/>
    <w:rsid w:val="009A5F24"/>
    <w:rsid w:val="009B0B3E"/>
    <w:rsid w:val="009B1913"/>
    <w:rsid w:val="009B6657"/>
    <w:rsid w:val="009B6966"/>
    <w:rsid w:val="009D0EB5"/>
    <w:rsid w:val="009D14F9"/>
    <w:rsid w:val="009D2B74"/>
    <w:rsid w:val="009D414F"/>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282"/>
    <w:rsid w:val="00A3739D"/>
    <w:rsid w:val="00A37DDA"/>
    <w:rsid w:val="00A45005"/>
    <w:rsid w:val="00A567EE"/>
    <w:rsid w:val="00A70DD8"/>
    <w:rsid w:val="00A7279C"/>
    <w:rsid w:val="00A76790"/>
    <w:rsid w:val="00A85D0C"/>
    <w:rsid w:val="00A925EC"/>
    <w:rsid w:val="00A929AA"/>
    <w:rsid w:val="00A92B6B"/>
    <w:rsid w:val="00AA541E"/>
    <w:rsid w:val="00AB6AAC"/>
    <w:rsid w:val="00AD0DA4"/>
    <w:rsid w:val="00AD3B51"/>
    <w:rsid w:val="00AD4169"/>
    <w:rsid w:val="00AD78C8"/>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55F96"/>
    <w:rsid w:val="00B606A1"/>
    <w:rsid w:val="00B614F7"/>
    <w:rsid w:val="00B61B26"/>
    <w:rsid w:val="00B65E6B"/>
    <w:rsid w:val="00B675B2"/>
    <w:rsid w:val="00B7450C"/>
    <w:rsid w:val="00B81261"/>
    <w:rsid w:val="00B8223E"/>
    <w:rsid w:val="00B832AE"/>
    <w:rsid w:val="00B83FA9"/>
    <w:rsid w:val="00B86678"/>
    <w:rsid w:val="00B92F9B"/>
    <w:rsid w:val="00B941B3"/>
    <w:rsid w:val="00B96513"/>
    <w:rsid w:val="00BA1D47"/>
    <w:rsid w:val="00BA66F0"/>
    <w:rsid w:val="00BB2239"/>
    <w:rsid w:val="00BB2AE7"/>
    <w:rsid w:val="00BB6464"/>
    <w:rsid w:val="00BC1BB8"/>
    <w:rsid w:val="00BD7FE1"/>
    <w:rsid w:val="00BE37CA"/>
    <w:rsid w:val="00BE5E3F"/>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14B0"/>
    <w:rsid w:val="00C81F19"/>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1970"/>
    <w:rsid w:val="00D15D88"/>
    <w:rsid w:val="00D27D49"/>
    <w:rsid w:val="00D27EBE"/>
    <w:rsid w:val="00D36A49"/>
    <w:rsid w:val="00D47DC7"/>
    <w:rsid w:val="00D517C6"/>
    <w:rsid w:val="00D71D84"/>
    <w:rsid w:val="00D72464"/>
    <w:rsid w:val="00D72A57"/>
    <w:rsid w:val="00D768EB"/>
    <w:rsid w:val="00D80594"/>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D52DD"/>
    <w:rsid w:val="00DD607E"/>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473C5"/>
    <w:rsid w:val="00E54F9E"/>
    <w:rsid w:val="00E61BA2"/>
    <w:rsid w:val="00E63864"/>
    <w:rsid w:val="00E6403F"/>
    <w:rsid w:val="00E70F60"/>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3D8B"/>
    <w:rsid w:val="00F5696E"/>
    <w:rsid w:val="00F60EFF"/>
    <w:rsid w:val="00F67D2D"/>
    <w:rsid w:val="00F70EFC"/>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790BB2D-4E6B-4D19-B804-034E001B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1F2C24"/>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PlainTable4">
    <w:name w:val="Plain Table 4"/>
    <w:basedOn w:val="TableNormal"/>
    <w:uiPriority w:val="44"/>
    <w:rsid w:val="00482D1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264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DBAF7E-1C4B-4DF8-B694-9EBC4449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339</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State of the economy – March 2022</vt:lpstr>
    </vt:vector>
  </TitlesOfParts>
  <Company>Industry, Tourism and Trade</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economy – March 2022</dc:title>
  <dc:creator>Brendan Russell</dc:creator>
  <cp:lastModifiedBy>Ronald Lim</cp:lastModifiedBy>
  <cp:revision>20</cp:revision>
  <cp:lastPrinted>2022-06-15T04:14:00Z</cp:lastPrinted>
  <dcterms:created xsi:type="dcterms:W3CDTF">2022-06-06T06:14:00Z</dcterms:created>
  <dcterms:modified xsi:type="dcterms:W3CDTF">2022-06-15T04:15:00Z</dcterms:modified>
</cp:coreProperties>
</file>