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C7D0D" w14:textId="7A8A7A53" w:rsidR="00F92D4F" w:rsidRPr="00A324B5" w:rsidRDefault="00F92D4F" w:rsidP="00F92D4F">
      <w:bookmarkStart w:id="0" w:name="_GoBack"/>
      <w:bookmarkEnd w:id="0"/>
      <w:r w:rsidRPr="00A324B5">
        <w:t xml:space="preserve">This release </w:t>
      </w:r>
      <w:r>
        <w:t xml:space="preserve">mainly </w:t>
      </w:r>
      <w:r w:rsidRPr="00A324B5">
        <w:t xml:space="preserve">looks at national data with </w:t>
      </w:r>
      <w:r w:rsidR="00F43709">
        <w:t xml:space="preserve">only </w:t>
      </w:r>
      <w:r w:rsidRPr="00A324B5">
        <w:t>high-level results for the jurisdictions. Detailed data on Territory businesses (</w:t>
      </w:r>
      <w:r w:rsidR="00F43709">
        <w:t xml:space="preserve">by industry, turnover, </w:t>
      </w:r>
      <w:r w:rsidR="003B5FFA">
        <w:t>employment size</w:t>
      </w:r>
      <w:r w:rsidR="00F43709">
        <w:t xml:space="preserve"> </w:t>
      </w:r>
      <w:r w:rsidRPr="00A324B5">
        <w:t>an</w:t>
      </w:r>
      <w:r>
        <w:t xml:space="preserve">d location) </w:t>
      </w:r>
      <w:proofErr w:type="gramStart"/>
      <w:r>
        <w:t>will be released</w:t>
      </w:r>
      <w:proofErr w:type="gramEnd"/>
      <w:r>
        <w:t xml:space="preserve"> in December.</w:t>
      </w:r>
    </w:p>
    <w:p w14:paraId="4F03C061" w14:textId="77777777" w:rsidR="00F92D4F" w:rsidRDefault="00F92D4F" w:rsidP="00F92D4F">
      <w:pPr>
        <w:pStyle w:val="Heading1"/>
        <w:spacing w:before="120"/>
      </w:pPr>
      <w:r>
        <w:t>The Territory recorded higher business growth than nationally</w:t>
      </w:r>
    </w:p>
    <w:p w14:paraId="01C4F583" w14:textId="34958340" w:rsidR="00A324B5" w:rsidRPr="00A324B5" w:rsidRDefault="00BA496F" w:rsidP="00D31C2B">
      <w:r w:rsidRPr="00BA496F">
        <w:t>The number of businesses</w:t>
      </w:r>
      <w:r>
        <w:t xml:space="preserve"> operating in the Territory grew by 2</w:t>
      </w:r>
      <w:r w:rsidR="0002782A">
        <w:t xml:space="preserve">.0% </w:t>
      </w:r>
      <w:r>
        <w:t xml:space="preserve">in </w:t>
      </w:r>
      <w:r w:rsidR="0002782A">
        <w:t>2022</w:t>
      </w:r>
      <w:r w:rsidR="0002782A">
        <w:noBreakHyphen/>
        <w:t>23</w:t>
      </w:r>
      <w:r>
        <w:t xml:space="preserve">, well above </w:t>
      </w:r>
      <w:r w:rsidR="0002782A">
        <w:t xml:space="preserve">the </w:t>
      </w:r>
      <w:r>
        <w:t xml:space="preserve">national </w:t>
      </w:r>
      <w:r w:rsidR="00B44C12">
        <w:t>rate of 0.8</w:t>
      </w:r>
      <w:r w:rsidR="0002782A">
        <w:t xml:space="preserve">% </w:t>
      </w:r>
      <w:r w:rsidR="00B44C12">
        <w:t xml:space="preserve">(Table 1) and </w:t>
      </w:r>
      <w:r w:rsidR="00A85CFC">
        <w:t xml:space="preserve">the </w:t>
      </w:r>
      <w:r w:rsidR="00B44C12">
        <w:t xml:space="preserve">third highest </w:t>
      </w:r>
      <w:r w:rsidR="00796ED0">
        <w:t xml:space="preserve">of </w:t>
      </w:r>
      <w:r w:rsidR="0002782A">
        <w:t xml:space="preserve">the </w:t>
      </w:r>
      <w:r w:rsidR="00B44C12">
        <w:t>jurisdictions</w:t>
      </w:r>
      <w:r w:rsidR="007018E7">
        <w:t>,</w:t>
      </w:r>
      <w:r w:rsidR="00B44C12">
        <w:t xml:space="preserve"> below </w:t>
      </w:r>
      <w:r w:rsidR="0002782A">
        <w:t xml:space="preserve">the </w:t>
      </w:r>
      <w:r w:rsidR="00B44C12">
        <w:t>Australian Capital Territory (3.5</w:t>
      </w:r>
      <w:r w:rsidR="0002782A">
        <w:t>%</w:t>
      </w:r>
      <w:r w:rsidR="00B44C12">
        <w:t>) and Queensland (2.3</w:t>
      </w:r>
      <w:r w:rsidR="0002782A">
        <w:t>%</w:t>
      </w:r>
      <w:r w:rsidR="00B44C12">
        <w:t>).</w:t>
      </w:r>
      <w:r>
        <w:t xml:space="preserve"> </w:t>
      </w:r>
      <w:r w:rsidR="00BF6A61">
        <w:t>Nationally</w:t>
      </w:r>
      <w:r w:rsidR="00B44C12">
        <w:t xml:space="preserve">, </w:t>
      </w:r>
      <w:r w:rsidR="00A85CFC">
        <w:t xml:space="preserve">the </w:t>
      </w:r>
      <w:r w:rsidR="00B44C12">
        <w:t xml:space="preserve">weakest overall growth </w:t>
      </w:r>
      <w:r w:rsidR="00796ED0">
        <w:t xml:space="preserve">since </w:t>
      </w:r>
      <w:r w:rsidR="00BF6A61">
        <w:t>201</w:t>
      </w:r>
      <w:r w:rsidR="00A73651">
        <w:t>6</w:t>
      </w:r>
      <w:r w:rsidR="00BF6A61">
        <w:noBreakHyphen/>
      </w:r>
      <w:r w:rsidR="00796ED0">
        <w:t>1</w:t>
      </w:r>
      <w:r w:rsidR="00A73651">
        <w:t>7</w:t>
      </w:r>
      <w:r w:rsidR="00A85CFC">
        <w:t xml:space="preserve"> was recorded</w:t>
      </w:r>
      <w:r w:rsidR="00B44C12">
        <w:t xml:space="preserve">, </w:t>
      </w:r>
      <w:r w:rsidR="00E94AE0">
        <w:t>driven by</w:t>
      </w:r>
      <w:r w:rsidR="00A85CFC">
        <w:t xml:space="preserve"> a</w:t>
      </w:r>
      <w:r w:rsidR="00B44C12">
        <w:t xml:space="preserve"> </w:t>
      </w:r>
      <w:r w:rsidR="00DD19EC">
        <w:t>decline</w:t>
      </w:r>
      <w:r w:rsidR="00B44C12">
        <w:t xml:space="preserve"> in </w:t>
      </w:r>
      <w:r>
        <w:t>small businesses</w:t>
      </w:r>
      <w:r w:rsidR="00B44C12">
        <w:t xml:space="preserve"> (1 to 19 employees)</w:t>
      </w:r>
      <w:r>
        <w:t xml:space="preserve">, which </w:t>
      </w:r>
      <w:r w:rsidR="00A85CFC">
        <w:t>experienced</w:t>
      </w:r>
      <w:r w:rsidR="00B44C12">
        <w:t xml:space="preserve"> a </w:t>
      </w:r>
      <w:r>
        <w:t xml:space="preserve">decrease </w:t>
      </w:r>
      <w:r w:rsidR="00B44C12">
        <w:t>of</w:t>
      </w:r>
      <w:r>
        <w:t xml:space="preserve"> 2</w:t>
      </w:r>
      <w:r w:rsidR="00B44C12">
        <w:t>.2</w:t>
      </w:r>
      <w:r w:rsidR="00BF6A61">
        <w:t xml:space="preserve">% </w:t>
      </w:r>
      <w:r w:rsidR="00EE6704">
        <w:t>(Chart 1)</w:t>
      </w:r>
      <w:r w:rsidR="00A324B5">
        <w:t xml:space="preserve">. </w:t>
      </w:r>
    </w:p>
    <w:p w14:paraId="7596F360" w14:textId="643CB138" w:rsidR="00A704A9" w:rsidRDefault="00A704A9" w:rsidP="00D31C2B">
      <w:pPr>
        <w:rPr>
          <w:spacing w:val="-4"/>
          <w:lang w:eastAsia="en-AU"/>
        </w:rPr>
      </w:pPr>
      <w:r>
        <w:rPr>
          <w:b/>
        </w:rPr>
        <w:t>Table 1: Business Count</w:t>
      </w:r>
      <w:r w:rsidR="00C313CB">
        <w:rPr>
          <w:b/>
        </w:rPr>
        <w:t>s</w:t>
      </w:r>
      <w:r w:rsidR="00BF6A61">
        <w:rPr>
          <w:b/>
        </w:rPr>
        <w:t xml:space="preserve"> for 2022</w:t>
      </w:r>
      <w:r w:rsidR="00BF6A61">
        <w:rPr>
          <w:b/>
        </w:rPr>
        <w:noBreakHyphen/>
        <w:t>23</w:t>
      </w:r>
    </w:p>
    <w:tbl>
      <w:tblPr>
        <w:tblStyle w:val="NTGtable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134"/>
        <w:gridCol w:w="993"/>
        <w:gridCol w:w="1134"/>
        <w:gridCol w:w="1275"/>
        <w:gridCol w:w="1134"/>
        <w:gridCol w:w="1134"/>
      </w:tblGrid>
      <w:tr w:rsidR="00E94AE0" w14:paraId="17A1718C" w14:textId="77777777" w:rsidTr="003C1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</w:tcPr>
          <w:p w14:paraId="19C8572C" w14:textId="77777777" w:rsidR="00A704A9" w:rsidRDefault="00A704A9" w:rsidP="002A3663">
            <w:pPr>
              <w:rPr>
                <w:spacing w:val="-4"/>
              </w:rPr>
            </w:pPr>
          </w:p>
        </w:tc>
        <w:tc>
          <w:tcPr>
            <w:tcW w:w="1276" w:type="dxa"/>
          </w:tcPr>
          <w:p w14:paraId="35C4FC57" w14:textId="7B85ADAC" w:rsidR="00E94AE0" w:rsidRPr="003C1C4E" w:rsidRDefault="00982262" w:rsidP="00B90DA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Jun-2</w:t>
            </w:r>
            <w:r w:rsidR="00B90DAA">
              <w:t>3</w:t>
            </w:r>
            <w:r w:rsidR="00B90DAA">
              <w:br/>
            </w:r>
            <w:r w:rsidR="00E94AE0">
              <w:t>(</w:t>
            </w:r>
            <w:r w:rsidR="00B90DAA">
              <w:t>#</w:t>
            </w:r>
            <w:r w:rsidR="00E94AE0">
              <w:t>)</w:t>
            </w:r>
          </w:p>
        </w:tc>
        <w:tc>
          <w:tcPr>
            <w:tcW w:w="1275" w:type="dxa"/>
          </w:tcPr>
          <w:p w14:paraId="611168C6" w14:textId="59E01891" w:rsidR="00A704A9" w:rsidRDefault="00982262" w:rsidP="003C1C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>
              <w:t>Jun-22</w:t>
            </w:r>
            <w:r w:rsidR="00B90DAA">
              <w:br/>
              <w:t>(#</w:t>
            </w:r>
            <w:r w:rsidR="00E94AE0">
              <w:t>)</w:t>
            </w:r>
          </w:p>
        </w:tc>
        <w:tc>
          <w:tcPr>
            <w:tcW w:w="1134" w:type="dxa"/>
          </w:tcPr>
          <w:p w14:paraId="73ED6598" w14:textId="73890914" w:rsidR="00A704A9" w:rsidRDefault="00A704A9" w:rsidP="003C1C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Change</w:t>
            </w:r>
            <w:r w:rsidR="00B90DAA">
              <w:br/>
              <w:t>(#</w:t>
            </w:r>
            <w:r w:rsidR="00C313CB">
              <w:t>)</w:t>
            </w:r>
          </w:p>
        </w:tc>
        <w:tc>
          <w:tcPr>
            <w:tcW w:w="993" w:type="dxa"/>
          </w:tcPr>
          <w:p w14:paraId="755F671C" w14:textId="27EF03F9" w:rsidR="00A704A9" w:rsidRDefault="00C313CB" w:rsidP="003C1C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>
              <w:t>C</w:t>
            </w:r>
            <w:r w:rsidR="00A704A9">
              <w:t>hange</w:t>
            </w:r>
            <w:r>
              <w:t xml:space="preserve"> (%)</w:t>
            </w:r>
          </w:p>
        </w:tc>
        <w:tc>
          <w:tcPr>
            <w:tcW w:w="1134" w:type="dxa"/>
          </w:tcPr>
          <w:p w14:paraId="680396C7" w14:textId="1A31D5BD" w:rsidR="00A704A9" w:rsidRDefault="00A704A9" w:rsidP="003C1C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Entries</w:t>
            </w:r>
            <w:r w:rsidR="00B90DAA">
              <w:br/>
              <w:t>(#</w:t>
            </w:r>
            <w:r w:rsidR="00E94AE0">
              <w:t>)</w:t>
            </w:r>
          </w:p>
        </w:tc>
        <w:tc>
          <w:tcPr>
            <w:tcW w:w="1275" w:type="dxa"/>
          </w:tcPr>
          <w:p w14:paraId="6CBC4900" w14:textId="5B01B21A" w:rsidR="00A704A9" w:rsidRDefault="00A704A9" w:rsidP="003C1C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Entry rate</w:t>
            </w:r>
            <w:r w:rsidR="00D31C2B">
              <w:t xml:space="preserve"> (%)</w:t>
            </w:r>
          </w:p>
        </w:tc>
        <w:tc>
          <w:tcPr>
            <w:tcW w:w="1134" w:type="dxa"/>
          </w:tcPr>
          <w:p w14:paraId="0E4976BF" w14:textId="18591D59" w:rsidR="00A704A9" w:rsidRDefault="00A704A9" w:rsidP="003C1C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Exits</w:t>
            </w:r>
            <w:r w:rsidR="00B90DAA">
              <w:br/>
              <w:t>(#</w:t>
            </w:r>
            <w:r w:rsidR="00E94AE0">
              <w:t>)</w:t>
            </w:r>
          </w:p>
        </w:tc>
        <w:tc>
          <w:tcPr>
            <w:tcW w:w="1134" w:type="dxa"/>
          </w:tcPr>
          <w:p w14:paraId="335D26AC" w14:textId="42935657" w:rsidR="00A704A9" w:rsidRPr="000D2819" w:rsidRDefault="00A704A9" w:rsidP="003C1C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3E38">
              <w:t>Exit rate</w:t>
            </w:r>
            <w:r w:rsidR="00D31C2B">
              <w:t xml:space="preserve"> (%)</w:t>
            </w:r>
          </w:p>
        </w:tc>
      </w:tr>
      <w:tr w:rsidR="00E94AE0" w14:paraId="357A4738" w14:textId="77777777" w:rsidTr="003C1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8DD244" w14:textId="77777777" w:rsidR="00A704A9" w:rsidRDefault="00A704A9" w:rsidP="002A3663">
            <w:pPr>
              <w:rPr>
                <w:spacing w:val="-4"/>
              </w:rPr>
            </w:pPr>
            <w:r w:rsidRPr="000D2819">
              <w:t>NT</w:t>
            </w:r>
          </w:p>
        </w:tc>
        <w:tc>
          <w:tcPr>
            <w:tcW w:w="1276" w:type="dxa"/>
          </w:tcPr>
          <w:p w14:paraId="06C83C58" w14:textId="778E9B2E" w:rsidR="00A704A9" w:rsidRDefault="00982262" w:rsidP="003C1C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>
              <w:t>16</w:t>
            </w:r>
            <w:r w:rsidR="00A704A9" w:rsidRPr="000D2819">
              <w:t>,</w:t>
            </w:r>
            <w:r>
              <w:t>107</w:t>
            </w:r>
          </w:p>
        </w:tc>
        <w:tc>
          <w:tcPr>
            <w:tcW w:w="1275" w:type="dxa"/>
          </w:tcPr>
          <w:p w14:paraId="4ABFB3F1" w14:textId="34A8F072" w:rsidR="00A704A9" w:rsidRDefault="00A704A9" w:rsidP="003C1C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1</w:t>
            </w:r>
            <w:r w:rsidR="00982262">
              <w:t>5</w:t>
            </w:r>
            <w:r w:rsidRPr="000D2819">
              <w:t>,</w:t>
            </w:r>
            <w:r w:rsidR="00982262">
              <w:t>796</w:t>
            </w:r>
          </w:p>
        </w:tc>
        <w:tc>
          <w:tcPr>
            <w:tcW w:w="1134" w:type="dxa"/>
          </w:tcPr>
          <w:p w14:paraId="3766F254" w14:textId="2C6902F2" w:rsidR="00A704A9" w:rsidRDefault="00982262" w:rsidP="003C1C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>
              <w:t>311</w:t>
            </w:r>
          </w:p>
        </w:tc>
        <w:tc>
          <w:tcPr>
            <w:tcW w:w="993" w:type="dxa"/>
          </w:tcPr>
          <w:p w14:paraId="036B48D3" w14:textId="4482625A" w:rsidR="00A704A9" w:rsidRDefault="00982262" w:rsidP="003C1C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>
              <w:t>2.0</w:t>
            </w:r>
          </w:p>
        </w:tc>
        <w:tc>
          <w:tcPr>
            <w:tcW w:w="1134" w:type="dxa"/>
          </w:tcPr>
          <w:p w14:paraId="45D584FE" w14:textId="2F13D840" w:rsidR="00A704A9" w:rsidRDefault="00982262" w:rsidP="003C1C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>
              <w:t>2,673</w:t>
            </w:r>
          </w:p>
        </w:tc>
        <w:tc>
          <w:tcPr>
            <w:tcW w:w="1275" w:type="dxa"/>
          </w:tcPr>
          <w:p w14:paraId="2B5BE2E9" w14:textId="0C676D3F" w:rsidR="00A704A9" w:rsidRDefault="00982262" w:rsidP="003C1C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>
              <w:t>16.9</w:t>
            </w:r>
          </w:p>
        </w:tc>
        <w:tc>
          <w:tcPr>
            <w:tcW w:w="1134" w:type="dxa"/>
          </w:tcPr>
          <w:p w14:paraId="7F1CC7ED" w14:textId="4359C481" w:rsidR="00A704A9" w:rsidRDefault="00982262" w:rsidP="003C1C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>
              <w:t>2</w:t>
            </w:r>
            <w:r w:rsidR="00A704A9" w:rsidRPr="000D2819">
              <w:t>,</w:t>
            </w:r>
            <w:r>
              <w:t>256</w:t>
            </w:r>
          </w:p>
        </w:tc>
        <w:tc>
          <w:tcPr>
            <w:tcW w:w="1134" w:type="dxa"/>
          </w:tcPr>
          <w:p w14:paraId="0E2ED3A6" w14:textId="19AA0126" w:rsidR="00A704A9" w:rsidRPr="000D2819" w:rsidRDefault="00982262" w:rsidP="003C1C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14.3</w:t>
            </w:r>
          </w:p>
        </w:tc>
      </w:tr>
      <w:tr w:rsidR="00E94AE0" w14:paraId="7829C9AA" w14:textId="77777777" w:rsidTr="003C1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F0B06DD" w14:textId="7FC4B328" w:rsidR="00A704A9" w:rsidRDefault="00A704A9" w:rsidP="002A3663">
            <w:pPr>
              <w:rPr>
                <w:spacing w:val="-4"/>
              </w:rPr>
            </w:pPr>
            <w:r w:rsidRPr="000D2819">
              <w:t>A</w:t>
            </w:r>
            <w:r w:rsidR="00E94AE0">
              <w:t>US</w:t>
            </w:r>
            <w:r w:rsidRPr="000D2819">
              <w:t xml:space="preserve"> </w:t>
            </w:r>
          </w:p>
        </w:tc>
        <w:tc>
          <w:tcPr>
            <w:tcW w:w="1276" w:type="dxa"/>
          </w:tcPr>
          <w:p w14:paraId="551305C1" w14:textId="666E57B5" w:rsidR="00A704A9" w:rsidRDefault="00A704A9" w:rsidP="003C1C4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2,5</w:t>
            </w:r>
            <w:r w:rsidR="00982262">
              <w:t>8</w:t>
            </w:r>
            <w:r w:rsidRPr="000D2819">
              <w:t>9,</w:t>
            </w:r>
            <w:r w:rsidR="00982262">
              <w:t>873</w:t>
            </w:r>
          </w:p>
        </w:tc>
        <w:tc>
          <w:tcPr>
            <w:tcW w:w="1275" w:type="dxa"/>
          </w:tcPr>
          <w:p w14:paraId="55D0A32A" w14:textId="067474F3" w:rsidR="00A704A9" w:rsidRDefault="00982262" w:rsidP="003C1C4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2,569,900</w:t>
            </w:r>
          </w:p>
        </w:tc>
        <w:tc>
          <w:tcPr>
            <w:tcW w:w="1134" w:type="dxa"/>
          </w:tcPr>
          <w:p w14:paraId="40106B3C" w14:textId="3660B557" w:rsidR="00A704A9" w:rsidRDefault="00982262" w:rsidP="003C1C4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>
              <w:t>19</w:t>
            </w:r>
            <w:r w:rsidR="00A704A9" w:rsidRPr="000D2819">
              <w:t>,</w:t>
            </w:r>
            <w:r>
              <w:t>973</w:t>
            </w:r>
          </w:p>
        </w:tc>
        <w:tc>
          <w:tcPr>
            <w:tcW w:w="993" w:type="dxa"/>
          </w:tcPr>
          <w:p w14:paraId="50EEA2A1" w14:textId="71B0DB09" w:rsidR="00A704A9" w:rsidRDefault="00982262" w:rsidP="003C1C4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>
              <w:t>0.8</w:t>
            </w:r>
          </w:p>
        </w:tc>
        <w:tc>
          <w:tcPr>
            <w:tcW w:w="1134" w:type="dxa"/>
          </w:tcPr>
          <w:p w14:paraId="6DE1DF6A" w14:textId="7A4FAFB9" w:rsidR="00A704A9" w:rsidRDefault="00A704A9" w:rsidP="003C1C4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4</w:t>
            </w:r>
            <w:r w:rsidR="00982262">
              <w:t>06</w:t>
            </w:r>
            <w:r w:rsidRPr="000D2819">
              <w:t>,</w:t>
            </w:r>
            <w:r w:rsidR="00982262">
              <w:t>365</w:t>
            </w:r>
          </w:p>
        </w:tc>
        <w:tc>
          <w:tcPr>
            <w:tcW w:w="1275" w:type="dxa"/>
          </w:tcPr>
          <w:p w14:paraId="0D44D90D" w14:textId="21D79AB6" w:rsidR="00A704A9" w:rsidRDefault="00982262" w:rsidP="003C1C4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>
              <w:t>15.8</w:t>
            </w:r>
          </w:p>
        </w:tc>
        <w:tc>
          <w:tcPr>
            <w:tcW w:w="1134" w:type="dxa"/>
          </w:tcPr>
          <w:p w14:paraId="25477ECC" w14:textId="25446F12" w:rsidR="00A704A9" w:rsidRDefault="00A704A9" w:rsidP="003C1C4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3</w:t>
            </w:r>
            <w:r w:rsidR="00982262">
              <w:t>86</w:t>
            </w:r>
            <w:r w:rsidRPr="000D2819">
              <w:t>,</w:t>
            </w:r>
            <w:r w:rsidR="00982262">
              <w:t>392</w:t>
            </w:r>
          </w:p>
        </w:tc>
        <w:tc>
          <w:tcPr>
            <w:tcW w:w="1134" w:type="dxa"/>
          </w:tcPr>
          <w:p w14:paraId="42D81EFE" w14:textId="0930E783" w:rsidR="00A704A9" w:rsidRPr="000D2819" w:rsidRDefault="00A704A9" w:rsidP="003C1C4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3E38">
              <w:t>1</w:t>
            </w:r>
            <w:r w:rsidR="00982262">
              <w:t>5.0</w:t>
            </w:r>
          </w:p>
        </w:tc>
      </w:tr>
    </w:tbl>
    <w:p w14:paraId="09CDA2DA" w14:textId="5407B738" w:rsidR="00A704A9" w:rsidRDefault="00A704A9" w:rsidP="00D31C2B">
      <w:pPr>
        <w:spacing w:after="0"/>
        <w:rPr>
          <w:spacing w:val="-4"/>
          <w:lang w:eastAsia="en-AU"/>
        </w:rPr>
      </w:pPr>
    </w:p>
    <w:p w14:paraId="470CAF71" w14:textId="17906434" w:rsidR="00B02564" w:rsidRDefault="00713098" w:rsidP="00713098">
      <w:pPr>
        <w:rPr>
          <w:spacing w:val="-4"/>
          <w:lang w:eastAsia="en-AU"/>
        </w:rPr>
      </w:pPr>
      <w:r>
        <w:t>Territory businesses represent 0.6</w:t>
      </w:r>
      <w:r w:rsidR="00C152B4">
        <w:t xml:space="preserve">% </w:t>
      </w:r>
      <w:r>
        <w:t>of all Australian businesses</w:t>
      </w:r>
      <w:r w:rsidR="00C152B4">
        <w:t xml:space="preserve"> despite having 0.9% of the population. As such, historically t</w:t>
      </w:r>
      <w:r w:rsidR="002E32FB">
        <w:t xml:space="preserve">he Territory has </w:t>
      </w:r>
      <w:r w:rsidR="00C152B4">
        <w:t xml:space="preserve">had </w:t>
      </w:r>
      <w:r w:rsidR="00A87554">
        <w:t>the lowest number of business</w:t>
      </w:r>
      <w:r w:rsidR="00CE5854">
        <w:t>es</w:t>
      </w:r>
      <w:r w:rsidR="00A87554">
        <w:t xml:space="preserve"> per capita</w:t>
      </w:r>
      <w:r w:rsidR="00C152B4">
        <w:t xml:space="preserve"> of the jurisdictions</w:t>
      </w:r>
      <w:r w:rsidR="00A87554">
        <w:t xml:space="preserve">. </w:t>
      </w:r>
      <w:r w:rsidR="00C152B4">
        <w:t>In 2022</w:t>
      </w:r>
      <w:r w:rsidR="00C152B4">
        <w:noBreakHyphen/>
        <w:t>23, t</w:t>
      </w:r>
      <w:r w:rsidR="00A87554">
        <w:t>he</w:t>
      </w:r>
      <w:r>
        <w:t xml:space="preserve"> </w:t>
      </w:r>
      <w:r w:rsidR="00A87554">
        <w:t>Territory ha</w:t>
      </w:r>
      <w:r w:rsidR="00C152B4">
        <w:t>d</w:t>
      </w:r>
      <w:r w:rsidR="00A87554">
        <w:t xml:space="preserve"> 64 businesses per 1000 people</w:t>
      </w:r>
      <w:r w:rsidR="00C152B4">
        <w:t xml:space="preserve"> (up from 63 last year), but </w:t>
      </w:r>
      <w:r w:rsidR="00A87554">
        <w:t>below the national average of 99 businesses per 1000 people</w:t>
      </w:r>
      <w:r w:rsidR="00D502F7">
        <w:t xml:space="preserve"> (down from 100 last year)</w:t>
      </w:r>
      <w:r w:rsidR="00A87554">
        <w:t xml:space="preserve"> (Chart 2).</w:t>
      </w:r>
      <w:r w:rsidR="00A87554">
        <w:rPr>
          <w:spacing w:val="-4"/>
          <w:lang w:eastAsia="en-AU"/>
        </w:rPr>
        <w:t xml:space="preserve">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AC3F1E" w14:paraId="76E67167" w14:textId="77777777" w:rsidTr="00AC3F1E">
        <w:tc>
          <w:tcPr>
            <w:tcW w:w="5154" w:type="dxa"/>
          </w:tcPr>
          <w:p w14:paraId="0EF2047A" w14:textId="6BE29838" w:rsidR="00AC3F1E" w:rsidRPr="00AC3F1E" w:rsidRDefault="00AC3F1E" w:rsidP="00AC3F1E">
            <w:pPr>
              <w:jc w:val="center"/>
              <w:rPr>
                <w:b/>
                <w:spacing w:val="-4"/>
                <w:lang w:eastAsia="en-AU"/>
              </w:rPr>
            </w:pPr>
            <w:r w:rsidRPr="00AC3F1E">
              <w:rPr>
                <w:b/>
                <w:spacing w:val="-4"/>
                <w:lang w:eastAsia="en-AU"/>
              </w:rPr>
              <w:t>Chart 1</w:t>
            </w:r>
          </w:p>
        </w:tc>
        <w:tc>
          <w:tcPr>
            <w:tcW w:w="5154" w:type="dxa"/>
          </w:tcPr>
          <w:p w14:paraId="75A28573" w14:textId="7C21BAC1" w:rsidR="00AC3F1E" w:rsidRPr="00AC3F1E" w:rsidRDefault="00AC3F1E" w:rsidP="00AC3F1E">
            <w:pPr>
              <w:jc w:val="center"/>
              <w:rPr>
                <w:b/>
                <w:spacing w:val="-4"/>
                <w:lang w:eastAsia="en-AU"/>
              </w:rPr>
            </w:pPr>
            <w:r w:rsidRPr="00AC3F1E">
              <w:rPr>
                <w:b/>
                <w:spacing w:val="-4"/>
                <w:lang w:eastAsia="en-AU"/>
              </w:rPr>
              <w:t>Chart 2</w:t>
            </w:r>
          </w:p>
        </w:tc>
      </w:tr>
      <w:tr w:rsidR="00AC3F1E" w14:paraId="6E4913A5" w14:textId="77777777" w:rsidTr="00AC3F1E">
        <w:tc>
          <w:tcPr>
            <w:tcW w:w="5154" w:type="dxa"/>
          </w:tcPr>
          <w:p w14:paraId="792C7E51" w14:textId="29DF81BB" w:rsidR="00AC3F1E" w:rsidRPr="00AC3F1E" w:rsidRDefault="00AC3F1E" w:rsidP="00AC3F1E">
            <w:pPr>
              <w:jc w:val="center"/>
              <w:rPr>
                <w:b/>
                <w:spacing w:val="-4"/>
                <w:lang w:eastAsia="en-AU"/>
              </w:rPr>
            </w:pPr>
            <w:r w:rsidRPr="00AC3F1E">
              <w:rPr>
                <w:b/>
                <w:spacing w:val="-4"/>
                <w:lang w:eastAsia="en-AU"/>
              </w:rPr>
              <w:t>Australian Business Growth</w:t>
            </w:r>
          </w:p>
          <w:p w14:paraId="01997A87" w14:textId="7E80B0A1" w:rsidR="00AC3F1E" w:rsidRPr="00AC3F1E" w:rsidRDefault="00AC3F1E" w:rsidP="003C1C4E">
            <w:pPr>
              <w:jc w:val="center"/>
              <w:rPr>
                <w:spacing w:val="-4"/>
                <w:sz w:val="18"/>
                <w:szCs w:val="18"/>
                <w:lang w:eastAsia="en-AU"/>
              </w:rPr>
            </w:pPr>
            <w:r w:rsidRPr="00AC3F1E">
              <w:rPr>
                <w:spacing w:val="-4"/>
                <w:sz w:val="18"/>
                <w:szCs w:val="18"/>
                <w:lang w:eastAsia="en-AU"/>
              </w:rPr>
              <w:t>Annual</w:t>
            </w:r>
            <w:r w:rsidR="003C1C4E">
              <w:rPr>
                <w:spacing w:val="-4"/>
                <w:sz w:val="18"/>
                <w:szCs w:val="18"/>
                <w:lang w:eastAsia="en-AU"/>
              </w:rPr>
              <w:t xml:space="preserve"> growth rate (%)</w:t>
            </w:r>
            <w:r w:rsidRPr="00AC3F1E">
              <w:rPr>
                <w:spacing w:val="-4"/>
                <w:sz w:val="18"/>
                <w:szCs w:val="18"/>
                <w:lang w:eastAsia="en-AU"/>
              </w:rPr>
              <w:t xml:space="preserve"> by employment size</w:t>
            </w:r>
          </w:p>
        </w:tc>
        <w:tc>
          <w:tcPr>
            <w:tcW w:w="5154" w:type="dxa"/>
          </w:tcPr>
          <w:p w14:paraId="6EE32970" w14:textId="2B12DA9F" w:rsidR="00AC3F1E" w:rsidRPr="00AC3F1E" w:rsidRDefault="00AC3F1E" w:rsidP="00AC3F1E">
            <w:pPr>
              <w:jc w:val="center"/>
              <w:rPr>
                <w:b/>
                <w:spacing w:val="-4"/>
                <w:lang w:eastAsia="en-AU"/>
              </w:rPr>
            </w:pPr>
            <w:r>
              <w:rPr>
                <w:b/>
                <w:spacing w:val="-4"/>
                <w:lang w:eastAsia="en-AU"/>
              </w:rPr>
              <w:t>Business</w:t>
            </w:r>
            <w:r w:rsidR="003C1C4E">
              <w:rPr>
                <w:b/>
                <w:spacing w:val="-4"/>
                <w:lang w:eastAsia="en-AU"/>
              </w:rPr>
              <w:t>es</w:t>
            </w:r>
            <w:r>
              <w:rPr>
                <w:b/>
                <w:spacing w:val="-4"/>
                <w:lang w:eastAsia="en-AU"/>
              </w:rPr>
              <w:t xml:space="preserve"> per </w:t>
            </w:r>
            <w:r w:rsidR="003C1C4E">
              <w:rPr>
                <w:b/>
                <w:spacing w:val="-4"/>
                <w:lang w:eastAsia="en-AU"/>
              </w:rPr>
              <w:t>capita</w:t>
            </w:r>
          </w:p>
          <w:p w14:paraId="77FE3520" w14:textId="0D59CC93" w:rsidR="00AC3F1E" w:rsidRDefault="003C1C4E">
            <w:pPr>
              <w:jc w:val="center"/>
              <w:rPr>
                <w:spacing w:val="-4"/>
                <w:lang w:eastAsia="en-AU"/>
              </w:rPr>
            </w:pPr>
            <w:r>
              <w:rPr>
                <w:spacing w:val="-4"/>
                <w:sz w:val="18"/>
                <w:szCs w:val="18"/>
                <w:lang w:eastAsia="en-AU"/>
              </w:rPr>
              <w:t>Number of businesses per 1000 people</w:t>
            </w:r>
            <w:r w:rsidR="00B35E6F">
              <w:rPr>
                <w:spacing w:val="-4"/>
                <w:sz w:val="18"/>
                <w:szCs w:val="18"/>
                <w:lang w:eastAsia="en-AU"/>
              </w:rPr>
              <w:t xml:space="preserve"> in 2022</w:t>
            </w:r>
            <w:r w:rsidR="00B35E6F">
              <w:rPr>
                <w:spacing w:val="-4"/>
                <w:sz w:val="18"/>
                <w:szCs w:val="18"/>
                <w:lang w:eastAsia="en-AU"/>
              </w:rPr>
              <w:noBreakHyphen/>
              <w:t>23</w:t>
            </w:r>
          </w:p>
        </w:tc>
      </w:tr>
      <w:tr w:rsidR="00AC3F1E" w14:paraId="14DB313A" w14:textId="77777777" w:rsidTr="00AC3F1E">
        <w:tc>
          <w:tcPr>
            <w:tcW w:w="5154" w:type="dxa"/>
          </w:tcPr>
          <w:p w14:paraId="04839276" w14:textId="17DB600B" w:rsidR="00AC3F1E" w:rsidRDefault="00BD25F5" w:rsidP="00AC3F1E">
            <w:pPr>
              <w:jc w:val="center"/>
              <w:rPr>
                <w:spacing w:val="-4"/>
                <w:lang w:eastAsia="en-AU"/>
              </w:rPr>
            </w:pPr>
            <w:r>
              <w:rPr>
                <w:noProof/>
                <w:spacing w:val="-4"/>
                <w:lang w:eastAsia="en-AU"/>
              </w:rPr>
              <w:drawing>
                <wp:inline distT="0" distB="0" distL="0" distR="0" wp14:anchorId="797B86AA" wp14:editId="4C0A1F70">
                  <wp:extent cx="2520000" cy="2242800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24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46967389" w14:textId="0DD5561C" w:rsidR="00AC3F1E" w:rsidRDefault="004611B1" w:rsidP="00AC3F1E">
            <w:pPr>
              <w:jc w:val="center"/>
              <w:rPr>
                <w:spacing w:val="-4"/>
                <w:lang w:eastAsia="en-AU"/>
              </w:rPr>
            </w:pPr>
            <w:r>
              <w:rPr>
                <w:noProof/>
                <w:spacing w:val="-4"/>
                <w:lang w:eastAsia="en-AU"/>
              </w:rPr>
              <w:drawing>
                <wp:inline distT="0" distB="0" distL="0" distR="0" wp14:anchorId="5B3A5221" wp14:editId="5B529433">
                  <wp:extent cx="2606400" cy="2242800"/>
                  <wp:effectExtent l="0" t="0" r="381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400" cy="224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C0ADB" w14:textId="7EA2F2C4" w:rsidR="00C313CB" w:rsidRDefault="00B87942" w:rsidP="005851F5">
      <w:pPr>
        <w:pStyle w:val="Heading1"/>
        <w:spacing w:before="120" w:after="120"/>
        <w:rPr>
          <w:lang w:eastAsia="en-AU"/>
        </w:rPr>
      </w:pPr>
      <w:r>
        <w:rPr>
          <w:lang w:eastAsia="en-AU"/>
        </w:rPr>
        <w:t xml:space="preserve">Higher business exits </w:t>
      </w:r>
      <w:r w:rsidR="00AE7F5A">
        <w:rPr>
          <w:lang w:eastAsia="en-AU"/>
        </w:rPr>
        <w:t>constrain</w:t>
      </w:r>
      <w:r w:rsidR="005D119E">
        <w:rPr>
          <w:lang w:eastAsia="en-AU"/>
        </w:rPr>
        <w:t xml:space="preserve"> </w:t>
      </w:r>
      <w:r>
        <w:rPr>
          <w:lang w:eastAsia="en-AU"/>
        </w:rPr>
        <w:t>growth</w:t>
      </w:r>
    </w:p>
    <w:p w14:paraId="215D22A9" w14:textId="554D01AE" w:rsidR="005D119E" w:rsidRDefault="001D2B92" w:rsidP="00810343">
      <w:pPr>
        <w:jc w:val="both"/>
        <w:rPr>
          <w:spacing w:val="-4"/>
          <w:lang w:eastAsia="en-AU"/>
        </w:rPr>
      </w:pPr>
      <w:r>
        <w:rPr>
          <w:spacing w:val="-4"/>
          <w:lang w:eastAsia="en-AU"/>
        </w:rPr>
        <w:t>In 2022</w:t>
      </w:r>
      <w:r>
        <w:rPr>
          <w:spacing w:val="-4"/>
          <w:lang w:eastAsia="en-AU"/>
        </w:rPr>
        <w:noBreakHyphen/>
        <w:t>23, all jurisdictions recorded an increase in business entries broadly in line with the national level (15.8%).</w:t>
      </w:r>
      <w:r w:rsidRPr="001D2B92">
        <w:rPr>
          <w:spacing w:val="-4"/>
          <w:lang w:eastAsia="en-AU"/>
        </w:rPr>
        <w:t xml:space="preserve"> </w:t>
      </w:r>
      <w:r>
        <w:rPr>
          <w:spacing w:val="-4"/>
          <w:lang w:eastAsia="en-AU"/>
        </w:rPr>
        <w:t>The Territory recorded the second highest entry rate (16.9%) below only the Australian Capital Territory (18.3%). This follows the record business entry rates reported in 2021-22 (both national</w:t>
      </w:r>
      <w:r w:rsidR="00E04007">
        <w:rPr>
          <w:spacing w:val="-4"/>
          <w:lang w:eastAsia="en-AU"/>
        </w:rPr>
        <w:t>ly</w:t>
      </w:r>
      <w:r>
        <w:rPr>
          <w:spacing w:val="-4"/>
          <w:lang w:eastAsia="en-AU"/>
        </w:rPr>
        <w:t xml:space="preserve"> and in the Territory) and maintains solid growth compared </w:t>
      </w:r>
      <w:r w:rsidR="00EA2B5D">
        <w:rPr>
          <w:spacing w:val="-4"/>
          <w:lang w:eastAsia="en-AU"/>
        </w:rPr>
        <w:t>with the past decade</w:t>
      </w:r>
      <w:r>
        <w:rPr>
          <w:spacing w:val="-4"/>
          <w:lang w:eastAsia="en-AU"/>
        </w:rPr>
        <w:t>.</w:t>
      </w:r>
    </w:p>
    <w:p w14:paraId="68F712A2" w14:textId="47D5C9E2" w:rsidR="001D2B92" w:rsidRDefault="001D2B92" w:rsidP="00810343">
      <w:pPr>
        <w:jc w:val="both"/>
        <w:rPr>
          <w:spacing w:val="-4"/>
          <w:lang w:eastAsia="en-AU"/>
        </w:rPr>
      </w:pPr>
      <w:r>
        <w:rPr>
          <w:spacing w:val="-4"/>
          <w:lang w:eastAsia="en-AU"/>
        </w:rPr>
        <w:t xml:space="preserve">However, </w:t>
      </w:r>
      <w:r w:rsidR="006C4F55">
        <w:rPr>
          <w:spacing w:val="-4"/>
          <w:lang w:eastAsia="en-AU"/>
        </w:rPr>
        <w:t xml:space="preserve">all jurisdictions reported an increased level of </w:t>
      </w:r>
      <w:r>
        <w:rPr>
          <w:spacing w:val="-4"/>
          <w:lang w:eastAsia="en-AU"/>
        </w:rPr>
        <w:t xml:space="preserve">business exits </w:t>
      </w:r>
      <w:r w:rsidR="006C4F55">
        <w:rPr>
          <w:spacing w:val="-4"/>
          <w:lang w:eastAsia="en-AU"/>
        </w:rPr>
        <w:t>in 2022</w:t>
      </w:r>
      <w:r w:rsidR="006C4F55">
        <w:rPr>
          <w:spacing w:val="-4"/>
          <w:lang w:eastAsia="en-AU"/>
        </w:rPr>
        <w:noBreakHyphen/>
        <w:t xml:space="preserve">23, </w:t>
      </w:r>
      <w:r w:rsidR="00EA2B5D">
        <w:rPr>
          <w:spacing w:val="-4"/>
          <w:lang w:eastAsia="en-AU"/>
        </w:rPr>
        <w:t>and the national exit rate (15.0%) was the highest of the past deca</w:t>
      </w:r>
      <w:r w:rsidR="00BE6912">
        <w:rPr>
          <w:spacing w:val="-4"/>
          <w:lang w:eastAsia="en-AU"/>
        </w:rPr>
        <w:t>de, and the highest since 2012</w:t>
      </w:r>
      <w:r w:rsidR="00BE6912">
        <w:rPr>
          <w:spacing w:val="-4"/>
          <w:lang w:eastAsia="en-AU"/>
        </w:rPr>
        <w:noBreakHyphen/>
        <w:t>1</w:t>
      </w:r>
      <w:r w:rsidR="00EA2B5D">
        <w:rPr>
          <w:spacing w:val="-4"/>
          <w:lang w:eastAsia="en-AU"/>
        </w:rPr>
        <w:t xml:space="preserve">3 for four of the jurisdictions </w:t>
      </w:r>
      <w:r w:rsidR="00B90DAA">
        <w:rPr>
          <w:spacing w:val="-4"/>
          <w:lang w:eastAsia="en-AU"/>
        </w:rPr>
        <w:t>including the Territory (14.3</w:t>
      </w:r>
      <w:r w:rsidR="00EA2B5D">
        <w:rPr>
          <w:spacing w:val="-4"/>
          <w:lang w:eastAsia="en-AU"/>
        </w:rPr>
        <w:t>%) (Chart 3).</w:t>
      </w:r>
    </w:p>
    <w:p w14:paraId="7AB830C2" w14:textId="1C376FCB" w:rsidR="00CC0F38" w:rsidRDefault="00E04007">
      <w:pPr>
        <w:jc w:val="both"/>
        <w:rPr>
          <w:spacing w:val="-4"/>
          <w:lang w:eastAsia="en-AU"/>
        </w:rPr>
      </w:pPr>
      <w:r>
        <w:rPr>
          <w:spacing w:val="-4"/>
          <w:lang w:eastAsia="en-AU"/>
        </w:rPr>
        <w:lastRenderedPageBreak/>
        <w:t>The</w:t>
      </w:r>
      <w:r w:rsidR="00CC0F38">
        <w:rPr>
          <w:spacing w:val="-4"/>
          <w:lang w:eastAsia="en-AU"/>
        </w:rPr>
        <w:t xml:space="preserve"> impact of adverse macroeconomic conditions</w:t>
      </w:r>
      <w:r>
        <w:rPr>
          <w:spacing w:val="-4"/>
          <w:lang w:eastAsia="en-AU"/>
        </w:rPr>
        <w:t>,</w:t>
      </w:r>
      <w:r w:rsidR="00CC0F38">
        <w:rPr>
          <w:spacing w:val="-4"/>
          <w:lang w:eastAsia="en-AU"/>
        </w:rPr>
        <w:t xml:space="preserve"> </w:t>
      </w:r>
      <w:r w:rsidR="00EA2B5D">
        <w:rPr>
          <w:spacing w:val="-4"/>
          <w:lang w:eastAsia="en-AU"/>
        </w:rPr>
        <w:t xml:space="preserve">including elevated </w:t>
      </w:r>
      <w:r w:rsidR="00CC0F38">
        <w:rPr>
          <w:spacing w:val="-4"/>
          <w:lang w:eastAsia="en-AU"/>
        </w:rPr>
        <w:t>inflation and increasing interest rates</w:t>
      </w:r>
      <w:r>
        <w:rPr>
          <w:spacing w:val="-4"/>
          <w:lang w:eastAsia="en-AU"/>
        </w:rPr>
        <w:t>, has</w:t>
      </w:r>
      <w:r w:rsidR="00CC0F38">
        <w:rPr>
          <w:spacing w:val="-4"/>
          <w:lang w:eastAsia="en-AU"/>
        </w:rPr>
        <w:t xml:space="preserve"> </w:t>
      </w:r>
      <w:r w:rsidR="00EC4C71">
        <w:rPr>
          <w:spacing w:val="-4"/>
          <w:lang w:eastAsia="en-AU"/>
        </w:rPr>
        <w:t xml:space="preserve">likely </w:t>
      </w:r>
      <w:r>
        <w:rPr>
          <w:spacing w:val="-4"/>
          <w:lang w:eastAsia="en-AU"/>
        </w:rPr>
        <w:t>contributed to the increased exit rate nationally</w:t>
      </w:r>
      <w:r w:rsidR="00EA2B5D">
        <w:rPr>
          <w:spacing w:val="-4"/>
          <w:lang w:eastAsia="en-AU"/>
        </w:rPr>
        <w:t>. This has been notable</w:t>
      </w:r>
      <w:r w:rsidR="00CC0F38">
        <w:rPr>
          <w:spacing w:val="-4"/>
          <w:lang w:eastAsia="en-AU"/>
        </w:rPr>
        <w:t xml:space="preserve"> in customer facing industr</w:t>
      </w:r>
      <w:r w:rsidR="00EA2B5D">
        <w:rPr>
          <w:spacing w:val="-4"/>
          <w:lang w:eastAsia="en-AU"/>
        </w:rPr>
        <w:t>ies such as</w:t>
      </w:r>
      <w:r w:rsidR="00CC0F38">
        <w:rPr>
          <w:spacing w:val="-4"/>
          <w:lang w:eastAsia="en-AU"/>
        </w:rPr>
        <w:t xml:space="preserve"> </w:t>
      </w:r>
      <w:r w:rsidR="00EA2B5D">
        <w:rPr>
          <w:spacing w:val="-4"/>
          <w:lang w:eastAsia="en-AU"/>
        </w:rPr>
        <w:t xml:space="preserve">the </w:t>
      </w:r>
      <w:r w:rsidR="00CC0F38">
        <w:rPr>
          <w:spacing w:val="-4"/>
          <w:lang w:eastAsia="en-AU"/>
        </w:rPr>
        <w:t>wholesale, retail and hospitality sectors</w:t>
      </w:r>
      <w:r w:rsidR="00060404">
        <w:rPr>
          <w:spacing w:val="-4"/>
          <w:lang w:eastAsia="en-AU"/>
        </w:rPr>
        <w:t>, all recording net declines</w:t>
      </w:r>
      <w:r>
        <w:rPr>
          <w:spacing w:val="-4"/>
          <w:lang w:eastAsia="en-AU"/>
        </w:rPr>
        <w:t xml:space="preserve"> (more exits than entries) in 2022</w:t>
      </w:r>
      <w:r>
        <w:rPr>
          <w:spacing w:val="-4"/>
          <w:lang w:eastAsia="en-AU"/>
        </w:rPr>
        <w:noBreakHyphen/>
        <w:t>23</w:t>
      </w:r>
      <w:r w:rsidR="00CC0F38">
        <w:rPr>
          <w:spacing w:val="-4"/>
          <w:lang w:eastAsia="en-AU"/>
        </w:rPr>
        <w:t xml:space="preserve"> (Chart 4). </w:t>
      </w:r>
      <w:r w:rsidR="006C5433">
        <w:rPr>
          <w:spacing w:val="-4"/>
          <w:lang w:eastAsia="en-AU"/>
        </w:rPr>
        <w:t xml:space="preserve">The tightening of monetary policy </w:t>
      </w:r>
      <w:r w:rsidR="00EC4C71">
        <w:rPr>
          <w:spacing w:val="-4"/>
          <w:lang w:eastAsia="en-AU"/>
        </w:rPr>
        <w:t>has resulted in a</w:t>
      </w:r>
      <w:r w:rsidR="006C5433">
        <w:rPr>
          <w:spacing w:val="-4"/>
          <w:lang w:eastAsia="en-AU"/>
        </w:rPr>
        <w:t xml:space="preserve"> </w:t>
      </w:r>
      <w:r w:rsidR="00EC4C71">
        <w:rPr>
          <w:spacing w:val="-4"/>
          <w:lang w:eastAsia="en-AU"/>
        </w:rPr>
        <w:t>decrease in</w:t>
      </w:r>
      <w:r w:rsidR="006C5433">
        <w:rPr>
          <w:spacing w:val="-4"/>
          <w:lang w:eastAsia="en-AU"/>
        </w:rPr>
        <w:t xml:space="preserve"> household spending</w:t>
      </w:r>
      <w:r w:rsidR="00EC4C71">
        <w:rPr>
          <w:spacing w:val="-4"/>
          <w:lang w:eastAsia="en-AU"/>
        </w:rPr>
        <w:t xml:space="preserve">, particularly </w:t>
      </w:r>
      <w:r w:rsidR="006C5433">
        <w:rPr>
          <w:spacing w:val="-4"/>
          <w:lang w:eastAsia="en-AU"/>
        </w:rPr>
        <w:t>discretionary spending</w:t>
      </w:r>
      <w:r w:rsidR="00EC4C71">
        <w:rPr>
          <w:spacing w:val="-4"/>
          <w:lang w:eastAsia="en-AU"/>
        </w:rPr>
        <w:t>,</w:t>
      </w:r>
      <w:r w:rsidR="006C5433">
        <w:rPr>
          <w:spacing w:val="-4"/>
          <w:lang w:eastAsia="en-AU"/>
        </w:rPr>
        <w:t xml:space="preserve"> </w:t>
      </w:r>
      <w:r w:rsidR="006F1DC9">
        <w:rPr>
          <w:spacing w:val="-4"/>
          <w:lang w:eastAsia="en-AU"/>
        </w:rPr>
        <w:t>with real national retail turnover down by 1.4% annually to</w:t>
      </w:r>
      <w:r w:rsidR="006C5433">
        <w:rPr>
          <w:spacing w:val="-4"/>
          <w:lang w:eastAsia="en-AU"/>
        </w:rPr>
        <w:t xml:space="preserve"> </w:t>
      </w:r>
      <w:r w:rsidR="00C164DB">
        <w:rPr>
          <w:spacing w:val="-4"/>
          <w:lang w:eastAsia="en-AU"/>
        </w:rPr>
        <w:t>June 2023</w:t>
      </w:r>
      <w:r w:rsidR="006F1DC9">
        <w:rPr>
          <w:spacing w:val="-4"/>
          <w:lang w:eastAsia="en-AU"/>
        </w:rPr>
        <w:t>. N</w:t>
      </w:r>
      <w:r w:rsidR="00E04C3E">
        <w:rPr>
          <w:spacing w:val="-4"/>
          <w:lang w:eastAsia="en-AU"/>
        </w:rPr>
        <w:t xml:space="preserve">ationally, the number of exits in </w:t>
      </w:r>
      <w:r w:rsidR="006F1DC9">
        <w:rPr>
          <w:spacing w:val="-4"/>
          <w:lang w:eastAsia="en-AU"/>
        </w:rPr>
        <w:t xml:space="preserve">the </w:t>
      </w:r>
      <w:r w:rsidR="00E04C3E">
        <w:rPr>
          <w:spacing w:val="-4"/>
          <w:lang w:eastAsia="en-AU"/>
        </w:rPr>
        <w:t>retail industry increased by 34</w:t>
      </w:r>
      <w:r w:rsidR="006F1DC9">
        <w:rPr>
          <w:spacing w:val="-4"/>
          <w:lang w:eastAsia="en-AU"/>
        </w:rPr>
        <w:t>%.</w:t>
      </w:r>
      <w:r w:rsidR="00E04C3E">
        <w:rPr>
          <w:spacing w:val="-4"/>
          <w:lang w:eastAsia="en-AU"/>
        </w:rPr>
        <w:t xml:space="preserve"> </w:t>
      </w:r>
    </w:p>
    <w:p w14:paraId="7D75AF67" w14:textId="2BE8AB85" w:rsidR="00E04C3E" w:rsidRDefault="00060404" w:rsidP="00810343">
      <w:pPr>
        <w:jc w:val="both"/>
        <w:rPr>
          <w:spacing w:val="-4"/>
          <w:lang w:eastAsia="en-AU"/>
        </w:rPr>
      </w:pPr>
      <w:r>
        <w:rPr>
          <w:spacing w:val="-4"/>
          <w:lang w:eastAsia="en-AU"/>
        </w:rPr>
        <w:t>The</w:t>
      </w:r>
      <w:r w:rsidR="00B01F30">
        <w:rPr>
          <w:spacing w:val="-4"/>
          <w:lang w:eastAsia="en-AU"/>
        </w:rPr>
        <w:t xml:space="preserve"> c</w:t>
      </w:r>
      <w:r w:rsidR="00E04C3E">
        <w:rPr>
          <w:spacing w:val="-4"/>
          <w:lang w:eastAsia="en-AU"/>
        </w:rPr>
        <w:t xml:space="preserve">onstruction industry </w:t>
      </w:r>
      <w:r>
        <w:rPr>
          <w:spacing w:val="-4"/>
          <w:lang w:eastAsia="en-AU"/>
        </w:rPr>
        <w:t xml:space="preserve">also reported </w:t>
      </w:r>
      <w:r w:rsidR="00B01F30">
        <w:rPr>
          <w:spacing w:val="-4"/>
          <w:lang w:eastAsia="en-AU"/>
        </w:rPr>
        <w:t xml:space="preserve">a </w:t>
      </w:r>
      <w:r w:rsidR="00E04C3E">
        <w:rPr>
          <w:spacing w:val="-4"/>
          <w:lang w:eastAsia="en-AU"/>
        </w:rPr>
        <w:t>high number of exits (</w:t>
      </w:r>
      <w:r w:rsidR="00602D90">
        <w:rPr>
          <w:spacing w:val="-4"/>
          <w:lang w:eastAsia="en-AU"/>
        </w:rPr>
        <w:t xml:space="preserve">up by </w:t>
      </w:r>
      <w:r w:rsidR="00E04C3E">
        <w:rPr>
          <w:spacing w:val="-4"/>
          <w:lang w:eastAsia="en-AU"/>
        </w:rPr>
        <w:t>32</w:t>
      </w:r>
      <w:r>
        <w:rPr>
          <w:spacing w:val="-4"/>
          <w:lang w:eastAsia="en-AU"/>
        </w:rPr>
        <w:t>%</w:t>
      </w:r>
      <w:r w:rsidR="00E04C3E">
        <w:rPr>
          <w:spacing w:val="-4"/>
          <w:lang w:eastAsia="en-AU"/>
        </w:rPr>
        <w:t xml:space="preserve">) </w:t>
      </w:r>
      <w:r>
        <w:rPr>
          <w:spacing w:val="-4"/>
          <w:lang w:eastAsia="en-AU"/>
        </w:rPr>
        <w:t xml:space="preserve">and a decline in entries (down by 18%) </w:t>
      </w:r>
      <w:r w:rsidR="0046668B">
        <w:rPr>
          <w:spacing w:val="-4"/>
          <w:lang w:eastAsia="en-AU"/>
        </w:rPr>
        <w:t xml:space="preserve">which reflects headwinds </w:t>
      </w:r>
      <w:r>
        <w:rPr>
          <w:spacing w:val="-4"/>
          <w:lang w:eastAsia="en-AU"/>
        </w:rPr>
        <w:t xml:space="preserve">arising </w:t>
      </w:r>
      <w:r w:rsidR="0046668B">
        <w:rPr>
          <w:spacing w:val="-4"/>
          <w:lang w:eastAsia="en-AU"/>
        </w:rPr>
        <w:t>from the end of</w:t>
      </w:r>
      <w:r>
        <w:rPr>
          <w:spacing w:val="-4"/>
          <w:lang w:eastAsia="en-AU"/>
        </w:rPr>
        <w:t xml:space="preserve"> stimulus</w:t>
      </w:r>
      <w:r w:rsidR="0046668B">
        <w:rPr>
          <w:spacing w:val="-4"/>
          <w:lang w:eastAsia="en-AU"/>
        </w:rPr>
        <w:t xml:space="preserve"> initiatives such as </w:t>
      </w:r>
      <w:r>
        <w:rPr>
          <w:spacing w:val="-4"/>
          <w:lang w:eastAsia="en-AU"/>
        </w:rPr>
        <w:t xml:space="preserve">the </w:t>
      </w:r>
      <w:r w:rsidR="0046668B">
        <w:rPr>
          <w:spacing w:val="-4"/>
          <w:lang w:eastAsia="en-AU"/>
        </w:rPr>
        <w:t>Homebuilder grants, supply chain disruption, labour shortages, and increa</w:t>
      </w:r>
      <w:r w:rsidR="00AC3F1E">
        <w:rPr>
          <w:spacing w:val="-4"/>
          <w:lang w:eastAsia="en-AU"/>
        </w:rPr>
        <w:t xml:space="preserve">sing </w:t>
      </w:r>
      <w:r>
        <w:rPr>
          <w:spacing w:val="-4"/>
          <w:lang w:eastAsia="en-AU"/>
        </w:rPr>
        <w:t xml:space="preserve">costs </w:t>
      </w:r>
      <w:r w:rsidR="00AC3F1E">
        <w:rPr>
          <w:spacing w:val="-4"/>
          <w:lang w:eastAsia="en-AU"/>
        </w:rPr>
        <w:t>of input materials.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AC3F1E" w14:paraId="5F850B91" w14:textId="77777777" w:rsidTr="009568A1">
        <w:trPr>
          <w:jc w:val="center"/>
        </w:trPr>
        <w:tc>
          <w:tcPr>
            <w:tcW w:w="5154" w:type="dxa"/>
          </w:tcPr>
          <w:p w14:paraId="65058A4A" w14:textId="0B87250E" w:rsidR="00AC3F1E" w:rsidRPr="00AC3F1E" w:rsidRDefault="00AC3F1E" w:rsidP="00AC3F1E">
            <w:pPr>
              <w:jc w:val="center"/>
              <w:rPr>
                <w:b/>
                <w:spacing w:val="-4"/>
                <w:lang w:eastAsia="en-AU"/>
              </w:rPr>
            </w:pPr>
            <w:r w:rsidRPr="00AC3F1E">
              <w:rPr>
                <w:b/>
                <w:spacing w:val="-4"/>
                <w:lang w:eastAsia="en-AU"/>
              </w:rPr>
              <w:t>Chart 3</w:t>
            </w:r>
          </w:p>
        </w:tc>
        <w:tc>
          <w:tcPr>
            <w:tcW w:w="5154" w:type="dxa"/>
          </w:tcPr>
          <w:p w14:paraId="2097181E" w14:textId="63010F9B" w:rsidR="00AC3F1E" w:rsidRPr="00AC3F1E" w:rsidRDefault="00AC3F1E" w:rsidP="00AC3F1E">
            <w:pPr>
              <w:jc w:val="center"/>
              <w:rPr>
                <w:b/>
                <w:spacing w:val="-4"/>
                <w:lang w:eastAsia="en-AU"/>
              </w:rPr>
            </w:pPr>
            <w:r w:rsidRPr="00AC3F1E">
              <w:rPr>
                <w:b/>
                <w:spacing w:val="-4"/>
                <w:lang w:eastAsia="en-AU"/>
              </w:rPr>
              <w:t>Chart 4</w:t>
            </w:r>
          </w:p>
        </w:tc>
      </w:tr>
      <w:tr w:rsidR="00AC3F1E" w14:paraId="6D0F994C" w14:textId="77777777" w:rsidTr="009568A1">
        <w:trPr>
          <w:jc w:val="center"/>
        </w:trPr>
        <w:tc>
          <w:tcPr>
            <w:tcW w:w="5154" w:type="dxa"/>
          </w:tcPr>
          <w:p w14:paraId="442A6BDA" w14:textId="77777777" w:rsidR="00AC3F1E" w:rsidRPr="00AC3F1E" w:rsidRDefault="00AC3F1E" w:rsidP="00AC3F1E">
            <w:pPr>
              <w:jc w:val="center"/>
              <w:rPr>
                <w:b/>
                <w:spacing w:val="-4"/>
                <w:lang w:eastAsia="en-AU"/>
              </w:rPr>
            </w:pPr>
            <w:r w:rsidRPr="00AC3F1E">
              <w:rPr>
                <w:b/>
                <w:spacing w:val="-4"/>
                <w:lang w:eastAsia="en-AU"/>
              </w:rPr>
              <w:t>Business Entry and Exit Rates</w:t>
            </w:r>
          </w:p>
          <w:p w14:paraId="0E199D42" w14:textId="4ADBF10A" w:rsidR="00AC3F1E" w:rsidRPr="00AC3F1E" w:rsidRDefault="00AC3F1E" w:rsidP="00AC3F1E">
            <w:pPr>
              <w:jc w:val="center"/>
              <w:rPr>
                <w:spacing w:val="-4"/>
                <w:sz w:val="18"/>
                <w:szCs w:val="18"/>
                <w:lang w:eastAsia="en-AU"/>
              </w:rPr>
            </w:pPr>
            <w:r w:rsidRPr="00AC3F1E">
              <w:rPr>
                <w:spacing w:val="-4"/>
                <w:sz w:val="18"/>
                <w:szCs w:val="18"/>
                <w:lang w:eastAsia="en-AU"/>
              </w:rPr>
              <w:t>Annual</w:t>
            </w:r>
            <w:r w:rsidR="00916EF3">
              <w:rPr>
                <w:spacing w:val="-4"/>
                <w:sz w:val="18"/>
                <w:szCs w:val="18"/>
                <w:lang w:eastAsia="en-AU"/>
              </w:rPr>
              <w:t xml:space="preserve"> rate</w:t>
            </w:r>
            <w:r w:rsidR="00060404">
              <w:rPr>
                <w:spacing w:val="-4"/>
                <w:sz w:val="18"/>
                <w:szCs w:val="18"/>
                <w:lang w:eastAsia="en-AU"/>
              </w:rPr>
              <w:t xml:space="preserve"> (%)</w:t>
            </w:r>
          </w:p>
        </w:tc>
        <w:tc>
          <w:tcPr>
            <w:tcW w:w="5154" w:type="dxa"/>
          </w:tcPr>
          <w:p w14:paraId="31EFD639" w14:textId="1808C584" w:rsidR="00AC3F1E" w:rsidRPr="009568A1" w:rsidRDefault="00060404" w:rsidP="009568A1">
            <w:pPr>
              <w:jc w:val="center"/>
              <w:rPr>
                <w:b/>
                <w:spacing w:val="-4"/>
                <w:lang w:eastAsia="en-AU"/>
              </w:rPr>
            </w:pPr>
            <w:r>
              <w:rPr>
                <w:b/>
                <w:spacing w:val="-4"/>
                <w:lang w:eastAsia="en-AU"/>
              </w:rPr>
              <w:t xml:space="preserve">Net </w:t>
            </w:r>
            <w:r w:rsidR="009568A1" w:rsidRPr="009568A1">
              <w:rPr>
                <w:b/>
                <w:spacing w:val="-4"/>
                <w:lang w:eastAsia="en-AU"/>
              </w:rPr>
              <w:t>Change in Operating Businesses</w:t>
            </w:r>
          </w:p>
          <w:p w14:paraId="07B2AFD1" w14:textId="712FFC0B" w:rsidR="009568A1" w:rsidRPr="009568A1" w:rsidRDefault="00916EF3">
            <w:pPr>
              <w:jc w:val="center"/>
              <w:rPr>
                <w:spacing w:val="-4"/>
                <w:sz w:val="18"/>
                <w:szCs w:val="18"/>
                <w:lang w:eastAsia="en-AU"/>
              </w:rPr>
            </w:pPr>
            <w:r>
              <w:rPr>
                <w:spacing w:val="-4"/>
                <w:sz w:val="18"/>
                <w:szCs w:val="18"/>
                <w:lang w:eastAsia="en-AU"/>
              </w:rPr>
              <w:t>By industry, nationally</w:t>
            </w:r>
            <w:r w:rsidR="00060404">
              <w:rPr>
                <w:spacing w:val="-4"/>
                <w:sz w:val="18"/>
                <w:szCs w:val="18"/>
                <w:lang w:eastAsia="en-AU"/>
              </w:rPr>
              <w:t>;</w:t>
            </w:r>
            <w:r w:rsidR="009568A1" w:rsidRPr="009568A1">
              <w:rPr>
                <w:spacing w:val="-4"/>
                <w:sz w:val="18"/>
                <w:szCs w:val="18"/>
                <w:lang w:eastAsia="en-AU"/>
              </w:rPr>
              <w:t xml:space="preserve"> </w:t>
            </w:r>
            <w:r>
              <w:rPr>
                <w:spacing w:val="-4"/>
                <w:sz w:val="18"/>
                <w:szCs w:val="18"/>
                <w:lang w:eastAsia="en-AU"/>
              </w:rPr>
              <w:t>a</w:t>
            </w:r>
            <w:r w:rsidR="00060404">
              <w:rPr>
                <w:spacing w:val="-4"/>
                <w:sz w:val="18"/>
                <w:szCs w:val="18"/>
                <w:lang w:eastAsia="en-AU"/>
              </w:rPr>
              <w:t xml:space="preserve">nnual </w:t>
            </w:r>
            <w:r>
              <w:rPr>
                <w:spacing w:val="-4"/>
                <w:sz w:val="18"/>
                <w:szCs w:val="18"/>
                <w:lang w:eastAsia="en-AU"/>
              </w:rPr>
              <w:t xml:space="preserve">change </w:t>
            </w:r>
            <w:r w:rsidR="009568A1" w:rsidRPr="009568A1">
              <w:rPr>
                <w:spacing w:val="-4"/>
                <w:sz w:val="18"/>
                <w:szCs w:val="18"/>
                <w:lang w:eastAsia="en-AU"/>
              </w:rPr>
              <w:t>(%)</w:t>
            </w:r>
          </w:p>
        </w:tc>
      </w:tr>
      <w:tr w:rsidR="00AC3F1E" w14:paraId="3F0A2FC9" w14:textId="77777777" w:rsidTr="009568A1">
        <w:trPr>
          <w:jc w:val="center"/>
        </w:trPr>
        <w:tc>
          <w:tcPr>
            <w:tcW w:w="5154" w:type="dxa"/>
          </w:tcPr>
          <w:p w14:paraId="0A78F78B" w14:textId="67851128" w:rsidR="00AC3F1E" w:rsidRDefault="00916EF3" w:rsidP="00AC3F1E">
            <w:pPr>
              <w:jc w:val="center"/>
              <w:rPr>
                <w:spacing w:val="-4"/>
                <w:lang w:eastAsia="en-AU"/>
              </w:rPr>
            </w:pPr>
            <w:r>
              <w:rPr>
                <w:noProof/>
                <w:spacing w:val="-4"/>
                <w:lang w:eastAsia="en-AU"/>
              </w:rPr>
              <w:drawing>
                <wp:inline distT="0" distB="0" distL="0" distR="0" wp14:anchorId="6565D0B2" wp14:editId="50D34909">
                  <wp:extent cx="2520000" cy="2246400"/>
                  <wp:effectExtent l="0" t="0" r="0" b="190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24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5DBD3795" w14:textId="75800BD7" w:rsidR="00AC3F1E" w:rsidRDefault="00916EF3" w:rsidP="00AC3F1E">
            <w:pPr>
              <w:jc w:val="center"/>
              <w:rPr>
                <w:spacing w:val="-4"/>
                <w:lang w:eastAsia="en-AU"/>
              </w:rPr>
            </w:pPr>
            <w:r>
              <w:rPr>
                <w:noProof/>
                <w:spacing w:val="-4"/>
                <w:lang w:eastAsia="en-AU"/>
              </w:rPr>
              <w:drawing>
                <wp:inline distT="0" distB="0" distL="0" distR="0" wp14:anchorId="6FE38263" wp14:editId="76A00086">
                  <wp:extent cx="2520000" cy="2242800"/>
                  <wp:effectExtent l="0" t="0" r="0" b="571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24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8CA5B" w14:textId="4DC184D9" w:rsidR="00C8420F" w:rsidRDefault="00B02564" w:rsidP="005851F5">
      <w:pPr>
        <w:pStyle w:val="Heading1"/>
        <w:spacing w:before="120" w:after="120"/>
        <w:rPr>
          <w:lang w:eastAsia="en-AU"/>
        </w:rPr>
      </w:pPr>
      <w:r>
        <w:rPr>
          <w:lang w:eastAsia="en-AU"/>
        </w:rPr>
        <w:t>Low</w:t>
      </w:r>
      <w:r w:rsidR="000B2C6C">
        <w:rPr>
          <w:lang w:eastAsia="en-AU"/>
        </w:rPr>
        <w:t>er</w:t>
      </w:r>
      <w:r>
        <w:rPr>
          <w:lang w:eastAsia="en-AU"/>
        </w:rPr>
        <w:t xml:space="preserve"> survival rate of new </w:t>
      </w:r>
      <w:r w:rsidR="000B2C6C">
        <w:rPr>
          <w:lang w:eastAsia="en-AU"/>
        </w:rPr>
        <w:t>entri</w:t>
      </w:r>
      <w:r>
        <w:rPr>
          <w:lang w:eastAsia="en-AU"/>
        </w:rPr>
        <w:t xml:space="preserve">es in the Territory </w:t>
      </w:r>
      <w:r w:rsidR="000B2C6C">
        <w:rPr>
          <w:lang w:eastAsia="en-AU"/>
        </w:rPr>
        <w:t>than nationally</w:t>
      </w:r>
    </w:p>
    <w:p w14:paraId="49A1597A" w14:textId="66C40E61" w:rsidR="00981E85" w:rsidRPr="00981E85" w:rsidRDefault="003D2DB1" w:rsidP="00981E85">
      <w:pPr>
        <w:rPr>
          <w:lang w:eastAsia="en-AU"/>
        </w:rPr>
      </w:pPr>
      <w:r>
        <w:rPr>
          <w:lang w:eastAsia="en-AU"/>
        </w:rPr>
        <w:t>The s</w:t>
      </w:r>
      <w:r w:rsidR="00681298">
        <w:rPr>
          <w:lang w:eastAsia="en-AU"/>
        </w:rPr>
        <w:t>urvival rate</w:t>
      </w:r>
      <w:r w:rsidR="00420D56">
        <w:rPr>
          <w:lang w:eastAsia="en-AU"/>
        </w:rPr>
        <w:t>s</w:t>
      </w:r>
      <w:r w:rsidR="00681298">
        <w:rPr>
          <w:lang w:eastAsia="en-AU"/>
        </w:rPr>
        <w:t xml:space="preserve"> of Territory businesses </w:t>
      </w:r>
      <w:r w:rsidR="00420D56">
        <w:rPr>
          <w:lang w:eastAsia="en-AU"/>
        </w:rPr>
        <w:t xml:space="preserve">are </w:t>
      </w:r>
      <w:r w:rsidR="0008436D">
        <w:rPr>
          <w:lang w:eastAsia="en-AU"/>
        </w:rPr>
        <w:t>in line with</w:t>
      </w:r>
      <w:r>
        <w:rPr>
          <w:lang w:eastAsia="en-AU"/>
        </w:rPr>
        <w:t xml:space="preserve"> the </w:t>
      </w:r>
      <w:r w:rsidR="00681298">
        <w:rPr>
          <w:lang w:eastAsia="en-AU"/>
        </w:rPr>
        <w:t>national average</w:t>
      </w:r>
      <w:r w:rsidR="00103937">
        <w:rPr>
          <w:lang w:eastAsia="en-AU"/>
        </w:rPr>
        <w:t xml:space="preserve"> (Chart 5)</w:t>
      </w:r>
      <w:r w:rsidR="00420D56">
        <w:rPr>
          <w:lang w:eastAsia="en-AU"/>
        </w:rPr>
        <w:t xml:space="preserve"> while the</w:t>
      </w:r>
      <w:r w:rsidR="00665AC5">
        <w:rPr>
          <w:lang w:eastAsia="en-AU"/>
        </w:rPr>
        <w:t xml:space="preserve"> s</w:t>
      </w:r>
      <w:r w:rsidR="00103937">
        <w:rPr>
          <w:lang w:eastAsia="en-AU"/>
        </w:rPr>
        <w:t>urvival rate</w:t>
      </w:r>
      <w:r w:rsidR="00420D56">
        <w:rPr>
          <w:lang w:eastAsia="en-AU"/>
        </w:rPr>
        <w:t>s</w:t>
      </w:r>
      <w:r w:rsidR="00103937">
        <w:rPr>
          <w:lang w:eastAsia="en-AU"/>
        </w:rPr>
        <w:t xml:space="preserve"> of new businesses in the Territory remain</w:t>
      </w:r>
      <w:r w:rsidR="00420D56">
        <w:rPr>
          <w:lang w:eastAsia="en-AU"/>
        </w:rPr>
        <w:t xml:space="preserve"> slightly</w:t>
      </w:r>
      <w:r w:rsidR="00103937">
        <w:rPr>
          <w:lang w:eastAsia="en-AU"/>
        </w:rPr>
        <w:t xml:space="preserve"> below </w:t>
      </w:r>
      <w:r w:rsidR="00420D56">
        <w:rPr>
          <w:lang w:eastAsia="en-AU"/>
        </w:rPr>
        <w:t xml:space="preserve">the </w:t>
      </w:r>
      <w:r w:rsidR="00103937">
        <w:rPr>
          <w:lang w:eastAsia="en-AU"/>
        </w:rPr>
        <w:t xml:space="preserve">national average (Chart 6). </w:t>
      </w:r>
      <w:r w:rsidR="0008436D">
        <w:rPr>
          <w:lang w:eastAsia="en-AU"/>
        </w:rPr>
        <w:t xml:space="preserve">Around 48% of </w:t>
      </w:r>
      <w:r w:rsidR="00103937">
        <w:rPr>
          <w:lang w:eastAsia="en-AU"/>
        </w:rPr>
        <w:t xml:space="preserve">new </w:t>
      </w:r>
      <w:r w:rsidR="0008436D">
        <w:rPr>
          <w:lang w:eastAsia="en-AU"/>
        </w:rPr>
        <w:t xml:space="preserve">Territory </w:t>
      </w:r>
      <w:r w:rsidR="00103937">
        <w:rPr>
          <w:lang w:eastAsia="en-AU"/>
        </w:rPr>
        <w:t xml:space="preserve">businesses </w:t>
      </w:r>
      <w:r w:rsidR="0008436D">
        <w:rPr>
          <w:lang w:eastAsia="en-AU"/>
        </w:rPr>
        <w:t>in 2019</w:t>
      </w:r>
      <w:r w:rsidR="0008436D">
        <w:rPr>
          <w:lang w:eastAsia="en-AU"/>
        </w:rPr>
        <w:noBreakHyphen/>
        <w:t xml:space="preserve">20 </w:t>
      </w:r>
      <w:r w:rsidR="00AF3D28">
        <w:rPr>
          <w:lang w:eastAsia="en-AU"/>
        </w:rPr>
        <w:t>survived</w:t>
      </w:r>
      <w:r w:rsidR="00103937">
        <w:rPr>
          <w:lang w:eastAsia="en-AU"/>
        </w:rPr>
        <w:t xml:space="preserve"> </w:t>
      </w:r>
      <w:r w:rsidR="00FE5EEB">
        <w:rPr>
          <w:lang w:eastAsia="en-AU"/>
        </w:rPr>
        <w:t xml:space="preserve">to </w:t>
      </w:r>
      <w:r w:rsidR="00103937">
        <w:rPr>
          <w:lang w:eastAsia="en-AU"/>
        </w:rPr>
        <w:t>June 2023</w:t>
      </w:r>
      <w:r w:rsidR="0008436D">
        <w:rPr>
          <w:lang w:eastAsia="en-AU"/>
        </w:rPr>
        <w:t>, slightly below the national rate.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9568A1" w14:paraId="202615EE" w14:textId="77777777" w:rsidTr="009568A1">
        <w:tc>
          <w:tcPr>
            <w:tcW w:w="5154" w:type="dxa"/>
          </w:tcPr>
          <w:p w14:paraId="40887D5D" w14:textId="4124C057" w:rsidR="009568A1" w:rsidRPr="009568A1" w:rsidRDefault="009568A1" w:rsidP="009568A1">
            <w:pPr>
              <w:jc w:val="center"/>
              <w:rPr>
                <w:b/>
                <w:lang w:eastAsia="en-AU"/>
              </w:rPr>
            </w:pPr>
            <w:r w:rsidRPr="009568A1">
              <w:rPr>
                <w:b/>
                <w:lang w:eastAsia="en-AU"/>
              </w:rPr>
              <w:t>Chart 5</w:t>
            </w:r>
          </w:p>
        </w:tc>
        <w:tc>
          <w:tcPr>
            <w:tcW w:w="5154" w:type="dxa"/>
          </w:tcPr>
          <w:p w14:paraId="4F3E328C" w14:textId="6246FD7C" w:rsidR="009568A1" w:rsidRPr="009568A1" w:rsidRDefault="009568A1" w:rsidP="009568A1">
            <w:pPr>
              <w:jc w:val="center"/>
              <w:rPr>
                <w:b/>
                <w:lang w:eastAsia="en-AU"/>
              </w:rPr>
            </w:pPr>
            <w:r w:rsidRPr="009568A1">
              <w:rPr>
                <w:b/>
                <w:lang w:eastAsia="en-AU"/>
              </w:rPr>
              <w:t>Chart 6</w:t>
            </w:r>
          </w:p>
        </w:tc>
      </w:tr>
      <w:tr w:rsidR="009568A1" w14:paraId="75D92C07" w14:textId="77777777" w:rsidTr="009568A1">
        <w:tc>
          <w:tcPr>
            <w:tcW w:w="5154" w:type="dxa"/>
          </w:tcPr>
          <w:p w14:paraId="3A699315" w14:textId="0A688B5D" w:rsidR="009568A1" w:rsidRDefault="009568A1" w:rsidP="009568A1">
            <w:pPr>
              <w:jc w:val="center"/>
              <w:rPr>
                <w:b/>
                <w:lang w:eastAsia="en-AU"/>
              </w:rPr>
            </w:pPr>
            <w:r w:rsidRPr="009568A1">
              <w:rPr>
                <w:b/>
                <w:lang w:eastAsia="en-AU"/>
              </w:rPr>
              <w:t>Survival Rates</w:t>
            </w:r>
          </w:p>
          <w:p w14:paraId="7024029B" w14:textId="726A20A9" w:rsidR="003D2DB1" w:rsidRPr="009568A1" w:rsidRDefault="003D2DB1">
            <w:pPr>
              <w:jc w:val="center"/>
              <w:rPr>
                <w:b/>
                <w:lang w:eastAsia="en-AU"/>
              </w:rPr>
            </w:pPr>
            <w:r>
              <w:rPr>
                <w:spacing w:val="-4"/>
                <w:sz w:val="18"/>
                <w:szCs w:val="18"/>
                <w:lang w:eastAsia="en-AU"/>
              </w:rPr>
              <w:t>Business</w:t>
            </w:r>
            <w:r w:rsidR="00420D56">
              <w:rPr>
                <w:spacing w:val="-4"/>
                <w:sz w:val="18"/>
                <w:szCs w:val="18"/>
                <w:lang w:eastAsia="en-AU"/>
              </w:rPr>
              <w:t>es</w:t>
            </w:r>
            <w:r>
              <w:rPr>
                <w:spacing w:val="-4"/>
                <w:sz w:val="18"/>
                <w:szCs w:val="18"/>
                <w:lang w:eastAsia="en-AU"/>
              </w:rPr>
              <w:t xml:space="preserve"> operating </w:t>
            </w:r>
            <w:r w:rsidR="00420D56">
              <w:rPr>
                <w:spacing w:val="-4"/>
                <w:sz w:val="18"/>
                <w:szCs w:val="18"/>
                <w:lang w:eastAsia="en-AU"/>
              </w:rPr>
              <w:t>since four years ago</w:t>
            </w:r>
            <w:r>
              <w:rPr>
                <w:spacing w:val="-4"/>
                <w:sz w:val="18"/>
                <w:szCs w:val="18"/>
                <w:lang w:eastAsia="en-AU"/>
              </w:rPr>
              <w:t xml:space="preserve"> (%)</w:t>
            </w:r>
          </w:p>
        </w:tc>
        <w:tc>
          <w:tcPr>
            <w:tcW w:w="5154" w:type="dxa"/>
          </w:tcPr>
          <w:p w14:paraId="5A816C3B" w14:textId="67B72661" w:rsidR="009568A1" w:rsidRDefault="009568A1" w:rsidP="009568A1">
            <w:pPr>
              <w:jc w:val="center"/>
              <w:rPr>
                <w:b/>
                <w:lang w:eastAsia="en-AU"/>
              </w:rPr>
            </w:pPr>
            <w:r w:rsidRPr="009568A1">
              <w:rPr>
                <w:b/>
                <w:lang w:eastAsia="en-AU"/>
              </w:rPr>
              <w:t>Survival Rates of New Entries</w:t>
            </w:r>
          </w:p>
          <w:p w14:paraId="3084E886" w14:textId="1D0A8014" w:rsidR="003D2DB1" w:rsidRPr="009568A1" w:rsidRDefault="00420D56">
            <w:pPr>
              <w:jc w:val="center"/>
              <w:rPr>
                <w:b/>
                <w:lang w:eastAsia="en-AU"/>
              </w:rPr>
            </w:pPr>
            <w:r>
              <w:rPr>
                <w:spacing w:val="-4"/>
                <w:sz w:val="18"/>
                <w:szCs w:val="18"/>
                <w:lang w:eastAsia="en-AU"/>
              </w:rPr>
              <w:t>B</w:t>
            </w:r>
            <w:r w:rsidR="003D2DB1">
              <w:rPr>
                <w:spacing w:val="-4"/>
                <w:sz w:val="18"/>
                <w:szCs w:val="18"/>
                <w:lang w:eastAsia="en-AU"/>
              </w:rPr>
              <w:t xml:space="preserve">usiness operating </w:t>
            </w:r>
            <w:r>
              <w:rPr>
                <w:spacing w:val="-4"/>
                <w:sz w:val="18"/>
                <w:szCs w:val="18"/>
                <w:lang w:eastAsia="en-AU"/>
              </w:rPr>
              <w:t xml:space="preserve">since entering </w:t>
            </w:r>
            <w:r w:rsidR="0040012D">
              <w:rPr>
                <w:spacing w:val="-4"/>
                <w:sz w:val="18"/>
                <w:szCs w:val="18"/>
                <w:lang w:eastAsia="en-AU"/>
              </w:rPr>
              <w:t>three years ago</w:t>
            </w:r>
            <w:r w:rsidR="003D2DB1">
              <w:rPr>
                <w:spacing w:val="-4"/>
                <w:sz w:val="18"/>
                <w:szCs w:val="18"/>
                <w:lang w:eastAsia="en-AU"/>
              </w:rPr>
              <w:t xml:space="preserve"> (%)</w:t>
            </w:r>
          </w:p>
        </w:tc>
      </w:tr>
      <w:tr w:rsidR="009568A1" w14:paraId="33EC178E" w14:textId="77777777" w:rsidTr="009568A1">
        <w:tc>
          <w:tcPr>
            <w:tcW w:w="5154" w:type="dxa"/>
          </w:tcPr>
          <w:p w14:paraId="277AF019" w14:textId="78484EE5" w:rsidR="009568A1" w:rsidRDefault="00963239" w:rsidP="009568A1">
            <w:pPr>
              <w:jc w:val="center"/>
              <w:rPr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2EC3022" wp14:editId="3B4401F1">
                  <wp:extent cx="2520000" cy="2242800"/>
                  <wp:effectExtent l="0" t="0" r="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24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3259A3C2" w14:textId="0907AA78" w:rsidR="009568A1" w:rsidRDefault="00963239" w:rsidP="009568A1">
            <w:pPr>
              <w:jc w:val="center"/>
              <w:rPr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0680AA4" wp14:editId="2194566A">
                  <wp:extent cx="2520000" cy="2242800"/>
                  <wp:effectExtent l="0" t="0" r="0" b="571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24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34A0B2" w14:textId="62AAD685" w:rsidR="0008436D" w:rsidRPr="00BE3D9E" w:rsidRDefault="0008436D" w:rsidP="00A1391C">
      <w:pPr>
        <w:rPr>
          <w:spacing w:val="-4"/>
          <w:sz w:val="18"/>
          <w:lang w:eastAsia="en-AU"/>
        </w:rPr>
      </w:pPr>
    </w:p>
    <w:sectPr w:rsidR="0008436D" w:rsidRPr="00BE3D9E" w:rsidSect="00BE3D9E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94" w:right="794" w:bottom="794" w:left="794" w:header="794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37582" w14:textId="77777777" w:rsidR="00B45434" w:rsidRDefault="00B45434" w:rsidP="007332FF">
      <w:r>
        <w:separator/>
      </w:r>
    </w:p>
  </w:endnote>
  <w:endnote w:type="continuationSeparator" w:id="0">
    <w:p w14:paraId="59B9E5FE" w14:textId="77777777" w:rsidR="00B45434" w:rsidRDefault="00B45434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B90339C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7ECA6B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CA3FBA">
                <w:rPr>
                  <w:rStyle w:val="PageNumber"/>
                  <w:b/>
                </w:rPr>
                <w:t>Industry, Tourism and Trade</w:t>
              </w:r>
            </w:sdtContent>
          </w:sdt>
        </w:p>
        <w:p w14:paraId="1CC505D7" w14:textId="5AA712C7" w:rsidR="00D47DC7" w:rsidRPr="00CE6614" w:rsidRDefault="00B4543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8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42BC2">
                <w:rPr>
                  <w:rStyle w:val="PageNumber"/>
                </w:rPr>
                <w:t>28 August 2023</w:t>
              </w:r>
            </w:sdtContent>
          </w:sdt>
          <w:r w:rsidR="00CA3FBA">
            <w:rPr>
              <w:rStyle w:val="PageNumber"/>
            </w:rPr>
            <w:t xml:space="preserve"> </w:t>
          </w:r>
        </w:p>
        <w:p w14:paraId="4D7DBB88" w14:textId="5184DC61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436D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436D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618D46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50E9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CBCE184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15BAE306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CA3FBA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3DA411A1" w14:textId="31215139" w:rsidR="00D47DC7" w:rsidRPr="00CE6614" w:rsidRDefault="00B4543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8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42BC2">
                <w:rPr>
                  <w:rStyle w:val="PageNumber"/>
                </w:rPr>
                <w:t>28 August 2023</w:t>
              </w:r>
            </w:sdtContent>
          </w:sdt>
          <w:r w:rsidR="00FB2239">
            <w:rPr>
              <w:rStyle w:val="PageNumber"/>
            </w:rPr>
            <w:t xml:space="preserve"> </w:t>
          </w:r>
        </w:p>
        <w:p w14:paraId="5A452D05" w14:textId="500E61DB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436D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436D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ADD095C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5580B10" wp14:editId="6DAD1357">
                <wp:extent cx="1572479" cy="561600"/>
                <wp:effectExtent l="0" t="0" r="8890" b="0"/>
                <wp:docPr id="24" name="Picture 2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5246FA6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E37C2" w14:textId="77777777" w:rsidR="00B45434" w:rsidRDefault="00B45434" w:rsidP="007332FF">
      <w:r>
        <w:separator/>
      </w:r>
    </w:p>
  </w:footnote>
  <w:footnote w:type="continuationSeparator" w:id="0">
    <w:p w14:paraId="14645637" w14:textId="77777777" w:rsidR="00B45434" w:rsidRDefault="00B45434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BC51" w14:textId="68AB839C" w:rsidR="00983000" w:rsidRPr="00162207" w:rsidRDefault="00B4543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82262">
          <w:t>NT Business Count 2022-23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7332500B" w14:textId="6F0AE4B4" w:rsidR="00E54F9E" w:rsidRDefault="00982262" w:rsidP="00435082">
        <w:pPr>
          <w:pStyle w:val="Title"/>
        </w:pPr>
        <w:r>
          <w:rPr>
            <w:rStyle w:val="TitleChar"/>
          </w:rPr>
          <w:t>NT Business Count 2022-23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83C4E7C"/>
    <w:multiLevelType w:val="hybridMultilevel"/>
    <w:tmpl w:val="43628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80553BD"/>
    <w:multiLevelType w:val="hybridMultilevel"/>
    <w:tmpl w:val="7AC65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67A33B0"/>
    <w:multiLevelType w:val="hybridMultilevel"/>
    <w:tmpl w:val="44BA0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93C0163"/>
    <w:multiLevelType w:val="hybridMultilevel"/>
    <w:tmpl w:val="AED6B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37"/>
  </w:num>
  <w:num w:numId="4">
    <w:abstractNumId w:val="24"/>
  </w:num>
  <w:num w:numId="5">
    <w:abstractNumId w:val="16"/>
  </w:num>
  <w:num w:numId="6">
    <w:abstractNumId w:val="7"/>
  </w:num>
  <w:num w:numId="7">
    <w:abstractNumId w:val="26"/>
  </w:num>
  <w:num w:numId="8">
    <w:abstractNumId w:val="14"/>
  </w:num>
  <w:num w:numId="9">
    <w:abstractNumId w:val="32"/>
  </w:num>
  <w:num w:numId="10">
    <w:abstractNumId w:val="21"/>
  </w:num>
  <w:num w:numId="11">
    <w:abstractNumId w:val="34"/>
  </w:num>
  <w:num w:numId="1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36"/>
    <w:rsid w:val="00001DDF"/>
    <w:rsid w:val="000031C5"/>
    <w:rsid w:val="0000322D"/>
    <w:rsid w:val="00007670"/>
    <w:rsid w:val="00010665"/>
    <w:rsid w:val="0002393A"/>
    <w:rsid w:val="0002782A"/>
    <w:rsid w:val="00027DB8"/>
    <w:rsid w:val="00031A96"/>
    <w:rsid w:val="00040BF3"/>
    <w:rsid w:val="0004211C"/>
    <w:rsid w:val="000440D7"/>
    <w:rsid w:val="00046C59"/>
    <w:rsid w:val="0005069F"/>
    <w:rsid w:val="00051362"/>
    <w:rsid w:val="00051F45"/>
    <w:rsid w:val="00052953"/>
    <w:rsid w:val="0005341A"/>
    <w:rsid w:val="00056DEF"/>
    <w:rsid w:val="00056EDC"/>
    <w:rsid w:val="00060404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436D"/>
    <w:rsid w:val="00085062"/>
    <w:rsid w:val="00086A5F"/>
    <w:rsid w:val="000911EF"/>
    <w:rsid w:val="000962C5"/>
    <w:rsid w:val="00097865"/>
    <w:rsid w:val="000A4317"/>
    <w:rsid w:val="000A559C"/>
    <w:rsid w:val="000B2C6C"/>
    <w:rsid w:val="000B2CA1"/>
    <w:rsid w:val="000B7FAB"/>
    <w:rsid w:val="000D1F29"/>
    <w:rsid w:val="000D633D"/>
    <w:rsid w:val="000E342B"/>
    <w:rsid w:val="000E3ED2"/>
    <w:rsid w:val="000E5DD2"/>
    <w:rsid w:val="000F2958"/>
    <w:rsid w:val="000F3850"/>
    <w:rsid w:val="000F604F"/>
    <w:rsid w:val="0010099E"/>
    <w:rsid w:val="00101F45"/>
    <w:rsid w:val="00103937"/>
    <w:rsid w:val="00104E7F"/>
    <w:rsid w:val="00112CC9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04AD"/>
    <w:rsid w:val="00176123"/>
    <w:rsid w:val="001804FA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4387"/>
    <w:rsid w:val="001D01C4"/>
    <w:rsid w:val="001D2B92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75AD"/>
    <w:rsid w:val="00230031"/>
    <w:rsid w:val="00235C01"/>
    <w:rsid w:val="00247343"/>
    <w:rsid w:val="00252256"/>
    <w:rsid w:val="00265C56"/>
    <w:rsid w:val="00271194"/>
    <w:rsid w:val="002713ED"/>
    <w:rsid w:val="002716CD"/>
    <w:rsid w:val="00274D4B"/>
    <w:rsid w:val="002806F5"/>
    <w:rsid w:val="00281577"/>
    <w:rsid w:val="00287D73"/>
    <w:rsid w:val="002926BC"/>
    <w:rsid w:val="00293A72"/>
    <w:rsid w:val="002A0160"/>
    <w:rsid w:val="002A2CB3"/>
    <w:rsid w:val="002A30C3"/>
    <w:rsid w:val="002A6F6A"/>
    <w:rsid w:val="002A7712"/>
    <w:rsid w:val="002B38F7"/>
    <w:rsid w:val="002B4F50"/>
    <w:rsid w:val="002B5591"/>
    <w:rsid w:val="002B6AA4"/>
    <w:rsid w:val="002C1FE9"/>
    <w:rsid w:val="002D3434"/>
    <w:rsid w:val="002D3A57"/>
    <w:rsid w:val="002D6524"/>
    <w:rsid w:val="002D7D05"/>
    <w:rsid w:val="002E20C8"/>
    <w:rsid w:val="002E32FB"/>
    <w:rsid w:val="002E4290"/>
    <w:rsid w:val="002E66A6"/>
    <w:rsid w:val="002F0DB1"/>
    <w:rsid w:val="002F2885"/>
    <w:rsid w:val="002F3473"/>
    <w:rsid w:val="002F45A1"/>
    <w:rsid w:val="0030203D"/>
    <w:rsid w:val="003037F9"/>
    <w:rsid w:val="0030583E"/>
    <w:rsid w:val="00307FE1"/>
    <w:rsid w:val="003164BA"/>
    <w:rsid w:val="003258E6"/>
    <w:rsid w:val="00325CA6"/>
    <w:rsid w:val="00335329"/>
    <w:rsid w:val="00342283"/>
    <w:rsid w:val="003436DE"/>
    <w:rsid w:val="00343A87"/>
    <w:rsid w:val="00344A36"/>
    <w:rsid w:val="003456F4"/>
    <w:rsid w:val="00347FB6"/>
    <w:rsid w:val="003504FD"/>
    <w:rsid w:val="00350881"/>
    <w:rsid w:val="00357D55"/>
    <w:rsid w:val="00363513"/>
    <w:rsid w:val="003652CD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5FFA"/>
    <w:rsid w:val="003B67FD"/>
    <w:rsid w:val="003B6A61"/>
    <w:rsid w:val="003C186C"/>
    <w:rsid w:val="003C1C4E"/>
    <w:rsid w:val="003C2198"/>
    <w:rsid w:val="003C4875"/>
    <w:rsid w:val="003C4941"/>
    <w:rsid w:val="003D0F63"/>
    <w:rsid w:val="003D2DB1"/>
    <w:rsid w:val="003D42C0"/>
    <w:rsid w:val="003D4A8F"/>
    <w:rsid w:val="003D5B29"/>
    <w:rsid w:val="003D7818"/>
    <w:rsid w:val="003D78CD"/>
    <w:rsid w:val="003E2445"/>
    <w:rsid w:val="003E3BB2"/>
    <w:rsid w:val="003F53F4"/>
    <w:rsid w:val="003F5B58"/>
    <w:rsid w:val="0040012D"/>
    <w:rsid w:val="00401CDC"/>
    <w:rsid w:val="0040222A"/>
    <w:rsid w:val="0040258E"/>
    <w:rsid w:val="004047BC"/>
    <w:rsid w:val="004100F7"/>
    <w:rsid w:val="00414CB3"/>
    <w:rsid w:val="0041563D"/>
    <w:rsid w:val="00420D56"/>
    <w:rsid w:val="00426E25"/>
    <w:rsid w:val="00427D9C"/>
    <w:rsid w:val="00427E20"/>
    <w:rsid w:val="00427E7E"/>
    <w:rsid w:val="00431736"/>
    <w:rsid w:val="0043465D"/>
    <w:rsid w:val="00435082"/>
    <w:rsid w:val="00443B6E"/>
    <w:rsid w:val="00450636"/>
    <w:rsid w:val="0045420A"/>
    <w:rsid w:val="004554D4"/>
    <w:rsid w:val="004611B1"/>
    <w:rsid w:val="00461744"/>
    <w:rsid w:val="00466185"/>
    <w:rsid w:val="00466303"/>
    <w:rsid w:val="0046668B"/>
    <w:rsid w:val="004668A7"/>
    <w:rsid w:val="00466D96"/>
    <w:rsid w:val="00467747"/>
    <w:rsid w:val="00470017"/>
    <w:rsid w:val="00470D42"/>
    <w:rsid w:val="0047105A"/>
    <w:rsid w:val="00473C98"/>
    <w:rsid w:val="00474965"/>
    <w:rsid w:val="00482DF8"/>
    <w:rsid w:val="004864DE"/>
    <w:rsid w:val="00494BE5"/>
    <w:rsid w:val="004A0EBA"/>
    <w:rsid w:val="004A17E5"/>
    <w:rsid w:val="004A2538"/>
    <w:rsid w:val="004A331E"/>
    <w:rsid w:val="004B0C15"/>
    <w:rsid w:val="004B35EA"/>
    <w:rsid w:val="004B5295"/>
    <w:rsid w:val="004B69E4"/>
    <w:rsid w:val="004C1D93"/>
    <w:rsid w:val="004C565A"/>
    <w:rsid w:val="004C6C39"/>
    <w:rsid w:val="004D075F"/>
    <w:rsid w:val="004D1B76"/>
    <w:rsid w:val="004D2022"/>
    <w:rsid w:val="004D221C"/>
    <w:rsid w:val="004D344E"/>
    <w:rsid w:val="004D464A"/>
    <w:rsid w:val="004E019E"/>
    <w:rsid w:val="004E06EC"/>
    <w:rsid w:val="004E0A3F"/>
    <w:rsid w:val="004E2CB7"/>
    <w:rsid w:val="004E4DFD"/>
    <w:rsid w:val="004F016A"/>
    <w:rsid w:val="00500F94"/>
    <w:rsid w:val="00502C6B"/>
    <w:rsid w:val="00502FB3"/>
    <w:rsid w:val="00503DE9"/>
    <w:rsid w:val="0050530C"/>
    <w:rsid w:val="00505DEA"/>
    <w:rsid w:val="00507782"/>
    <w:rsid w:val="00512A04"/>
    <w:rsid w:val="0051645D"/>
    <w:rsid w:val="00520499"/>
    <w:rsid w:val="005249F5"/>
    <w:rsid w:val="00525F33"/>
    <w:rsid w:val="005260F7"/>
    <w:rsid w:val="00543BD1"/>
    <w:rsid w:val="00556113"/>
    <w:rsid w:val="00564C12"/>
    <w:rsid w:val="005654B8"/>
    <w:rsid w:val="00570D94"/>
    <w:rsid w:val="005762CC"/>
    <w:rsid w:val="0057732E"/>
    <w:rsid w:val="005825E2"/>
    <w:rsid w:val="00582D3D"/>
    <w:rsid w:val="005851F5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2EA"/>
    <w:rsid w:val="005B5AC2"/>
    <w:rsid w:val="005C2833"/>
    <w:rsid w:val="005D119E"/>
    <w:rsid w:val="005D1ADE"/>
    <w:rsid w:val="005E144D"/>
    <w:rsid w:val="005E1500"/>
    <w:rsid w:val="005E3A43"/>
    <w:rsid w:val="005F0B17"/>
    <w:rsid w:val="005F6602"/>
    <w:rsid w:val="005F77C7"/>
    <w:rsid w:val="00602479"/>
    <w:rsid w:val="00602D90"/>
    <w:rsid w:val="00614380"/>
    <w:rsid w:val="006143E3"/>
    <w:rsid w:val="00620675"/>
    <w:rsid w:val="00622910"/>
    <w:rsid w:val="006254B6"/>
    <w:rsid w:val="00625FF6"/>
    <w:rsid w:val="00627FC8"/>
    <w:rsid w:val="006306C8"/>
    <w:rsid w:val="0064250A"/>
    <w:rsid w:val="006433C3"/>
    <w:rsid w:val="00650F5B"/>
    <w:rsid w:val="00665AC5"/>
    <w:rsid w:val="006670D7"/>
    <w:rsid w:val="006719EA"/>
    <w:rsid w:val="00671F13"/>
    <w:rsid w:val="0067400A"/>
    <w:rsid w:val="00681298"/>
    <w:rsid w:val="0068384F"/>
    <w:rsid w:val="006847AD"/>
    <w:rsid w:val="0069114B"/>
    <w:rsid w:val="00691358"/>
    <w:rsid w:val="006944C1"/>
    <w:rsid w:val="006A2129"/>
    <w:rsid w:val="006A756A"/>
    <w:rsid w:val="006C0EC2"/>
    <w:rsid w:val="006C4F55"/>
    <w:rsid w:val="006C5433"/>
    <w:rsid w:val="006D66F7"/>
    <w:rsid w:val="006D7029"/>
    <w:rsid w:val="006E1FFF"/>
    <w:rsid w:val="006F1DC9"/>
    <w:rsid w:val="006F35D4"/>
    <w:rsid w:val="007018E7"/>
    <w:rsid w:val="00705C9D"/>
    <w:rsid w:val="00705F13"/>
    <w:rsid w:val="0070624C"/>
    <w:rsid w:val="00713098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367"/>
    <w:rsid w:val="0075157D"/>
    <w:rsid w:val="00755248"/>
    <w:rsid w:val="0076190B"/>
    <w:rsid w:val="0076355D"/>
    <w:rsid w:val="00763A2D"/>
    <w:rsid w:val="007676A4"/>
    <w:rsid w:val="00777795"/>
    <w:rsid w:val="0078141D"/>
    <w:rsid w:val="007837C5"/>
    <w:rsid w:val="00783A57"/>
    <w:rsid w:val="00784C92"/>
    <w:rsid w:val="007859CD"/>
    <w:rsid w:val="00785C24"/>
    <w:rsid w:val="007907E4"/>
    <w:rsid w:val="00794706"/>
    <w:rsid w:val="00796461"/>
    <w:rsid w:val="0079651B"/>
    <w:rsid w:val="00796ED0"/>
    <w:rsid w:val="007A4249"/>
    <w:rsid w:val="007A6938"/>
    <w:rsid w:val="007A6A4F"/>
    <w:rsid w:val="007B03F5"/>
    <w:rsid w:val="007B0DF3"/>
    <w:rsid w:val="007B5C09"/>
    <w:rsid w:val="007B5DA2"/>
    <w:rsid w:val="007B7442"/>
    <w:rsid w:val="007C0966"/>
    <w:rsid w:val="007C19E7"/>
    <w:rsid w:val="007C5CFD"/>
    <w:rsid w:val="007C6D9F"/>
    <w:rsid w:val="007D4893"/>
    <w:rsid w:val="007E06EC"/>
    <w:rsid w:val="007E70CF"/>
    <w:rsid w:val="007E74A4"/>
    <w:rsid w:val="007F1B6F"/>
    <w:rsid w:val="007F263F"/>
    <w:rsid w:val="008015A8"/>
    <w:rsid w:val="0080766E"/>
    <w:rsid w:val="00810343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990"/>
    <w:rsid w:val="00881C48"/>
    <w:rsid w:val="00885B80"/>
    <w:rsid w:val="00885C30"/>
    <w:rsid w:val="00885E9B"/>
    <w:rsid w:val="00890E0D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F2FDD"/>
    <w:rsid w:val="008F66F3"/>
    <w:rsid w:val="00902B13"/>
    <w:rsid w:val="00911941"/>
    <w:rsid w:val="009156E6"/>
    <w:rsid w:val="00916EF3"/>
    <w:rsid w:val="0092024D"/>
    <w:rsid w:val="0092457D"/>
    <w:rsid w:val="00925146"/>
    <w:rsid w:val="00925F0F"/>
    <w:rsid w:val="00932F6B"/>
    <w:rsid w:val="00940E46"/>
    <w:rsid w:val="00942BC2"/>
    <w:rsid w:val="009444F0"/>
    <w:rsid w:val="009468BC"/>
    <w:rsid w:val="00947FAE"/>
    <w:rsid w:val="0095292C"/>
    <w:rsid w:val="009568A1"/>
    <w:rsid w:val="009616DF"/>
    <w:rsid w:val="00963239"/>
    <w:rsid w:val="0096542F"/>
    <w:rsid w:val="00967FA7"/>
    <w:rsid w:val="00971645"/>
    <w:rsid w:val="00973162"/>
    <w:rsid w:val="00977919"/>
    <w:rsid w:val="00981E85"/>
    <w:rsid w:val="00982262"/>
    <w:rsid w:val="00983000"/>
    <w:rsid w:val="009870FA"/>
    <w:rsid w:val="009921C3"/>
    <w:rsid w:val="0099551D"/>
    <w:rsid w:val="009A5897"/>
    <w:rsid w:val="009A5F24"/>
    <w:rsid w:val="009B0B3E"/>
    <w:rsid w:val="009B1913"/>
    <w:rsid w:val="009B23BB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0AB1"/>
    <w:rsid w:val="009F2A4D"/>
    <w:rsid w:val="00A00828"/>
    <w:rsid w:val="00A03290"/>
    <w:rsid w:val="00A0387E"/>
    <w:rsid w:val="00A05BFD"/>
    <w:rsid w:val="00A07490"/>
    <w:rsid w:val="00A10655"/>
    <w:rsid w:val="00A12B64"/>
    <w:rsid w:val="00A1391C"/>
    <w:rsid w:val="00A22C38"/>
    <w:rsid w:val="00A25193"/>
    <w:rsid w:val="00A26E80"/>
    <w:rsid w:val="00A31AE8"/>
    <w:rsid w:val="00A324B5"/>
    <w:rsid w:val="00A3739D"/>
    <w:rsid w:val="00A37DDA"/>
    <w:rsid w:val="00A45005"/>
    <w:rsid w:val="00A567EE"/>
    <w:rsid w:val="00A62164"/>
    <w:rsid w:val="00A704A9"/>
    <w:rsid w:val="00A70DD8"/>
    <w:rsid w:val="00A73651"/>
    <w:rsid w:val="00A76790"/>
    <w:rsid w:val="00A80E24"/>
    <w:rsid w:val="00A80F9A"/>
    <w:rsid w:val="00A85CFC"/>
    <w:rsid w:val="00A85D0C"/>
    <w:rsid w:val="00A87554"/>
    <w:rsid w:val="00A925EC"/>
    <w:rsid w:val="00A929AA"/>
    <w:rsid w:val="00A92B6B"/>
    <w:rsid w:val="00AA541E"/>
    <w:rsid w:val="00AC3F1E"/>
    <w:rsid w:val="00AD0DA4"/>
    <w:rsid w:val="00AD4169"/>
    <w:rsid w:val="00AE25C6"/>
    <w:rsid w:val="00AE306C"/>
    <w:rsid w:val="00AE7F5A"/>
    <w:rsid w:val="00AF0A11"/>
    <w:rsid w:val="00AF28C1"/>
    <w:rsid w:val="00AF3D28"/>
    <w:rsid w:val="00B01F30"/>
    <w:rsid w:val="00B02564"/>
    <w:rsid w:val="00B02EF1"/>
    <w:rsid w:val="00B07C97"/>
    <w:rsid w:val="00B07D5C"/>
    <w:rsid w:val="00B11C67"/>
    <w:rsid w:val="00B12841"/>
    <w:rsid w:val="00B1355F"/>
    <w:rsid w:val="00B14257"/>
    <w:rsid w:val="00B15754"/>
    <w:rsid w:val="00B16002"/>
    <w:rsid w:val="00B2046E"/>
    <w:rsid w:val="00B20E8B"/>
    <w:rsid w:val="00B251B8"/>
    <w:rsid w:val="00B257E1"/>
    <w:rsid w:val="00B2599A"/>
    <w:rsid w:val="00B27AC4"/>
    <w:rsid w:val="00B31F12"/>
    <w:rsid w:val="00B343CC"/>
    <w:rsid w:val="00B35888"/>
    <w:rsid w:val="00B35E6F"/>
    <w:rsid w:val="00B44C12"/>
    <w:rsid w:val="00B45434"/>
    <w:rsid w:val="00B5084A"/>
    <w:rsid w:val="00B51574"/>
    <w:rsid w:val="00B606A1"/>
    <w:rsid w:val="00B614F7"/>
    <w:rsid w:val="00B618FF"/>
    <w:rsid w:val="00B61B26"/>
    <w:rsid w:val="00B65E6B"/>
    <w:rsid w:val="00B675B2"/>
    <w:rsid w:val="00B730DE"/>
    <w:rsid w:val="00B81261"/>
    <w:rsid w:val="00B8223E"/>
    <w:rsid w:val="00B832AE"/>
    <w:rsid w:val="00B86678"/>
    <w:rsid w:val="00B87942"/>
    <w:rsid w:val="00B90DAA"/>
    <w:rsid w:val="00B92F9B"/>
    <w:rsid w:val="00B941B3"/>
    <w:rsid w:val="00B96513"/>
    <w:rsid w:val="00BA1D47"/>
    <w:rsid w:val="00BA21F3"/>
    <w:rsid w:val="00BA496F"/>
    <w:rsid w:val="00BA66F0"/>
    <w:rsid w:val="00BB2239"/>
    <w:rsid w:val="00BB2AE7"/>
    <w:rsid w:val="00BB6464"/>
    <w:rsid w:val="00BC1BB8"/>
    <w:rsid w:val="00BC512B"/>
    <w:rsid w:val="00BD25F5"/>
    <w:rsid w:val="00BD5B07"/>
    <w:rsid w:val="00BD7FE1"/>
    <w:rsid w:val="00BE37CA"/>
    <w:rsid w:val="00BE3D9E"/>
    <w:rsid w:val="00BE6144"/>
    <w:rsid w:val="00BE635A"/>
    <w:rsid w:val="00BE6912"/>
    <w:rsid w:val="00BF17E9"/>
    <w:rsid w:val="00BF2ABB"/>
    <w:rsid w:val="00BF5099"/>
    <w:rsid w:val="00BF6A61"/>
    <w:rsid w:val="00C10B5E"/>
    <w:rsid w:val="00C10F10"/>
    <w:rsid w:val="00C152B4"/>
    <w:rsid w:val="00C15D4D"/>
    <w:rsid w:val="00C164DB"/>
    <w:rsid w:val="00C175DC"/>
    <w:rsid w:val="00C30171"/>
    <w:rsid w:val="00C309D8"/>
    <w:rsid w:val="00C313CB"/>
    <w:rsid w:val="00C339F0"/>
    <w:rsid w:val="00C43519"/>
    <w:rsid w:val="00C45263"/>
    <w:rsid w:val="00C46D4F"/>
    <w:rsid w:val="00C51537"/>
    <w:rsid w:val="00C52BC3"/>
    <w:rsid w:val="00C56E5E"/>
    <w:rsid w:val="00C61AFA"/>
    <w:rsid w:val="00C61D64"/>
    <w:rsid w:val="00C62099"/>
    <w:rsid w:val="00C62A34"/>
    <w:rsid w:val="00C64EA3"/>
    <w:rsid w:val="00C72867"/>
    <w:rsid w:val="00C74D97"/>
    <w:rsid w:val="00C75E81"/>
    <w:rsid w:val="00C83BB6"/>
    <w:rsid w:val="00C8420F"/>
    <w:rsid w:val="00C84CF3"/>
    <w:rsid w:val="00C86609"/>
    <w:rsid w:val="00C92B4C"/>
    <w:rsid w:val="00C954F6"/>
    <w:rsid w:val="00CA2D2D"/>
    <w:rsid w:val="00CA36A0"/>
    <w:rsid w:val="00CA3FBA"/>
    <w:rsid w:val="00CA6BC5"/>
    <w:rsid w:val="00CC0F38"/>
    <w:rsid w:val="00CC3579"/>
    <w:rsid w:val="00CC571B"/>
    <w:rsid w:val="00CC61CD"/>
    <w:rsid w:val="00CC68EA"/>
    <w:rsid w:val="00CC6C02"/>
    <w:rsid w:val="00CC737B"/>
    <w:rsid w:val="00CD5011"/>
    <w:rsid w:val="00CD5100"/>
    <w:rsid w:val="00CE5854"/>
    <w:rsid w:val="00CE640F"/>
    <w:rsid w:val="00CE76BC"/>
    <w:rsid w:val="00CF19A5"/>
    <w:rsid w:val="00CF540E"/>
    <w:rsid w:val="00D02F07"/>
    <w:rsid w:val="00D06732"/>
    <w:rsid w:val="00D15D88"/>
    <w:rsid w:val="00D27D49"/>
    <w:rsid w:val="00D27EBE"/>
    <w:rsid w:val="00D31C2B"/>
    <w:rsid w:val="00D36A49"/>
    <w:rsid w:val="00D4430D"/>
    <w:rsid w:val="00D47DC7"/>
    <w:rsid w:val="00D502F7"/>
    <w:rsid w:val="00D517C6"/>
    <w:rsid w:val="00D52FB5"/>
    <w:rsid w:val="00D56964"/>
    <w:rsid w:val="00D671A8"/>
    <w:rsid w:val="00D71D84"/>
    <w:rsid w:val="00D72464"/>
    <w:rsid w:val="00D72A57"/>
    <w:rsid w:val="00D768EB"/>
    <w:rsid w:val="00D81E17"/>
    <w:rsid w:val="00D82D1E"/>
    <w:rsid w:val="00D832D9"/>
    <w:rsid w:val="00D90F00"/>
    <w:rsid w:val="00D9244F"/>
    <w:rsid w:val="00D9519F"/>
    <w:rsid w:val="00D96804"/>
    <w:rsid w:val="00D975C0"/>
    <w:rsid w:val="00DA5285"/>
    <w:rsid w:val="00DA6778"/>
    <w:rsid w:val="00DB13A0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19EC"/>
    <w:rsid w:val="00DD4E59"/>
    <w:rsid w:val="00DE33B5"/>
    <w:rsid w:val="00DE5E18"/>
    <w:rsid w:val="00DF0487"/>
    <w:rsid w:val="00DF5EA4"/>
    <w:rsid w:val="00E02681"/>
    <w:rsid w:val="00E02792"/>
    <w:rsid w:val="00E034D8"/>
    <w:rsid w:val="00E04007"/>
    <w:rsid w:val="00E04C3E"/>
    <w:rsid w:val="00E04CC0"/>
    <w:rsid w:val="00E05AE3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1E61"/>
    <w:rsid w:val="00E44C89"/>
    <w:rsid w:val="00E457A6"/>
    <w:rsid w:val="00E4687F"/>
    <w:rsid w:val="00E51483"/>
    <w:rsid w:val="00E54F9E"/>
    <w:rsid w:val="00E55BCB"/>
    <w:rsid w:val="00E562DC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4AE0"/>
    <w:rsid w:val="00E956C5"/>
    <w:rsid w:val="00E95C39"/>
    <w:rsid w:val="00EA2B5D"/>
    <w:rsid w:val="00EA2C39"/>
    <w:rsid w:val="00EA63E6"/>
    <w:rsid w:val="00EB0A3C"/>
    <w:rsid w:val="00EB0A96"/>
    <w:rsid w:val="00EB0D0E"/>
    <w:rsid w:val="00EB217D"/>
    <w:rsid w:val="00EB77F9"/>
    <w:rsid w:val="00EC1AC1"/>
    <w:rsid w:val="00EC4C71"/>
    <w:rsid w:val="00EC5769"/>
    <w:rsid w:val="00EC7D00"/>
    <w:rsid w:val="00ED0304"/>
    <w:rsid w:val="00ED048A"/>
    <w:rsid w:val="00ED4FF7"/>
    <w:rsid w:val="00ED5B7B"/>
    <w:rsid w:val="00EE136F"/>
    <w:rsid w:val="00EE38FA"/>
    <w:rsid w:val="00EE3E2C"/>
    <w:rsid w:val="00EE5D23"/>
    <w:rsid w:val="00EE6704"/>
    <w:rsid w:val="00EE750D"/>
    <w:rsid w:val="00EF3CA4"/>
    <w:rsid w:val="00EF49A8"/>
    <w:rsid w:val="00EF7859"/>
    <w:rsid w:val="00F014DA"/>
    <w:rsid w:val="00F02591"/>
    <w:rsid w:val="00F20C5B"/>
    <w:rsid w:val="00F30AE1"/>
    <w:rsid w:val="00F42B8F"/>
    <w:rsid w:val="00F43709"/>
    <w:rsid w:val="00F51898"/>
    <w:rsid w:val="00F5696E"/>
    <w:rsid w:val="00F60EFF"/>
    <w:rsid w:val="00F62BD0"/>
    <w:rsid w:val="00F67D2D"/>
    <w:rsid w:val="00F77C57"/>
    <w:rsid w:val="00F858F2"/>
    <w:rsid w:val="00F860CC"/>
    <w:rsid w:val="00F92D4F"/>
    <w:rsid w:val="00F94398"/>
    <w:rsid w:val="00FA0C72"/>
    <w:rsid w:val="00FB11FA"/>
    <w:rsid w:val="00FB2239"/>
    <w:rsid w:val="00FB2B56"/>
    <w:rsid w:val="00FB4E29"/>
    <w:rsid w:val="00FB55D5"/>
    <w:rsid w:val="00FC12BF"/>
    <w:rsid w:val="00FC2C60"/>
    <w:rsid w:val="00FC2EE8"/>
    <w:rsid w:val="00FD3E6F"/>
    <w:rsid w:val="00FD51B9"/>
    <w:rsid w:val="00FD5849"/>
    <w:rsid w:val="00FE03E4"/>
    <w:rsid w:val="00FE0CEA"/>
    <w:rsid w:val="00FE2A39"/>
    <w:rsid w:val="00FE5EEB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502F0"/>
  <w15:docId w15:val="{84248E8C-52CD-42A8-9BEF-F9AF3CC8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0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69F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69F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2023-08-28T00:00:00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A94163-1ED6-4D69-B2A7-1C1B3615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377</TotalTime>
  <Pages>2</Pages>
  <Words>547</Words>
  <Characters>3261</Characters>
  <Application>Microsoft Office Word</Application>
  <DocSecurity>0</DocSecurity>
  <Lines>163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Business Count 2022-23</vt:lpstr>
    </vt:vector>
  </TitlesOfParts>
  <Company>Industry, Tourism and Trade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Business Count 2022-23</dc:title>
  <dc:creator>Northern Territory Government</dc:creator>
  <cp:lastModifiedBy>Gede Wirnaya</cp:lastModifiedBy>
  <cp:revision>43</cp:revision>
  <cp:lastPrinted>2023-09-05T00:12:00Z</cp:lastPrinted>
  <dcterms:created xsi:type="dcterms:W3CDTF">2023-08-25T00:24:00Z</dcterms:created>
  <dcterms:modified xsi:type="dcterms:W3CDTF">2023-09-05T03:34:00Z</dcterms:modified>
</cp:coreProperties>
</file>