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85763" w14:textId="583D7C11" w:rsidR="00C313CB" w:rsidRDefault="00C8420F" w:rsidP="00C8420F">
      <w:pPr>
        <w:pStyle w:val="Heading1"/>
        <w:spacing w:before="0" w:after="120"/>
        <w:rPr>
          <w:lang w:eastAsia="en-AU"/>
        </w:rPr>
      </w:pPr>
      <w:r>
        <w:rPr>
          <w:lang w:eastAsia="en-AU"/>
        </w:rPr>
        <w:t>Business growth was remarkably strong</w:t>
      </w:r>
      <w:r w:rsidR="00C313CB">
        <w:rPr>
          <w:lang w:eastAsia="en-AU"/>
        </w:rPr>
        <w:t xml:space="preserve"> in FY22…</w:t>
      </w:r>
    </w:p>
    <w:p w14:paraId="499E27E6" w14:textId="69FA2104" w:rsidR="00E4687F" w:rsidRDefault="00E55BCB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>The number of businesses operating in the Territory grew by 5.7 per cent</w:t>
      </w:r>
      <w:r w:rsidR="00E51483">
        <w:rPr>
          <w:spacing w:val="-4"/>
          <w:lang w:eastAsia="en-AU"/>
        </w:rPr>
        <w:t xml:space="preserve"> </w:t>
      </w:r>
      <w:r>
        <w:rPr>
          <w:spacing w:val="-4"/>
          <w:lang w:eastAsia="en-AU"/>
        </w:rPr>
        <w:t xml:space="preserve">in the 2022 financial year, the strongest growth in business numbers since the ABS began publishing </w:t>
      </w:r>
      <w:r w:rsidR="00810343">
        <w:rPr>
          <w:spacing w:val="-4"/>
          <w:lang w:eastAsia="en-AU"/>
        </w:rPr>
        <w:t>the business count release</w:t>
      </w:r>
      <w:r w:rsidR="00A704A9">
        <w:rPr>
          <w:spacing w:val="-4"/>
          <w:lang w:eastAsia="en-AU"/>
        </w:rPr>
        <w:t xml:space="preserve"> (Table 1)</w:t>
      </w:r>
      <w:r>
        <w:rPr>
          <w:spacing w:val="-4"/>
          <w:lang w:eastAsia="en-AU"/>
        </w:rPr>
        <w:t>.</w:t>
      </w:r>
      <w:r w:rsidR="00E4687F">
        <w:rPr>
          <w:spacing w:val="-4"/>
          <w:lang w:eastAsia="en-AU"/>
        </w:rPr>
        <w:t xml:space="preserve"> Nationally, growth in the number of businesses was even stronger, at 7 per cent. Growth was particularly strong among non-employing businesses, which increased by almost 10 per cent (Graph 1).</w:t>
      </w:r>
      <w:r w:rsidR="00E4687F">
        <w:rPr>
          <w:rStyle w:val="FootnoteReference"/>
          <w:spacing w:val="-4"/>
          <w:lang w:eastAsia="en-AU"/>
        </w:rPr>
        <w:footnoteReference w:id="1"/>
      </w:r>
    </w:p>
    <w:p w14:paraId="7BF50F4A" w14:textId="4E6CD0EC" w:rsidR="00D31C2B" w:rsidRDefault="00D31C2B" w:rsidP="00810343">
      <w:pPr>
        <w:jc w:val="both"/>
        <w:rPr>
          <w:spacing w:val="-4"/>
          <w:lang w:eastAsia="en-AU"/>
        </w:rPr>
      </w:pPr>
      <w:r w:rsidRPr="00691358">
        <w:rPr>
          <w:spacing w:val="-4"/>
          <w:lang w:eastAsia="en-AU"/>
        </w:rPr>
        <w:t>Territory businesses represent</w:t>
      </w:r>
      <w:r>
        <w:rPr>
          <w:spacing w:val="-4"/>
          <w:lang w:eastAsia="en-AU"/>
        </w:rPr>
        <w:t xml:space="preserve"> just</w:t>
      </w:r>
      <w:r w:rsidRPr="00691358">
        <w:rPr>
          <w:spacing w:val="-4"/>
          <w:lang w:eastAsia="en-AU"/>
        </w:rPr>
        <w:t xml:space="preserve"> 0.6% of all Austr</w:t>
      </w:r>
      <w:r>
        <w:rPr>
          <w:spacing w:val="-4"/>
          <w:lang w:eastAsia="en-AU"/>
        </w:rPr>
        <w:t>alian businesses, and o</w:t>
      </w:r>
      <w:r w:rsidRPr="00691358" w:rsidDel="00EA63E6">
        <w:rPr>
          <w:spacing w:val="-4"/>
          <w:lang w:eastAsia="en-AU"/>
        </w:rPr>
        <w:t>f the jurisdictions, the Territory has the lowest number of businesses per capita. There are 63 businesses per 1000 people in the Territory, below the national average of 100 bus</w:t>
      </w:r>
      <w:r>
        <w:rPr>
          <w:spacing w:val="-4"/>
          <w:lang w:eastAsia="en-AU"/>
        </w:rPr>
        <w:t>inesses per 1000 people (Graph 2</w:t>
      </w:r>
      <w:r w:rsidRPr="00691358" w:rsidDel="00EA63E6">
        <w:rPr>
          <w:spacing w:val="-4"/>
          <w:lang w:eastAsia="en-AU"/>
        </w:rPr>
        <w:t>).</w:t>
      </w:r>
    </w:p>
    <w:p w14:paraId="7596F360" w14:textId="72FA4E9C" w:rsidR="00A704A9" w:rsidRDefault="00A704A9" w:rsidP="00D31C2B">
      <w:pPr>
        <w:rPr>
          <w:spacing w:val="-4"/>
          <w:lang w:eastAsia="en-AU"/>
        </w:rPr>
      </w:pPr>
      <w:r>
        <w:rPr>
          <w:b/>
        </w:rPr>
        <w:t>Table 1: Business Count</w:t>
      </w:r>
      <w:r w:rsidR="00C313CB">
        <w:rPr>
          <w:b/>
        </w:rPr>
        <w:t>s</w:t>
      </w:r>
    </w:p>
    <w:tbl>
      <w:tblPr>
        <w:tblStyle w:val="NTGtable"/>
        <w:tblW w:w="10242" w:type="dxa"/>
        <w:tblLayout w:type="fixed"/>
        <w:tblLook w:val="04A0" w:firstRow="1" w:lastRow="0" w:firstColumn="1" w:lastColumn="0" w:noHBand="0" w:noVBand="1"/>
      </w:tblPr>
      <w:tblGrid>
        <w:gridCol w:w="1190"/>
        <w:gridCol w:w="1327"/>
        <w:gridCol w:w="1275"/>
        <w:gridCol w:w="1075"/>
        <w:gridCol w:w="1075"/>
        <w:gridCol w:w="1075"/>
        <w:gridCol w:w="1075"/>
        <w:gridCol w:w="1075"/>
        <w:gridCol w:w="1075"/>
      </w:tblGrid>
      <w:tr w:rsidR="00D31C2B" w14:paraId="17A1718C" w14:textId="77777777" w:rsidTr="00C31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19C8572C" w14:textId="77777777" w:rsidR="00A704A9" w:rsidRDefault="00A704A9" w:rsidP="002A3663">
            <w:pPr>
              <w:rPr>
                <w:spacing w:val="-4"/>
              </w:rPr>
            </w:pPr>
          </w:p>
        </w:tc>
        <w:tc>
          <w:tcPr>
            <w:tcW w:w="1259" w:type="dxa"/>
          </w:tcPr>
          <w:p w14:paraId="35C4FC57" w14:textId="77777777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Jun-22</w:t>
            </w:r>
          </w:p>
        </w:tc>
        <w:tc>
          <w:tcPr>
            <w:tcW w:w="1210" w:type="dxa"/>
          </w:tcPr>
          <w:p w14:paraId="611168C6" w14:textId="77777777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Jun-21</w:t>
            </w:r>
          </w:p>
        </w:tc>
        <w:tc>
          <w:tcPr>
            <w:tcW w:w="1021" w:type="dxa"/>
          </w:tcPr>
          <w:p w14:paraId="73ED6598" w14:textId="03378CB3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Change</w:t>
            </w:r>
            <w:r w:rsidR="00C313CB">
              <w:t xml:space="preserve"> (no.)</w:t>
            </w:r>
          </w:p>
        </w:tc>
        <w:tc>
          <w:tcPr>
            <w:tcW w:w="1021" w:type="dxa"/>
          </w:tcPr>
          <w:p w14:paraId="755F671C" w14:textId="27EF03F9" w:rsidR="00A704A9" w:rsidRDefault="00C313CB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>
              <w:t>C</w:t>
            </w:r>
            <w:r w:rsidR="00A704A9">
              <w:t>hange</w:t>
            </w:r>
            <w:r>
              <w:t xml:space="preserve"> (%)</w:t>
            </w:r>
          </w:p>
        </w:tc>
        <w:tc>
          <w:tcPr>
            <w:tcW w:w="1021" w:type="dxa"/>
          </w:tcPr>
          <w:p w14:paraId="680396C7" w14:textId="77777777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Entries</w:t>
            </w:r>
          </w:p>
        </w:tc>
        <w:tc>
          <w:tcPr>
            <w:tcW w:w="1021" w:type="dxa"/>
          </w:tcPr>
          <w:p w14:paraId="6CBC4900" w14:textId="5B01B21A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Entry rate</w:t>
            </w:r>
            <w:r w:rsidR="00D31C2B">
              <w:t xml:space="preserve"> (%)</w:t>
            </w:r>
          </w:p>
        </w:tc>
        <w:tc>
          <w:tcPr>
            <w:tcW w:w="1021" w:type="dxa"/>
          </w:tcPr>
          <w:p w14:paraId="0E4976BF" w14:textId="77777777" w:rsidR="00A704A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Exits</w:t>
            </w:r>
          </w:p>
        </w:tc>
        <w:tc>
          <w:tcPr>
            <w:tcW w:w="1021" w:type="dxa"/>
          </w:tcPr>
          <w:p w14:paraId="335D26AC" w14:textId="42935657" w:rsidR="00A704A9" w:rsidRPr="000D2819" w:rsidRDefault="00A704A9" w:rsidP="00C3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3E38">
              <w:t>Exit rate</w:t>
            </w:r>
            <w:r w:rsidR="00D31C2B">
              <w:t xml:space="preserve"> (%)</w:t>
            </w:r>
          </w:p>
        </w:tc>
      </w:tr>
      <w:tr w:rsidR="00470D42" w14:paraId="357A4738" w14:textId="77777777" w:rsidTr="00C31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8DD244" w14:textId="77777777" w:rsidR="00A704A9" w:rsidRDefault="00A704A9" w:rsidP="002A3663">
            <w:pPr>
              <w:rPr>
                <w:spacing w:val="-4"/>
              </w:rPr>
            </w:pPr>
            <w:r w:rsidRPr="000D2819">
              <w:t>NT</w:t>
            </w:r>
          </w:p>
        </w:tc>
        <w:tc>
          <w:tcPr>
            <w:tcW w:w="1259" w:type="dxa"/>
          </w:tcPr>
          <w:p w14:paraId="06C83C58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15,796</w:t>
            </w:r>
          </w:p>
        </w:tc>
        <w:tc>
          <w:tcPr>
            <w:tcW w:w="1210" w:type="dxa"/>
          </w:tcPr>
          <w:p w14:paraId="4ABFB3F1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14,947</w:t>
            </w:r>
          </w:p>
        </w:tc>
        <w:tc>
          <w:tcPr>
            <w:tcW w:w="1021" w:type="dxa"/>
          </w:tcPr>
          <w:p w14:paraId="3766F254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849</w:t>
            </w:r>
          </w:p>
        </w:tc>
        <w:tc>
          <w:tcPr>
            <w:tcW w:w="1021" w:type="dxa"/>
          </w:tcPr>
          <w:p w14:paraId="036B48D3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5.7</w:t>
            </w:r>
          </w:p>
        </w:tc>
        <w:tc>
          <w:tcPr>
            <w:tcW w:w="1021" w:type="dxa"/>
          </w:tcPr>
          <w:p w14:paraId="45D584FE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2,829</w:t>
            </w:r>
          </w:p>
        </w:tc>
        <w:tc>
          <w:tcPr>
            <w:tcW w:w="1021" w:type="dxa"/>
          </w:tcPr>
          <w:p w14:paraId="2B5BE2E9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18.9</w:t>
            </w:r>
          </w:p>
        </w:tc>
        <w:tc>
          <w:tcPr>
            <w:tcW w:w="1021" w:type="dxa"/>
          </w:tcPr>
          <w:p w14:paraId="7F1CC7ED" w14:textId="77777777" w:rsidR="00A704A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0D2819">
              <w:t>1,918</w:t>
            </w:r>
          </w:p>
        </w:tc>
        <w:tc>
          <w:tcPr>
            <w:tcW w:w="1021" w:type="dxa"/>
          </w:tcPr>
          <w:p w14:paraId="0E2ED3A6" w14:textId="77777777" w:rsidR="00A704A9" w:rsidRPr="000D2819" w:rsidRDefault="00A704A9" w:rsidP="00C3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E38">
              <w:t>12.8</w:t>
            </w:r>
          </w:p>
        </w:tc>
      </w:tr>
      <w:tr w:rsidR="00D31C2B" w14:paraId="7829C9AA" w14:textId="77777777" w:rsidTr="00C313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0B06DD" w14:textId="77777777" w:rsidR="00A704A9" w:rsidRDefault="00A704A9" w:rsidP="002A3663">
            <w:pPr>
              <w:rPr>
                <w:spacing w:val="-4"/>
              </w:rPr>
            </w:pPr>
            <w:r w:rsidRPr="000D2819">
              <w:t xml:space="preserve">Australia </w:t>
            </w:r>
          </w:p>
        </w:tc>
        <w:tc>
          <w:tcPr>
            <w:tcW w:w="1259" w:type="dxa"/>
          </w:tcPr>
          <w:p w14:paraId="551305C1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2,569,900</w:t>
            </w:r>
          </w:p>
        </w:tc>
        <w:tc>
          <w:tcPr>
            <w:tcW w:w="1210" w:type="dxa"/>
          </w:tcPr>
          <w:p w14:paraId="55D0A32A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2,402,254</w:t>
            </w:r>
          </w:p>
        </w:tc>
        <w:tc>
          <w:tcPr>
            <w:tcW w:w="1021" w:type="dxa"/>
          </w:tcPr>
          <w:p w14:paraId="40106B3C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167,646</w:t>
            </w:r>
          </w:p>
        </w:tc>
        <w:tc>
          <w:tcPr>
            <w:tcW w:w="1021" w:type="dxa"/>
          </w:tcPr>
          <w:p w14:paraId="50EEA2A1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7</w:t>
            </w:r>
            <w:r>
              <w:t>.0</w:t>
            </w:r>
          </w:p>
        </w:tc>
        <w:tc>
          <w:tcPr>
            <w:tcW w:w="1021" w:type="dxa"/>
          </w:tcPr>
          <w:p w14:paraId="6DE1DF6A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472,731</w:t>
            </w:r>
          </w:p>
        </w:tc>
        <w:tc>
          <w:tcPr>
            <w:tcW w:w="1021" w:type="dxa"/>
          </w:tcPr>
          <w:p w14:paraId="0D44D90D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19.7</w:t>
            </w:r>
          </w:p>
        </w:tc>
        <w:tc>
          <w:tcPr>
            <w:tcW w:w="1021" w:type="dxa"/>
          </w:tcPr>
          <w:p w14:paraId="25477ECC" w14:textId="77777777" w:rsidR="00A704A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</w:rPr>
            </w:pPr>
            <w:r w:rsidRPr="000D2819">
              <w:t>305,085</w:t>
            </w:r>
          </w:p>
        </w:tc>
        <w:tc>
          <w:tcPr>
            <w:tcW w:w="1021" w:type="dxa"/>
          </w:tcPr>
          <w:p w14:paraId="42D81EFE" w14:textId="77777777" w:rsidR="00A704A9" w:rsidRPr="000D2819" w:rsidRDefault="00A704A9" w:rsidP="00C31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3E38">
              <w:t>12.7</w:t>
            </w:r>
          </w:p>
        </w:tc>
      </w:tr>
    </w:tbl>
    <w:p w14:paraId="09CDA2DA" w14:textId="0FFD4643" w:rsidR="00A704A9" w:rsidRPr="00A704A9" w:rsidRDefault="00A704A9" w:rsidP="00D31C2B">
      <w:pPr>
        <w:spacing w:after="0"/>
        <w:rPr>
          <w:spacing w:val="-4"/>
          <w:lang w:eastAsia="en-AU"/>
        </w:rPr>
      </w:pPr>
    </w:p>
    <w:tbl>
      <w:tblPr>
        <w:tblStyle w:val="NTGtable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5189"/>
        <w:gridCol w:w="5296"/>
      </w:tblGrid>
      <w:tr w:rsidR="00E51483" w14:paraId="79E6CE91" w14:textId="77777777" w:rsidTr="00E51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6" w:type="dxa"/>
          </w:tcPr>
          <w:p w14:paraId="59007309" w14:textId="41E93046" w:rsidR="00E51483" w:rsidRPr="0010099E" w:rsidRDefault="00E51483" w:rsidP="00C313CB">
            <w:pPr>
              <w:pStyle w:val="Caption"/>
              <w:jc w:val="center"/>
              <w:rPr>
                <w:b/>
                <w:sz w:val="22"/>
                <w:szCs w:val="22"/>
              </w:rPr>
            </w:pPr>
            <w:r w:rsidRPr="0010099E">
              <w:rPr>
                <w:b/>
                <w:sz w:val="22"/>
                <w:szCs w:val="22"/>
              </w:rPr>
              <w:t xml:space="preserve">Graph </w:t>
            </w:r>
            <w:r w:rsidRPr="0010099E">
              <w:rPr>
                <w:b/>
                <w:sz w:val="22"/>
                <w:szCs w:val="22"/>
              </w:rPr>
              <w:fldChar w:fldCharType="begin"/>
            </w:r>
            <w:r w:rsidRPr="0010099E">
              <w:rPr>
                <w:b/>
                <w:sz w:val="22"/>
                <w:szCs w:val="22"/>
              </w:rPr>
              <w:instrText xml:space="preserve"> SEQ Chart \* ARABIC </w:instrText>
            </w:r>
            <w:r w:rsidRPr="0010099E">
              <w:rPr>
                <w:b/>
                <w:sz w:val="22"/>
                <w:szCs w:val="22"/>
              </w:rPr>
              <w:fldChar w:fldCharType="separate"/>
            </w:r>
            <w:r w:rsidR="007E06EC">
              <w:rPr>
                <w:b/>
                <w:noProof/>
                <w:sz w:val="22"/>
                <w:szCs w:val="22"/>
              </w:rPr>
              <w:t>1</w:t>
            </w:r>
            <w:r w:rsidRPr="0010099E">
              <w:rPr>
                <w:b/>
                <w:noProof/>
                <w:sz w:val="22"/>
                <w:szCs w:val="22"/>
              </w:rPr>
              <w:fldChar w:fldCharType="end"/>
            </w:r>
          </w:p>
          <w:p w14:paraId="014A0DAB" w14:textId="77777777" w:rsidR="00E51483" w:rsidRDefault="00E51483" w:rsidP="00B60256">
            <w:pPr>
              <w:jc w:val="center"/>
              <w:rPr>
                <w:spacing w:val="-4"/>
              </w:rPr>
            </w:pPr>
            <w:r w:rsidRPr="007B7442">
              <w:rPr>
                <w:noProof/>
                <w:spacing w:val="-4"/>
              </w:rPr>
              <w:drawing>
                <wp:inline distT="0" distB="0" distL="0" distR="0" wp14:anchorId="268F9304" wp14:editId="6D07C5C2">
                  <wp:extent cx="3207434" cy="285840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407" cy="2868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</w:tcPr>
          <w:p w14:paraId="10FB1418" w14:textId="14CBDA9B" w:rsidR="00E51483" w:rsidRPr="0010099E" w:rsidRDefault="00E51483" w:rsidP="00C313CB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10099E">
              <w:rPr>
                <w:b/>
                <w:sz w:val="22"/>
                <w:szCs w:val="22"/>
              </w:rPr>
              <w:t xml:space="preserve">Graph </w:t>
            </w:r>
            <w:r w:rsidRPr="0010099E">
              <w:rPr>
                <w:b/>
                <w:sz w:val="22"/>
                <w:szCs w:val="22"/>
              </w:rPr>
              <w:fldChar w:fldCharType="begin"/>
            </w:r>
            <w:r w:rsidRPr="0010099E">
              <w:rPr>
                <w:b/>
                <w:sz w:val="22"/>
                <w:szCs w:val="22"/>
              </w:rPr>
              <w:instrText xml:space="preserve"> SEQ Chart \* ARABIC </w:instrText>
            </w:r>
            <w:r w:rsidRPr="0010099E">
              <w:rPr>
                <w:b/>
                <w:sz w:val="22"/>
                <w:szCs w:val="22"/>
              </w:rPr>
              <w:fldChar w:fldCharType="separate"/>
            </w:r>
            <w:r w:rsidR="007E06EC">
              <w:rPr>
                <w:b/>
                <w:noProof/>
                <w:sz w:val="22"/>
                <w:szCs w:val="22"/>
              </w:rPr>
              <w:t>2</w:t>
            </w:r>
            <w:r w:rsidRPr="0010099E">
              <w:rPr>
                <w:b/>
                <w:noProof/>
                <w:sz w:val="22"/>
                <w:szCs w:val="22"/>
              </w:rPr>
              <w:fldChar w:fldCharType="end"/>
            </w:r>
          </w:p>
          <w:p w14:paraId="0B3E8E53" w14:textId="2DD39978" w:rsidR="00E51483" w:rsidRDefault="006F35D4" w:rsidP="00B602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6F35D4">
              <w:rPr>
                <w:noProof/>
                <w:spacing w:val="-4"/>
              </w:rPr>
              <w:drawing>
                <wp:inline distT="0" distB="0" distL="0" distR="0" wp14:anchorId="3D2856CA" wp14:editId="419F4D77">
                  <wp:extent cx="3219450" cy="2876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C0ADB" w14:textId="5230B6A9" w:rsidR="00C313CB" w:rsidRDefault="00C313CB" w:rsidP="00C8420F">
      <w:pPr>
        <w:pStyle w:val="Heading1"/>
        <w:spacing w:before="0" w:after="120"/>
        <w:rPr>
          <w:lang w:eastAsia="en-AU"/>
        </w:rPr>
      </w:pPr>
      <w:r>
        <w:rPr>
          <w:lang w:eastAsia="en-AU"/>
        </w:rPr>
        <w:t>…as a res</w:t>
      </w:r>
      <w:r w:rsidR="00C8420F">
        <w:rPr>
          <w:lang w:eastAsia="en-AU"/>
        </w:rPr>
        <w:t>ult of record numbers of business entries</w:t>
      </w:r>
    </w:p>
    <w:p w14:paraId="5BA2BFC5" w14:textId="2D15EC4A" w:rsidR="00E51483" w:rsidRDefault="00E51483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 xml:space="preserve">Both nationally and in the Territory, the increase in </w:t>
      </w:r>
      <w:r w:rsidR="00D9244F">
        <w:rPr>
          <w:spacing w:val="-4"/>
          <w:lang w:eastAsia="en-AU"/>
        </w:rPr>
        <w:t>business numbers</w:t>
      </w:r>
      <w:r>
        <w:rPr>
          <w:spacing w:val="-4"/>
          <w:lang w:eastAsia="en-AU"/>
        </w:rPr>
        <w:t xml:space="preserve"> was </w:t>
      </w:r>
      <w:r w:rsidR="00D9244F">
        <w:rPr>
          <w:spacing w:val="-4"/>
          <w:lang w:eastAsia="en-AU"/>
        </w:rPr>
        <w:t>driven</w:t>
      </w:r>
      <w:r w:rsidR="00B35888">
        <w:rPr>
          <w:spacing w:val="-4"/>
          <w:lang w:eastAsia="en-AU"/>
        </w:rPr>
        <w:t xml:space="preserve"> by</w:t>
      </w:r>
      <w:r w:rsidR="00D9244F">
        <w:rPr>
          <w:spacing w:val="-4"/>
          <w:lang w:eastAsia="en-AU"/>
        </w:rPr>
        <w:t xml:space="preserve"> record</w:t>
      </w:r>
      <w:r>
        <w:rPr>
          <w:spacing w:val="-4"/>
          <w:lang w:eastAsia="en-AU"/>
        </w:rPr>
        <w:t xml:space="preserve"> business entry rates</w:t>
      </w:r>
      <w:r w:rsidR="00D9244F">
        <w:rPr>
          <w:spacing w:val="-4"/>
          <w:lang w:eastAsia="en-AU"/>
        </w:rPr>
        <w:t>. B</w:t>
      </w:r>
      <w:r>
        <w:rPr>
          <w:spacing w:val="-4"/>
          <w:lang w:eastAsia="en-AU"/>
        </w:rPr>
        <w:t xml:space="preserve">usiness exit rates remained </w:t>
      </w:r>
      <w:r w:rsidR="00D9244F">
        <w:rPr>
          <w:spacing w:val="-4"/>
          <w:lang w:eastAsia="en-AU"/>
        </w:rPr>
        <w:t>at similar levels to the past five years</w:t>
      </w:r>
      <w:r>
        <w:rPr>
          <w:spacing w:val="-4"/>
          <w:lang w:eastAsia="en-AU"/>
        </w:rPr>
        <w:t xml:space="preserve"> (</w:t>
      </w:r>
      <w:r w:rsidR="0092457D">
        <w:rPr>
          <w:spacing w:val="-4"/>
          <w:lang w:eastAsia="en-AU"/>
        </w:rPr>
        <w:t>Graph</w:t>
      </w:r>
      <w:r>
        <w:rPr>
          <w:spacing w:val="-4"/>
          <w:lang w:eastAsia="en-AU"/>
        </w:rPr>
        <w:t xml:space="preserve"> </w:t>
      </w:r>
      <w:r w:rsidR="00A704A9">
        <w:rPr>
          <w:spacing w:val="-4"/>
          <w:lang w:eastAsia="en-AU"/>
        </w:rPr>
        <w:t>3</w:t>
      </w:r>
      <w:r>
        <w:rPr>
          <w:spacing w:val="-4"/>
          <w:lang w:eastAsia="en-AU"/>
        </w:rPr>
        <w:t>).</w:t>
      </w:r>
      <w:r w:rsidR="0092457D">
        <w:rPr>
          <w:spacing w:val="-4"/>
          <w:lang w:eastAsia="en-AU"/>
        </w:rPr>
        <w:t xml:space="preserve"> Quarterly data show that business entries in the Territory were reasonably consistent throughout the year.</w:t>
      </w:r>
    </w:p>
    <w:p w14:paraId="2BB0F6D3" w14:textId="2B68D6F2" w:rsidR="00E51483" w:rsidRDefault="0092457D" w:rsidP="00810343">
      <w:pPr>
        <w:jc w:val="both"/>
        <w:rPr>
          <w:spacing w:val="-4"/>
          <w:lang w:eastAsia="en-AU"/>
        </w:rPr>
      </w:pPr>
      <w:r>
        <w:rPr>
          <w:spacing w:val="-4"/>
          <w:lang w:eastAsia="en-AU"/>
        </w:rPr>
        <w:t xml:space="preserve">By industry </w:t>
      </w:r>
      <w:r w:rsidRPr="00691358">
        <w:rPr>
          <w:spacing w:val="-4"/>
          <w:lang w:eastAsia="en-AU"/>
        </w:rPr>
        <w:t>the biggest contributors to growth</w:t>
      </w:r>
      <w:r>
        <w:rPr>
          <w:spacing w:val="-4"/>
          <w:lang w:eastAsia="en-AU"/>
        </w:rPr>
        <w:t xml:space="preserve"> in business entries</w:t>
      </w:r>
      <w:r w:rsidRPr="00691358">
        <w:rPr>
          <w:spacing w:val="-4"/>
          <w:lang w:eastAsia="en-AU"/>
        </w:rPr>
        <w:t xml:space="preserve"> nationally </w:t>
      </w:r>
      <w:r>
        <w:rPr>
          <w:spacing w:val="-4"/>
          <w:lang w:eastAsia="en-AU"/>
        </w:rPr>
        <w:t>were</w:t>
      </w:r>
      <w:r w:rsidRPr="00691358">
        <w:rPr>
          <w:spacing w:val="-4"/>
          <w:lang w:eastAsia="en-AU"/>
        </w:rPr>
        <w:t xml:space="preserve"> the construction a</w:t>
      </w:r>
      <w:r>
        <w:rPr>
          <w:spacing w:val="-4"/>
          <w:lang w:eastAsia="en-AU"/>
        </w:rPr>
        <w:t xml:space="preserve">nd transport industries (Graph </w:t>
      </w:r>
      <w:r w:rsidR="00A704A9">
        <w:rPr>
          <w:spacing w:val="-4"/>
          <w:lang w:eastAsia="en-AU"/>
        </w:rPr>
        <w:t>4</w:t>
      </w:r>
      <w:r w:rsidRPr="00691358">
        <w:rPr>
          <w:spacing w:val="-4"/>
          <w:lang w:eastAsia="en-AU"/>
        </w:rPr>
        <w:t>).</w:t>
      </w:r>
      <w:r>
        <w:rPr>
          <w:spacing w:val="-4"/>
          <w:lang w:eastAsia="en-AU"/>
        </w:rPr>
        <w:t xml:space="preserve"> Growth in the construction industry reflects the significant fiscal support directed to that </w:t>
      </w:r>
      <w:r>
        <w:rPr>
          <w:spacing w:val="-4"/>
          <w:lang w:eastAsia="en-AU"/>
        </w:rPr>
        <w:lastRenderedPageBreak/>
        <w:t xml:space="preserve">industry through initiatives such as </w:t>
      </w:r>
      <w:r w:rsidRPr="00691358">
        <w:rPr>
          <w:spacing w:val="-4"/>
          <w:lang w:eastAsia="en-AU"/>
        </w:rPr>
        <w:t>Homebuilder</w:t>
      </w:r>
      <w:r>
        <w:rPr>
          <w:spacing w:val="-4"/>
          <w:lang w:eastAsia="en-AU"/>
        </w:rPr>
        <w:t>,</w:t>
      </w:r>
      <w:r w:rsidRPr="00691358">
        <w:rPr>
          <w:spacing w:val="-4"/>
          <w:lang w:eastAsia="en-AU"/>
        </w:rPr>
        <w:t xml:space="preserve"> </w:t>
      </w:r>
      <w:r>
        <w:rPr>
          <w:spacing w:val="-4"/>
          <w:lang w:eastAsia="en-AU"/>
        </w:rPr>
        <w:t>and the associated increase in construction activity. The removal of most COVID-19 restrictions by December 2021 supported an increase in demand for transportation and delivery drivers, many of whom are required to have ABNs as gig economy workers.</w:t>
      </w:r>
    </w:p>
    <w:tbl>
      <w:tblPr>
        <w:tblStyle w:val="NTG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226"/>
      </w:tblGrid>
      <w:tr w:rsidR="0092457D" w14:paraId="05801C1A" w14:textId="77777777" w:rsidTr="00100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4" w:type="dxa"/>
            <w:shd w:val="clear" w:color="auto" w:fill="auto"/>
          </w:tcPr>
          <w:p w14:paraId="39A8F39F" w14:textId="49DE139A" w:rsidR="00B12841" w:rsidRDefault="0010099E" w:rsidP="0010099E">
            <w:pPr>
              <w:jc w:val="center"/>
              <w:rPr>
                <w:noProof/>
                <w:spacing w:val="-4"/>
              </w:rPr>
            </w:pPr>
            <w:r>
              <w:rPr>
                <w:noProof/>
                <w:spacing w:val="-4"/>
              </w:rPr>
              <w:t>Graph 3</w:t>
            </w:r>
          </w:p>
          <w:p w14:paraId="433E05D9" w14:textId="5A8BA0E9" w:rsidR="0092457D" w:rsidRDefault="0092457D" w:rsidP="00E51483">
            <w:pPr>
              <w:rPr>
                <w:spacing w:val="-4"/>
              </w:rPr>
            </w:pPr>
            <w:r w:rsidRPr="006143E3">
              <w:rPr>
                <w:noProof/>
                <w:spacing w:val="-4"/>
              </w:rPr>
              <w:drawing>
                <wp:inline distT="0" distB="0" distL="0" distR="0" wp14:anchorId="2FDADCBD" wp14:editId="7A531DE4">
                  <wp:extent cx="2952130" cy="2820572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69" cy="282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  <w:shd w:val="clear" w:color="auto" w:fill="auto"/>
          </w:tcPr>
          <w:p w14:paraId="402F7323" w14:textId="4C7A2563" w:rsidR="0010099E" w:rsidRDefault="0010099E" w:rsidP="001009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pacing w:val="-4"/>
              </w:rPr>
            </w:pPr>
            <w:r>
              <w:rPr>
                <w:noProof/>
                <w:spacing w:val="-4"/>
              </w:rPr>
              <w:t>Graph 4</w:t>
            </w:r>
          </w:p>
          <w:p w14:paraId="3D7325DB" w14:textId="3FA88CD4" w:rsidR="0092457D" w:rsidRDefault="0092457D" w:rsidP="00E514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</w:rPr>
            </w:pPr>
            <w:r w:rsidRPr="00335329">
              <w:rPr>
                <w:noProof/>
                <w:spacing w:val="-4"/>
              </w:rPr>
              <w:drawing>
                <wp:inline distT="0" distB="0" distL="0" distR="0" wp14:anchorId="5D328712" wp14:editId="7674B5F2">
                  <wp:extent cx="3172264" cy="2774349"/>
                  <wp:effectExtent l="0" t="0" r="9525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161" cy="278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8CA5B" w14:textId="30602154" w:rsidR="00C8420F" w:rsidRDefault="00C8420F" w:rsidP="00C8420F">
      <w:pPr>
        <w:pStyle w:val="Heading1"/>
        <w:spacing w:before="0" w:after="120"/>
        <w:rPr>
          <w:lang w:eastAsia="en-AU"/>
        </w:rPr>
      </w:pPr>
      <w:r>
        <w:rPr>
          <w:lang w:eastAsia="en-AU"/>
        </w:rPr>
        <w:t>Survival rates in the Territory increased slightly</w:t>
      </w:r>
    </w:p>
    <w:p w14:paraId="62430875" w14:textId="6F5A5B98" w:rsidR="00E562DC" w:rsidRPr="00E562DC" w:rsidRDefault="00B12841" w:rsidP="00810343">
      <w:pPr>
        <w:jc w:val="both"/>
        <w:rPr>
          <w:rFonts w:eastAsia="Times New Roman" w:cs="Calibri"/>
          <w:color w:val="000000"/>
          <w:lang w:eastAsia="en-AU"/>
        </w:rPr>
      </w:pPr>
      <w:r>
        <w:rPr>
          <w:spacing w:val="-4"/>
          <w:lang w:eastAsia="en-AU"/>
        </w:rPr>
        <w:t>S</w:t>
      </w:r>
      <w:r w:rsidR="00EB0D0E">
        <w:rPr>
          <w:spacing w:val="-4"/>
          <w:lang w:eastAsia="en-AU"/>
        </w:rPr>
        <w:t>urvival rate</w:t>
      </w:r>
      <w:r>
        <w:rPr>
          <w:spacing w:val="-4"/>
          <w:lang w:eastAsia="en-AU"/>
        </w:rPr>
        <w:t>s</w:t>
      </w:r>
      <w:r w:rsidR="00EB0D0E">
        <w:rPr>
          <w:spacing w:val="-4"/>
          <w:lang w:eastAsia="en-AU"/>
        </w:rPr>
        <w:t xml:space="preserve"> of </w:t>
      </w:r>
      <w:r>
        <w:rPr>
          <w:spacing w:val="-4"/>
          <w:lang w:eastAsia="en-AU"/>
        </w:rPr>
        <w:t>T</w:t>
      </w:r>
      <w:r w:rsidR="00EB0D0E">
        <w:rPr>
          <w:spacing w:val="-4"/>
          <w:lang w:eastAsia="en-AU"/>
        </w:rPr>
        <w:t>erritory businesses increased in 2021-22</w:t>
      </w:r>
      <w:r>
        <w:rPr>
          <w:spacing w:val="-4"/>
          <w:lang w:eastAsia="en-AU"/>
        </w:rPr>
        <w:t>, and now slightly exceed national averages</w:t>
      </w:r>
      <w:r w:rsidR="00CA2D2D">
        <w:rPr>
          <w:spacing w:val="-4"/>
          <w:lang w:eastAsia="en-AU"/>
        </w:rPr>
        <w:t>.</w:t>
      </w:r>
      <w:r w:rsidR="00EB0D0E">
        <w:rPr>
          <w:spacing w:val="-4"/>
          <w:lang w:eastAsia="en-AU"/>
        </w:rPr>
        <w:t xml:space="preserve"> </w:t>
      </w:r>
      <w:r w:rsidR="00CA2D2D">
        <w:rPr>
          <w:spacing w:val="-4"/>
          <w:lang w:eastAsia="en-AU"/>
        </w:rPr>
        <w:t>O</w:t>
      </w:r>
      <w:r w:rsidR="00EB0D0E" w:rsidRPr="00CC3579">
        <w:rPr>
          <w:spacing w:val="-4"/>
          <w:lang w:eastAsia="en-AU"/>
        </w:rPr>
        <w:t>f all the Territory businesses operating in June 2018, 87.6% survived to June 2019, 78.4% survived to June 2020, 71.5% survived until June 2021, and 65.7% survived until June 2022. (</w:t>
      </w:r>
      <w:r w:rsidR="0092457D">
        <w:rPr>
          <w:spacing w:val="-4"/>
          <w:lang w:eastAsia="en-AU"/>
        </w:rPr>
        <w:t>Graph</w:t>
      </w:r>
      <w:r w:rsidR="00EB0D0E" w:rsidRPr="00CC3579">
        <w:rPr>
          <w:spacing w:val="-4"/>
          <w:lang w:eastAsia="en-AU"/>
        </w:rPr>
        <w:t xml:space="preserve"> 5)</w:t>
      </w:r>
      <w:r w:rsidR="00EB0D0E">
        <w:rPr>
          <w:spacing w:val="-4"/>
          <w:lang w:eastAsia="en-AU"/>
        </w:rPr>
        <w:t>.</w:t>
      </w:r>
      <w:r>
        <w:rPr>
          <w:spacing w:val="-4"/>
          <w:lang w:eastAsia="en-AU"/>
        </w:rPr>
        <w:t xml:space="preserve"> </w:t>
      </w:r>
      <w:r w:rsidR="00EB0D0E">
        <w:rPr>
          <w:spacing w:val="-4"/>
          <w:lang w:eastAsia="en-AU"/>
        </w:rPr>
        <w:t>However</w:t>
      </w:r>
      <w:r>
        <w:rPr>
          <w:spacing w:val="-4"/>
          <w:lang w:eastAsia="en-AU"/>
        </w:rPr>
        <w:t>,</w:t>
      </w:r>
      <w:r w:rsidR="00EB0D0E">
        <w:rPr>
          <w:spacing w:val="-4"/>
          <w:lang w:eastAsia="en-AU"/>
        </w:rPr>
        <w:t xml:space="preserve"> survival rate</w:t>
      </w:r>
      <w:r>
        <w:rPr>
          <w:spacing w:val="-4"/>
          <w:lang w:eastAsia="en-AU"/>
        </w:rPr>
        <w:t>s</w:t>
      </w:r>
      <w:r w:rsidR="00EB0D0E">
        <w:rPr>
          <w:spacing w:val="-4"/>
          <w:lang w:eastAsia="en-AU"/>
        </w:rPr>
        <w:t xml:space="preserve"> of new entries </w:t>
      </w:r>
      <w:r>
        <w:rPr>
          <w:spacing w:val="-4"/>
          <w:lang w:eastAsia="en-AU"/>
        </w:rPr>
        <w:t xml:space="preserve">remain </w:t>
      </w:r>
      <w:r w:rsidR="00EB0D0E">
        <w:rPr>
          <w:spacing w:val="-4"/>
          <w:lang w:eastAsia="en-AU"/>
        </w:rPr>
        <w:t>below national average</w:t>
      </w:r>
      <w:r>
        <w:rPr>
          <w:spacing w:val="-4"/>
          <w:lang w:eastAsia="en-AU"/>
        </w:rPr>
        <w:t>s</w:t>
      </w:r>
      <w:r w:rsidR="00EB0D0E">
        <w:rPr>
          <w:spacing w:val="-4"/>
          <w:lang w:eastAsia="en-AU"/>
        </w:rPr>
        <w:t xml:space="preserve"> </w:t>
      </w:r>
      <w:r w:rsidR="00EB0D0E" w:rsidRPr="00CC3579">
        <w:rPr>
          <w:spacing w:val="-4"/>
          <w:lang w:eastAsia="en-AU"/>
        </w:rPr>
        <w:t>(</w:t>
      </w:r>
      <w:r w:rsidR="0092457D">
        <w:rPr>
          <w:spacing w:val="-4"/>
          <w:lang w:eastAsia="en-AU"/>
        </w:rPr>
        <w:t>Graph</w:t>
      </w:r>
      <w:r w:rsidR="00EB0D0E" w:rsidRPr="00CC3579">
        <w:rPr>
          <w:spacing w:val="-4"/>
          <w:lang w:eastAsia="en-AU"/>
        </w:rPr>
        <w:t xml:space="preserve"> 6).</w:t>
      </w:r>
      <w:r w:rsidR="00EB0D0E">
        <w:rPr>
          <w:spacing w:val="-4"/>
          <w:lang w:eastAsia="en-AU"/>
        </w:rPr>
        <w:t xml:space="preserve"> </w:t>
      </w:r>
      <w:r>
        <w:rPr>
          <w:spacing w:val="-4"/>
          <w:lang w:eastAsia="en-AU"/>
        </w:rPr>
        <w:t>T</w:t>
      </w:r>
      <w:r w:rsidR="00E562DC">
        <w:rPr>
          <w:rFonts w:eastAsia="Times New Roman" w:cs="Calibri"/>
          <w:color w:val="000000"/>
          <w:spacing w:val="-4"/>
          <w:lang w:eastAsia="en-AU"/>
        </w:rPr>
        <w:t>he</w:t>
      </w:r>
      <w:r w:rsidR="00E562DC" w:rsidRPr="00E562DC">
        <w:rPr>
          <w:rFonts w:eastAsia="Times New Roman" w:cs="Calibri"/>
          <w:color w:val="000000"/>
          <w:spacing w:val="-4"/>
          <w:lang w:eastAsia="en-AU"/>
        </w:rPr>
        <w:t xml:space="preserve"> gap between </w:t>
      </w:r>
      <w:r>
        <w:rPr>
          <w:rFonts w:eastAsia="Times New Roman" w:cs="Calibri"/>
          <w:color w:val="000000"/>
          <w:spacing w:val="-4"/>
          <w:lang w:eastAsia="en-AU"/>
        </w:rPr>
        <w:t xml:space="preserve">the </w:t>
      </w:r>
      <w:r w:rsidR="00E562DC" w:rsidRPr="00E562DC">
        <w:rPr>
          <w:rFonts w:eastAsia="Times New Roman" w:cs="Calibri"/>
          <w:color w:val="000000"/>
          <w:spacing w:val="-4"/>
          <w:lang w:eastAsia="en-AU"/>
        </w:rPr>
        <w:t xml:space="preserve">survival rates </w:t>
      </w:r>
      <w:r>
        <w:rPr>
          <w:rFonts w:eastAsia="Times New Roman" w:cs="Calibri"/>
          <w:color w:val="000000"/>
          <w:spacing w:val="-4"/>
          <w:lang w:eastAsia="en-AU"/>
        </w:rPr>
        <w:t>of existing and new</w:t>
      </w:r>
      <w:r w:rsidR="00E562DC" w:rsidRPr="00E562DC">
        <w:rPr>
          <w:rFonts w:eastAsia="Times New Roman" w:cs="Calibri"/>
          <w:color w:val="000000"/>
          <w:spacing w:val="-4"/>
          <w:lang w:eastAsia="en-AU"/>
        </w:rPr>
        <w:t xml:space="preserve"> businesses </w:t>
      </w:r>
      <w:r w:rsidR="00E562DC">
        <w:rPr>
          <w:rFonts w:eastAsia="Times New Roman" w:cs="Calibri"/>
          <w:color w:val="000000"/>
          <w:spacing w:val="-4"/>
          <w:lang w:eastAsia="en-AU"/>
        </w:rPr>
        <w:t xml:space="preserve">in the Territory </w:t>
      </w:r>
      <w:r>
        <w:rPr>
          <w:rFonts w:eastAsia="Times New Roman" w:cs="Calibri"/>
          <w:color w:val="000000"/>
          <w:spacing w:val="-4"/>
          <w:lang w:eastAsia="en-AU"/>
        </w:rPr>
        <w:t xml:space="preserve">has increased </w:t>
      </w:r>
      <w:r w:rsidR="00E562DC" w:rsidRPr="00E562DC">
        <w:rPr>
          <w:rFonts w:eastAsia="Times New Roman" w:cs="Calibri"/>
          <w:color w:val="000000"/>
          <w:spacing w:val="-4"/>
          <w:lang w:eastAsia="en-AU"/>
        </w:rPr>
        <w:t>in recent years.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149"/>
        <w:gridCol w:w="5135"/>
      </w:tblGrid>
      <w:tr w:rsidR="00525F33" w:rsidRPr="006143E3" w14:paraId="09167FA2" w14:textId="77777777" w:rsidTr="00CA3FBA">
        <w:trPr>
          <w:trHeight w:val="4045"/>
        </w:trPr>
        <w:tc>
          <w:tcPr>
            <w:tcW w:w="5149" w:type="dxa"/>
          </w:tcPr>
          <w:p w14:paraId="6429E6F9" w14:textId="5BBCDA4C" w:rsidR="004B5295" w:rsidRPr="0010099E" w:rsidRDefault="0092457D" w:rsidP="00881990">
            <w:pPr>
              <w:pStyle w:val="Caption"/>
              <w:keepNext/>
              <w:jc w:val="center"/>
              <w:rPr>
                <w:b/>
                <w:spacing w:val="-4"/>
                <w:sz w:val="22"/>
                <w:szCs w:val="22"/>
              </w:rPr>
            </w:pPr>
            <w:r w:rsidRPr="0010099E">
              <w:rPr>
                <w:b/>
                <w:spacing w:val="-4"/>
                <w:sz w:val="22"/>
                <w:szCs w:val="22"/>
              </w:rPr>
              <w:t>Graph</w:t>
            </w:r>
            <w:r w:rsidR="004B5295" w:rsidRPr="0010099E">
              <w:rPr>
                <w:b/>
                <w:spacing w:val="-4"/>
                <w:sz w:val="22"/>
                <w:szCs w:val="22"/>
              </w:rPr>
              <w:t xml:space="preserve"> </w:t>
            </w:r>
            <w:r w:rsidR="0051645D">
              <w:rPr>
                <w:b/>
                <w:spacing w:val="-4"/>
                <w:sz w:val="22"/>
                <w:szCs w:val="22"/>
              </w:rPr>
              <w:t>5</w:t>
            </w:r>
          </w:p>
          <w:p w14:paraId="368EBC31" w14:textId="77777777" w:rsidR="000B7FAB" w:rsidRPr="006143E3" w:rsidRDefault="003652CD" w:rsidP="00881990">
            <w:pPr>
              <w:jc w:val="center"/>
              <w:rPr>
                <w:spacing w:val="-4"/>
                <w:lang w:eastAsia="en-AU"/>
              </w:rPr>
            </w:pPr>
            <w:r w:rsidRPr="006143E3">
              <w:rPr>
                <w:noProof/>
                <w:spacing w:val="-4"/>
                <w:lang w:eastAsia="en-AU"/>
              </w:rPr>
              <w:drawing>
                <wp:inline distT="0" distB="0" distL="0" distR="0" wp14:anchorId="7A77A47C" wp14:editId="7898A3D9">
                  <wp:extent cx="3060000" cy="2700000"/>
                  <wp:effectExtent l="0" t="0" r="762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</w:tcPr>
          <w:p w14:paraId="6CF4DEDC" w14:textId="39B2B92D" w:rsidR="000B7FAB" w:rsidRPr="006143E3" w:rsidRDefault="0092457D" w:rsidP="0051645D">
            <w:pPr>
              <w:pStyle w:val="Caption"/>
              <w:keepNext/>
              <w:jc w:val="center"/>
              <w:rPr>
                <w:spacing w:val="-4"/>
                <w:lang w:eastAsia="en-AU"/>
              </w:rPr>
            </w:pPr>
            <w:r w:rsidRPr="0010099E">
              <w:rPr>
                <w:b/>
                <w:spacing w:val="-4"/>
                <w:sz w:val="22"/>
                <w:szCs w:val="22"/>
              </w:rPr>
              <w:t>Graph</w:t>
            </w:r>
            <w:r w:rsidR="003652CD" w:rsidRPr="0010099E">
              <w:rPr>
                <w:b/>
                <w:spacing w:val="-4"/>
                <w:sz w:val="22"/>
                <w:szCs w:val="22"/>
              </w:rPr>
              <w:t xml:space="preserve"> </w:t>
            </w:r>
            <w:r w:rsidR="0051645D">
              <w:rPr>
                <w:b/>
                <w:spacing w:val="-4"/>
                <w:sz w:val="22"/>
                <w:szCs w:val="22"/>
              </w:rPr>
              <w:t>6</w:t>
            </w:r>
            <w:bookmarkStart w:id="0" w:name="_GoBack"/>
            <w:bookmarkEnd w:id="0"/>
            <w:r w:rsidR="003652CD" w:rsidRPr="006143E3">
              <w:rPr>
                <w:noProof/>
                <w:spacing w:val="-4"/>
                <w:lang w:eastAsia="en-AU"/>
              </w:rPr>
              <w:drawing>
                <wp:inline distT="0" distB="0" distL="0" distR="0" wp14:anchorId="7BCE63B8" wp14:editId="37D4925D">
                  <wp:extent cx="2891195" cy="250005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864" cy="251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B17EF" w14:textId="77777777" w:rsidR="00D06732" w:rsidRPr="006143E3" w:rsidRDefault="00D06732" w:rsidP="00A1391C">
      <w:pPr>
        <w:rPr>
          <w:spacing w:val="-4"/>
          <w:lang w:eastAsia="en-AU"/>
        </w:rPr>
      </w:pPr>
    </w:p>
    <w:sectPr w:rsidR="00D06732" w:rsidRPr="006143E3" w:rsidSect="00A567E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184DB" w14:textId="77777777" w:rsidR="00431736" w:rsidRDefault="00431736" w:rsidP="007332FF">
      <w:r>
        <w:separator/>
      </w:r>
    </w:p>
  </w:endnote>
  <w:endnote w:type="continuationSeparator" w:id="0">
    <w:p w14:paraId="03CAE2CA" w14:textId="77777777" w:rsidR="00431736" w:rsidRDefault="0043173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B90339C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7ECA6B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A3FBA">
                <w:rPr>
                  <w:rStyle w:val="PageNumber"/>
                  <w:b/>
                </w:rPr>
                <w:t>Industry, Tourism and Trade</w:t>
              </w:r>
            </w:sdtContent>
          </w:sdt>
        </w:p>
        <w:p w14:paraId="1CC505D7" w14:textId="5D2300AB" w:rsidR="00D47DC7" w:rsidRPr="00CE6614" w:rsidRDefault="007E06E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10343">
                <w:rPr>
                  <w:rStyle w:val="PageNumber"/>
                </w:rPr>
                <w:t>20 September 2022</w:t>
              </w:r>
            </w:sdtContent>
          </w:sdt>
          <w:r w:rsidR="00CA3FBA">
            <w:rPr>
              <w:rStyle w:val="PageNumber"/>
            </w:rPr>
            <w:t xml:space="preserve"> </w:t>
          </w:r>
        </w:p>
        <w:p w14:paraId="4D7DBB88" w14:textId="21023693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E06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E06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618D46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50E9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BCE184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5BAE306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A3FBA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DA411A1" w14:textId="55E0BD9E" w:rsidR="00D47DC7" w:rsidRPr="00CE6614" w:rsidRDefault="007E06E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10343">
                <w:rPr>
                  <w:rStyle w:val="PageNumber"/>
                </w:rPr>
                <w:t>20 September 2022</w:t>
              </w:r>
            </w:sdtContent>
          </w:sdt>
          <w:r w:rsidR="00FB2239">
            <w:rPr>
              <w:rStyle w:val="PageNumber"/>
            </w:rPr>
            <w:t xml:space="preserve"> </w:t>
          </w:r>
        </w:p>
        <w:p w14:paraId="5A452D05" w14:textId="6060A681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E06E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E06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ADD095C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5580B10" wp14:editId="6DAD1357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5246FA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142D0" w14:textId="77777777" w:rsidR="00431736" w:rsidRDefault="00431736" w:rsidP="007332FF">
      <w:r>
        <w:separator/>
      </w:r>
    </w:p>
  </w:footnote>
  <w:footnote w:type="continuationSeparator" w:id="0">
    <w:p w14:paraId="14082B98" w14:textId="77777777" w:rsidR="00431736" w:rsidRDefault="00431736" w:rsidP="007332FF">
      <w:r>
        <w:continuationSeparator/>
      </w:r>
    </w:p>
  </w:footnote>
  <w:footnote w:id="1">
    <w:p w14:paraId="31495CE6" w14:textId="32918914" w:rsidR="00E4687F" w:rsidRDefault="00E4687F">
      <w:pPr>
        <w:pStyle w:val="FootnoteText"/>
      </w:pPr>
      <w:r>
        <w:rPr>
          <w:rStyle w:val="FootnoteReference"/>
        </w:rPr>
        <w:footnoteRef/>
      </w:r>
      <w:r>
        <w:t xml:space="preserve"> Detailed data on Territory businesses (by industry, turnover, number of employees, and location) will be released in December.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C51" w14:textId="77777777" w:rsidR="00983000" w:rsidRPr="00162207" w:rsidRDefault="007E06E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1736">
          <w:t>NT Business Count 2021-22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7332500B" w14:textId="77777777" w:rsidR="00E54F9E" w:rsidRDefault="00431736" w:rsidP="00435082">
        <w:pPr>
          <w:pStyle w:val="Title"/>
        </w:pPr>
        <w:r>
          <w:rPr>
            <w:rStyle w:val="TitleChar"/>
          </w:rPr>
          <w:t>NT Business Count 2021-22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83C4E7C"/>
    <w:multiLevelType w:val="hybridMultilevel"/>
    <w:tmpl w:val="436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80553BD"/>
    <w:multiLevelType w:val="hybridMultilevel"/>
    <w:tmpl w:val="7AC6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67A33B0"/>
    <w:multiLevelType w:val="hybridMultilevel"/>
    <w:tmpl w:val="44BA0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93C0163"/>
    <w:multiLevelType w:val="hybridMultilevel"/>
    <w:tmpl w:val="AED6B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7"/>
  </w:num>
  <w:num w:numId="4">
    <w:abstractNumId w:val="24"/>
  </w:num>
  <w:num w:numId="5">
    <w:abstractNumId w:val="16"/>
  </w:num>
  <w:num w:numId="6">
    <w:abstractNumId w:val="7"/>
  </w:num>
  <w:num w:numId="7">
    <w:abstractNumId w:val="26"/>
  </w:num>
  <w:num w:numId="8">
    <w:abstractNumId w:val="14"/>
  </w:num>
  <w:num w:numId="9">
    <w:abstractNumId w:val="32"/>
  </w:num>
  <w:num w:numId="10">
    <w:abstractNumId w:val="21"/>
  </w:num>
  <w:num w:numId="11">
    <w:abstractNumId w:val="34"/>
  </w:num>
  <w:num w:numId="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36"/>
    <w:rsid w:val="00001DDF"/>
    <w:rsid w:val="000031C5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069F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B7FAB"/>
    <w:rsid w:val="000D1F29"/>
    <w:rsid w:val="000D633D"/>
    <w:rsid w:val="000E342B"/>
    <w:rsid w:val="000E3ED2"/>
    <w:rsid w:val="000E5DD2"/>
    <w:rsid w:val="000F2958"/>
    <w:rsid w:val="000F3850"/>
    <w:rsid w:val="000F604F"/>
    <w:rsid w:val="0010099E"/>
    <w:rsid w:val="00101F45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04AD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4387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75AD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2CB3"/>
    <w:rsid w:val="002A30C3"/>
    <w:rsid w:val="002A6F6A"/>
    <w:rsid w:val="002A7712"/>
    <w:rsid w:val="002B38F7"/>
    <w:rsid w:val="002B4F50"/>
    <w:rsid w:val="002B5591"/>
    <w:rsid w:val="002B6AA4"/>
    <w:rsid w:val="002C1FE9"/>
    <w:rsid w:val="002D3434"/>
    <w:rsid w:val="002D3A57"/>
    <w:rsid w:val="002D6524"/>
    <w:rsid w:val="002D7D05"/>
    <w:rsid w:val="002E20C8"/>
    <w:rsid w:val="002E4290"/>
    <w:rsid w:val="002E66A6"/>
    <w:rsid w:val="002F0DB1"/>
    <w:rsid w:val="002F2885"/>
    <w:rsid w:val="002F3473"/>
    <w:rsid w:val="002F45A1"/>
    <w:rsid w:val="0030203D"/>
    <w:rsid w:val="003037F9"/>
    <w:rsid w:val="0030583E"/>
    <w:rsid w:val="00307FE1"/>
    <w:rsid w:val="003164BA"/>
    <w:rsid w:val="003258E6"/>
    <w:rsid w:val="00325CA6"/>
    <w:rsid w:val="00335329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2CD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875"/>
    <w:rsid w:val="003C4941"/>
    <w:rsid w:val="003D0F63"/>
    <w:rsid w:val="003D42C0"/>
    <w:rsid w:val="003D4A8F"/>
    <w:rsid w:val="003D5B29"/>
    <w:rsid w:val="003D7818"/>
    <w:rsid w:val="003D78CD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20"/>
    <w:rsid w:val="00427E7E"/>
    <w:rsid w:val="00431736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0D42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5295"/>
    <w:rsid w:val="004B69E4"/>
    <w:rsid w:val="004C565A"/>
    <w:rsid w:val="004C6C39"/>
    <w:rsid w:val="004D075F"/>
    <w:rsid w:val="004D1B76"/>
    <w:rsid w:val="004D2022"/>
    <w:rsid w:val="004D344E"/>
    <w:rsid w:val="004D464A"/>
    <w:rsid w:val="004E019E"/>
    <w:rsid w:val="004E06EC"/>
    <w:rsid w:val="004E0A3F"/>
    <w:rsid w:val="004E2CB7"/>
    <w:rsid w:val="004E4DFD"/>
    <w:rsid w:val="004F016A"/>
    <w:rsid w:val="00500F94"/>
    <w:rsid w:val="00502C6B"/>
    <w:rsid w:val="00502FB3"/>
    <w:rsid w:val="00503DE9"/>
    <w:rsid w:val="0050530C"/>
    <w:rsid w:val="00505DEA"/>
    <w:rsid w:val="00507782"/>
    <w:rsid w:val="00512A04"/>
    <w:rsid w:val="0051645D"/>
    <w:rsid w:val="00520499"/>
    <w:rsid w:val="005249F5"/>
    <w:rsid w:val="00525F33"/>
    <w:rsid w:val="005260F7"/>
    <w:rsid w:val="00543BD1"/>
    <w:rsid w:val="00556113"/>
    <w:rsid w:val="00564C12"/>
    <w:rsid w:val="005654B8"/>
    <w:rsid w:val="00570D94"/>
    <w:rsid w:val="005762CC"/>
    <w:rsid w:val="0057732E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2EA"/>
    <w:rsid w:val="005B5AC2"/>
    <w:rsid w:val="005C2833"/>
    <w:rsid w:val="005E144D"/>
    <w:rsid w:val="005E1500"/>
    <w:rsid w:val="005E3A43"/>
    <w:rsid w:val="005F0B17"/>
    <w:rsid w:val="005F6602"/>
    <w:rsid w:val="005F77C7"/>
    <w:rsid w:val="00602479"/>
    <w:rsid w:val="00614380"/>
    <w:rsid w:val="006143E3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1358"/>
    <w:rsid w:val="006944C1"/>
    <w:rsid w:val="006A756A"/>
    <w:rsid w:val="006C0EC2"/>
    <w:rsid w:val="006D66F7"/>
    <w:rsid w:val="006E1FFF"/>
    <w:rsid w:val="006F35D4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157D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4706"/>
    <w:rsid w:val="00796461"/>
    <w:rsid w:val="0079651B"/>
    <w:rsid w:val="007A4249"/>
    <w:rsid w:val="007A6938"/>
    <w:rsid w:val="007A6A4F"/>
    <w:rsid w:val="007B03F5"/>
    <w:rsid w:val="007B5C09"/>
    <w:rsid w:val="007B5DA2"/>
    <w:rsid w:val="007B7442"/>
    <w:rsid w:val="007C0966"/>
    <w:rsid w:val="007C19E7"/>
    <w:rsid w:val="007C5CFD"/>
    <w:rsid w:val="007C6D9F"/>
    <w:rsid w:val="007D4893"/>
    <w:rsid w:val="007E06EC"/>
    <w:rsid w:val="007E70CF"/>
    <w:rsid w:val="007E74A4"/>
    <w:rsid w:val="007F1B6F"/>
    <w:rsid w:val="007F263F"/>
    <w:rsid w:val="008015A8"/>
    <w:rsid w:val="0080766E"/>
    <w:rsid w:val="00810343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990"/>
    <w:rsid w:val="00881C48"/>
    <w:rsid w:val="00885B80"/>
    <w:rsid w:val="00885C30"/>
    <w:rsid w:val="00885E9B"/>
    <w:rsid w:val="00890E0D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2FDD"/>
    <w:rsid w:val="00902B13"/>
    <w:rsid w:val="00911941"/>
    <w:rsid w:val="009156E6"/>
    <w:rsid w:val="0092024D"/>
    <w:rsid w:val="0092457D"/>
    <w:rsid w:val="00925146"/>
    <w:rsid w:val="00925F0F"/>
    <w:rsid w:val="00932F6B"/>
    <w:rsid w:val="00940E46"/>
    <w:rsid w:val="009444F0"/>
    <w:rsid w:val="009468BC"/>
    <w:rsid w:val="00947FAE"/>
    <w:rsid w:val="0095292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391C"/>
    <w:rsid w:val="00A22C38"/>
    <w:rsid w:val="00A25193"/>
    <w:rsid w:val="00A26E80"/>
    <w:rsid w:val="00A31AE8"/>
    <w:rsid w:val="00A3739D"/>
    <w:rsid w:val="00A37DDA"/>
    <w:rsid w:val="00A45005"/>
    <w:rsid w:val="00A567EE"/>
    <w:rsid w:val="00A704A9"/>
    <w:rsid w:val="00A70DD8"/>
    <w:rsid w:val="00A76790"/>
    <w:rsid w:val="00A80E24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0A11"/>
    <w:rsid w:val="00AF28C1"/>
    <w:rsid w:val="00B02EF1"/>
    <w:rsid w:val="00B07C97"/>
    <w:rsid w:val="00B07D5C"/>
    <w:rsid w:val="00B11C67"/>
    <w:rsid w:val="00B12841"/>
    <w:rsid w:val="00B1355F"/>
    <w:rsid w:val="00B14257"/>
    <w:rsid w:val="00B15754"/>
    <w:rsid w:val="00B16002"/>
    <w:rsid w:val="00B2046E"/>
    <w:rsid w:val="00B20E8B"/>
    <w:rsid w:val="00B257E1"/>
    <w:rsid w:val="00B2599A"/>
    <w:rsid w:val="00B27AC4"/>
    <w:rsid w:val="00B31F12"/>
    <w:rsid w:val="00B343CC"/>
    <w:rsid w:val="00B35888"/>
    <w:rsid w:val="00B5084A"/>
    <w:rsid w:val="00B51574"/>
    <w:rsid w:val="00B606A1"/>
    <w:rsid w:val="00B614F7"/>
    <w:rsid w:val="00B61B26"/>
    <w:rsid w:val="00B65E6B"/>
    <w:rsid w:val="00B675B2"/>
    <w:rsid w:val="00B730DE"/>
    <w:rsid w:val="00B81261"/>
    <w:rsid w:val="00B8223E"/>
    <w:rsid w:val="00B832AE"/>
    <w:rsid w:val="00B86678"/>
    <w:rsid w:val="00B92F9B"/>
    <w:rsid w:val="00B941B3"/>
    <w:rsid w:val="00B96513"/>
    <w:rsid w:val="00BA1D47"/>
    <w:rsid w:val="00BA21F3"/>
    <w:rsid w:val="00BA66F0"/>
    <w:rsid w:val="00BB2239"/>
    <w:rsid w:val="00BB2AE7"/>
    <w:rsid w:val="00BB6464"/>
    <w:rsid w:val="00BC1BB8"/>
    <w:rsid w:val="00BC512B"/>
    <w:rsid w:val="00BD5B07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13CB"/>
    <w:rsid w:val="00C339F0"/>
    <w:rsid w:val="00C43519"/>
    <w:rsid w:val="00C45263"/>
    <w:rsid w:val="00C46D4F"/>
    <w:rsid w:val="00C51537"/>
    <w:rsid w:val="00C52BC3"/>
    <w:rsid w:val="00C61AFA"/>
    <w:rsid w:val="00C61D64"/>
    <w:rsid w:val="00C62099"/>
    <w:rsid w:val="00C62A34"/>
    <w:rsid w:val="00C64EA3"/>
    <w:rsid w:val="00C72867"/>
    <w:rsid w:val="00C74D97"/>
    <w:rsid w:val="00C75E81"/>
    <w:rsid w:val="00C83BB6"/>
    <w:rsid w:val="00C8420F"/>
    <w:rsid w:val="00C84CF3"/>
    <w:rsid w:val="00C86609"/>
    <w:rsid w:val="00C92B4C"/>
    <w:rsid w:val="00C954F6"/>
    <w:rsid w:val="00CA2D2D"/>
    <w:rsid w:val="00CA36A0"/>
    <w:rsid w:val="00CA3FBA"/>
    <w:rsid w:val="00CA6BC5"/>
    <w:rsid w:val="00CC3579"/>
    <w:rsid w:val="00CC571B"/>
    <w:rsid w:val="00CC61CD"/>
    <w:rsid w:val="00CC68EA"/>
    <w:rsid w:val="00CC6C02"/>
    <w:rsid w:val="00CC737B"/>
    <w:rsid w:val="00CD5011"/>
    <w:rsid w:val="00CD5100"/>
    <w:rsid w:val="00CE640F"/>
    <w:rsid w:val="00CE76BC"/>
    <w:rsid w:val="00CF19A5"/>
    <w:rsid w:val="00CF540E"/>
    <w:rsid w:val="00D02F07"/>
    <w:rsid w:val="00D06732"/>
    <w:rsid w:val="00D15D88"/>
    <w:rsid w:val="00D27D49"/>
    <w:rsid w:val="00D27EBE"/>
    <w:rsid w:val="00D31C2B"/>
    <w:rsid w:val="00D36A49"/>
    <w:rsid w:val="00D4430D"/>
    <w:rsid w:val="00D47DC7"/>
    <w:rsid w:val="00D517C6"/>
    <w:rsid w:val="00D52FB5"/>
    <w:rsid w:val="00D56964"/>
    <w:rsid w:val="00D671A8"/>
    <w:rsid w:val="00D71D84"/>
    <w:rsid w:val="00D72464"/>
    <w:rsid w:val="00D72A57"/>
    <w:rsid w:val="00D768EB"/>
    <w:rsid w:val="00D81E17"/>
    <w:rsid w:val="00D82D1E"/>
    <w:rsid w:val="00D832D9"/>
    <w:rsid w:val="00D90F00"/>
    <w:rsid w:val="00D9244F"/>
    <w:rsid w:val="00D96804"/>
    <w:rsid w:val="00D975C0"/>
    <w:rsid w:val="00DA5285"/>
    <w:rsid w:val="00DB13A0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1E61"/>
    <w:rsid w:val="00E44C89"/>
    <w:rsid w:val="00E457A6"/>
    <w:rsid w:val="00E4687F"/>
    <w:rsid w:val="00E51483"/>
    <w:rsid w:val="00E54F9E"/>
    <w:rsid w:val="00E55BCB"/>
    <w:rsid w:val="00E562DC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A63E6"/>
    <w:rsid w:val="00EB0A3C"/>
    <w:rsid w:val="00EB0A96"/>
    <w:rsid w:val="00EB0D0E"/>
    <w:rsid w:val="00EB217D"/>
    <w:rsid w:val="00EB77F9"/>
    <w:rsid w:val="00EC1AC1"/>
    <w:rsid w:val="00EC5769"/>
    <w:rsid w:val="00EC7D00"/>
    <w:rsid w:val="00ED0304"/>
    <w:rsid w:val="00ED048A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0C5B"/>
    <w:rsid w:val="00F30AE1"/>
    <w:rsid w:val="00F51898"/>
    <w:rsid w:val="00F5696E"/>
    <w:rsid w:val="00F60EFF"/>
    <w:rsid w:val="00F62BD0"/>
    <w:rsid w:val="00F67D2D"/>
    <w:rsid w:val="00F77C57"/>
    <w:rsid w:val="00F858F2"/>
    <w:rsid w:val="00F860CC"/>
    <w:rsid w:val="00F94398"/>
    <w:rsid w:val="00FA0C72"/>
    <w:rsid w:val="00FB11FA"/>
    <w:rsid w:val="00FB2239"/>
    <w:rsid w:val="00FB2B56"/>
    <w:rsid w:val="00FB4E29"/>
    <w:rsid w:val="00FB55D5"/>
    <w:rsid w:val="00FC12BF"/>
    <w:rsid w:val="00FC2C60"/>
    <w:rsid w:val="00FC2EE8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5502F0"/>
  <w15:docId w15:val="{84248E8C-52CD-42A8-9BEF-F9AF3CC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69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69F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3407A7-42F7-4A07-B4AF-9289D0EF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186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Count 2021-22</vt:lpstr>
    </vt:vector>
  </TitlesOfParts>
  <Company>Industry, Tourism and Trade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Count 2021-22</dc:title>
  <dc:creator>Northern Territory Government</dc:creator>
  <cp:lastModifiedBy>Brendan Russell</cp:lastModifiedBy>
  <cp:revision>15</cp:revision>
  <cp:lastPrinted>2022-09-20T22:42:00Z</cp:lastPrinted>
  <dcterms:created xsi:type="dcterms:W3CDTF">2022-09-16T05:14:00Z</dcterms:created>
  <dcterms:modified xsi:type="dcterms:W3CDTF">2022-09-20T22:42:00Z</dcterms:modified>
</cp:coreProperties>
</file>