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DE367" w14:textId="77777777" w:rsidR="00AC0916" w:rsidRPr="006C4494" w:rsidRDefault="00AC0916" w:rsidP="00AC0916">
      <w:pPr>
        <w:tabs>
          <w:tab w:val="left" w:pos="4253"/>
        </w:tabs>
        <w:spacing w:line="240" w:lineRule="auto"/>
        <w:rPr>
          <w:sz w:val="20"/>
        </w:rPr>
      </w:pPr>
      <w:r w:rsidRPr="006C4494">
        <w:rPr>
          <w:rFonts w:ascii="Arial" w:hAnsi="Arial" w:cs="Arial"/>
          <w:b/>
          <w:i/>
          <w:color w:val="C45911" w:themeColor="accent2" w:themeShade="BF"/>
          <w:sz w:val="40"/>
        </w:rPr>
        <w:t>EconNotes</w:t>
      </w:r>
    </w:p>
    <w:p w14:paraId="4020DAEC" w14:textId="77777777" w:rsidR="00AC0916" w:rsidRPr="00AC0916" w:rsidRDefault="00AC0916" w:rsidP="00AC0916">
      <w:pPr>
        <w:tabs>
          <w:tab w:val="left" w:pos="4253"/>
        </w:tabs>
        <w:spacing w:after="0" w:line="360" w:lineRule="auto"/>
        <w:jc w:val="center"/>
        <w:rPr>
          <w:rFonts w:ascii="Arial" w:hAnsi="Arial" w:cs="Arial"/>
          <w:b/>
          <w:sz w:val="20"/>
          <w:szCs w:val="20"/>
        </w:rPr>
      </w:pPr>
    </w:p>
    <w:p w14:paraId="4EBDD829" w14:textId="28F5B141" w:rsidR="00DD3C90" w:rsidRPr="00EF1451" w:rsidRDefault="00DD3C90" w:rsidP="006F5841">
      <w:pPr>
        <w:tabs>
          <w:tab w:val="left" w:pos="4253"/>
        </w:tabs>
        <w:spacing w:line="360" w:lineRule="auto"/>
        <w:jc w:val="center"/>
        <w:rPr>
          <w:rFonts w:ascii="Arial" w:hAnsi="Arial" w:cs="Arial"/>
          <w:b/>
          <w:sz w:val="36"/>
          <w:szCs w:val="44"/>
        </w:rPr>
      </w:pPr>
      <w:r w:rsidRPr="00EF1451">
        <w:rPr>
          <w:rFonts w:ascii="Arial" w:hAnsi="Arial" w:cs="Arial"/>
          <w:b/>
          <w:sz w:val="36"/>
          <w:szCs w:val="44"/>
        </w:rPr>
        <w:t>NT business count, entries and exits, 2021</w:t>
      </w:r>
      <w:r w:rsidR="00EF1451" w:rsidRPr="00EF1451">
        <w:rPr>
          <w:rFonts w:ascii="Arial" w:hAnsi="Arial" w:cs="Arial"/>
          <w:b/>
          <w:sz w:val="36"/>
          <w:szCs w:val="44"/>
        </w:rPr>
        <w:t xml:space="preserve"> – PART A</w:t>
      </w:r>
    </w:p>
    <w:p w14:paraId="641A7EC0" w14:textId="77777777" w:rsidR="00DD3C90" w:rsidRPr="00A5465B" w:rsidRDefault="00DD3C90" w:rsidP="006F5841">
      <w:pPr>
        <w:spacing w:line="360" w:lineRule="auto"/>
        <w:jc w:val="both"/>
        <w:rPr>
          <w:rFonts w:ascii="Arial" w:hAnsi="Arial" w:cs="Arial"/>
          <w:b/>
        </w:rPr>
      </w:pPr>
      <w:r w:rsidRPr="00A5465B">
        <w:rPr>
          <w:rFonts w:ascii="Arial" w:hAnsi="Arial" w:cs="Arial"/>
          <w:b/>
        </w:rPr>
        <w:t>1. Introduction</w:t>
      </w:r>
    </w:p>
    <w:p w14:paraId="5507C558"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 xml:space="preserve">In 2021, unlike releases in previous years, the Australian Bureau of Statistics releases the annual </w:t>
      </w:r>
      <w:r w:rsidRPr="006C331D">
        <w:rPr>
          <w:rFonts w:ascii="Arial" w:hAnsi="Arial" w:cs="Arial"/>
          <w:i/>
        </w:rPr>
        <w:t>Count of Australian Businesses, including entries and exits 2020-21</w:t>
      </w:r>
      <w:r w:rsidRPr="00EF1451">
        <w:rPr>
          <w:rFonts w:ascii="Arial" w:hAnsi="Arial" w:cs="Arial"/>
        </w:rPr>
        <w:t xml:space="preserve"> in two lots.</w:t>
      </w:r>
    </w:p>
    <w:p w14:paraId="262A9E08"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The first set of data was released on 24 August 2021. This contains macro-level counts of actively trading businesses, rates of entry to and exit from the market sector of the economy, and rates of business survival at the Australia and state/territory levels. Quarterly experimental counts of Australian businesses for the five quarters ending June 2021, have also been included in this release.</w:t>
      </w:r>
    </w:p>
    <w:p w14:paraId="054DF2F9" w14:textId="4BFD634F" w:rsidR="00DD3C90" w:rsidRPr="00755B9E"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The second release is scheduled in December 2021. This will include more detailed business count data (business size, turnover, business by industry at state/territory level and regional data) and the interactive maps.</w:t>
      </w:r>
    </w:p>
    <w:p w14:paraId="1A6EE6AB" w14:textId="77777777" w:rsidR="00DD3C90" w:rsidRPr="00755B9E" w:rsidRDefault="00DD3C90" w:rsidP="006F5841">
      <w:pPr>
        <w:spacing w:line="360" w:lineRule="auto"/>
        <w:jc w:val="both"/>
        <w:rPr>
          <w:rFonts w:ascii="Arial" w:hAnsi="Arial" w:cs="Arial"/>
          <w:b/>
          <w:sz w:val="24"/>
        </w:rPr>
      </w:pPr>
      <w:r w:rsidRPr="00755B9E">
        <w:rPr>
          <w:rFonts w:ascii="Arial" w:hAnsi="Arial" w:cs="Arial"/>
          <w:b/>
        </w:rPr>
        <w:t xml:space="preserve">2. </w:t>
      </w:r>
      <w:r w:rsidRPr="00755B9E">
        <w:rPr>
          <w:rFonts w:ascii="Arial" w:hAnsi="Arial" w:cs="Arial"/>
          <w:b/>
          <w:sz w:val="24"/>
        </w:rPr>
        <w:t>Business counts 2021</w:t>
      </w:r>
    </w:p>
    <w:p w14:paraId="1D3F282A"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There were 14 947 actively trading businesses in the Territory as at June 2021, an increase of 407 (2.8%) compared to June 2020 (Chart 1). At the national level, there were 2 402 254 actively trading businesses, an increase of 3.8% (Fig.1).</w:t>
      </w:r>
    </w:p>
    <w:p w14:paraId="1AF49CC4"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The quarterly data for the five quarters from June 2020 to June 2021 show that the Territory business count fell in the December quarter 2020 but registered positive growth in all other quarters.</w:t>
      </w:r>
    </w:p>
    <w:p w14:paraId="352EC5F3"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The Territory businesses represent about 0.6% of the total Australian businesses.</w:t>
      </w:r>
    </w:p>
    <w:p w14:paraId="5E6CBE56"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In 2020-21, there were 2257 business entries (entry rate of 15.5%), and 1792 business exits (exit rate of 12.3%). The business exit rate in the Territory was marginally lower than the exit rate in the previous year. The business entry rate, on the other hand, increased by 5 percentage points from the previous year. The Territory’s entry and exit rates are similar to the national average in 2020-21.</w:t>
      </w:r>
    </w:p>
    <w:p w14:paraId="457C6557" w14:textId="77777777" w:rsidR="00DD3C90" w:rsidRPr="00755B9E" w:rsidRDefault="00DD3C90" w:rsidP="006F5841">
      <w:pPr>
        <w:spacing w:line="360" w:lineRule="auto"/>
        <w:jc w:val="both"/>
        <w:rPr>
          <w:rFonts w:ascii="Arial" w:hAnsi="Arial" w:cs="Arial"/>
          <w:b/>
        </w:rPr>
      </w:pPr>
      <w:r w:rsidRPr="00755B9E">
        <w:rPr>
          <w:rFonts w:ascii="Arial" w:hAnsi="Arial" w:cs="Arial"/>
          <w:b/>
        </w:rPr>
        <w:t xml:space="preserve">3. </w:t>
      </w:r>
      <w:r w:rsidRPr="00755B9E">
        <w:rPr>
          <w:rFonts w:ascii="Arial" w:hAnsi="Arial" w:cs="Arial"/>
          <w:b/>
          <w:sz w:val="24"/>
        </w:rPr>
        <w:t>Business survival rates</w:t>
      </w:r>
    </w:p>
    <w:p w14:paraId="2D1CB4F8" w14:textId="77777777" w:rsidR="00EF1451" w:rsidRPr="00EF1451"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Almost two-thirds of all the Territory businesses that were operating in June 2017 are still operating in June 2021. Of all the Territory businesses operating in June 2017, 87.2% survived to June 2018, 77.6% survived to June 2019, 70.4% survived to June 2020, and 64.8% survived to June 2021 (Chart 2). Survival rate of Territory businesses were comparable to the national survival rate (Chart 3),</w:t>
      </w:r>
    </w:p>
    <w:p w14:paraId="41576370" w14:textId="04DA7A62" w:rsidR="006C4494" w:rsidRDefault="00EF1451" w:rsidP="00EF1451">
      <w:pPr>
        <w:pStyle w:val="ListParagraph"/>
        <w:numPr>
          <w:ilvl w:val="0"/>
          <w:numId w:val="2"/>
        </w:numPr>
        <w:spacing w:line="360" w:lineRule="auto"/>
        <w:jc w:val="both"/>
        <w:rPr>
          <w:rFonts w:ascii="Arial" w:hAnsi="Arial" w:cs="Arial"/>
        </w:rPr>
      </w:pPr>
      <w:r w:rsidRPr="00EF1451">
        <w:rPr>
          <w:rFonts w:ascii="Arial" w:hAnsi="Arial" w:cs="Arial"/>
        </w:rPr>
        <w:t>Almost half of all the Territory businesses that commenced operations (new entries) in 2017-18 did not survive to June 2021, lowest of all the jurisdictions. Of the Territory businesses that started operations in 2017-18, 75.2% survived to June 2019, 58.6% survived to June 2020 and 50.6% to June 2021 (Charts 4 and 5).</w:t>
      </w:r>
      <w:r w:rsidR="006C4494">
        <w:rPr>
          <w:rFonts w:ascii="Arial" w:hAnsi="Arial" w:cs="Arial"/>
        </w:rPr>
        <w:br w:type="page"/>
      </w:r>
    </w:p>
    <w:tbl>
      <w:tblPr>
        <w:tblStyle w:val="TableGrid"/>
        <w:tblW w:w="5586"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rts"/>
      </w:tblPr>
      <w:tblGrid>
        <w:gridCol w:w="5435"/>
        <w:gridCol w:w="245"/>
        <w:gridCol w:w="5406"/>
      </w:tblGrid>
      <w:tr w:rsidR="00DC3F2A" w:rsidRPr="009B7E75" w14:paraId="60ED4E07" w14:textId="77777777" w:rsidTr="00AC0916">
        <w:trPr>
          <w:trHeight w:val="844"/>
        </w:trPr>
        <w:tc>
          <w:tcPr>
            <w:tcW w:w="2465" w:type="pct"/>
            <w:vAlign w:val="center"/>
          </w:tcPr>
          <w:p w14:paraId="02BA673D" w14:textId="444B3763" w:rsidR="00DC3F2A" w:rsidRPr="009B7E75" w:rsidRDefault="00DC3F2A" w:rsidP="006F5841">
            <w:pPr>
              <w:spacing w:before="80" w:after="200" w:line="276" w:lineRule="auto"/>
              <w:jc w:val="both"/>
              <w:rPr>
                <w:rFonts w:ascii="Arial" w:eastAsia="Calibri" w:hAnsi="Arial" w:cs="Arial"/>
                <w:b/>
                <w:noProof/>
                <w:lang w:eastAsia="en-AU"/>
              </w:rPr>
            </w:pPr>
            <w:bookmarkStart w:id="0" w:name="_GoBack" w:colFirst="0" w:colLast="3"/>
            <w:r w:rsidRPr="00E45392">
              <w:rPr>
                <w:rFonts w:ascii="Arial" w:eastAsia="Calibri" w:hAnsi="Arial" w:cs="Arial"/>
                <w:b/>
                <w:noProof/>
                <w:sz w:val="20"/>
                <w:lang w:eastAsia="en-AU"/>
              </w:rPr>
              <w:lastRenderedPageBreak/>
              <w:t xml:space="preserve">Chart 1: Territory </w:t>
            </w:r>
            <w:r w:rsidR="00EF1451">
              <w:rPr>
                <w:rFonts w:ascii="Arial" w:eastAsia="Calibri" w:hAnsi="Arial" w:cs="Arial"/>
                <w:b/>
                <w:noProof/>
                <w:sz w:val="20"/>
                <w:lang w:eastAsia="en-AU"/>
              </w:rPr>
              <w:t>Business Count, June 2018 to June </w:t>
            </w:r>
            <w:r w:rsidRPr="00E45392">
              <w:rPr>
                <w:rFonts w:ascii="Arial" w:eastAsia="Calibri" w:hAnsi="Arial" w:cs="Arial"/>
                <w:b/>
                <w:noProof/>
                <w:sz w:val="20"/>
                <w:lang w:eastAsia="en-AU"/>
              </w:rPr>
              <w:t>2021</w:t>
            </w:r>
          </w:p>
        </w:tc>
        <w:tc>
          <w:tcPr>
            <w:tcW w:w="124" w:type="pct"/>
          </w:tcPr>
          <w:p w14:paraId="44174077" w14:textId="77777777" w:rsidR="00DC3F2A" w:rsidRPr="009B7E75" w:rsidRDefault="00DC3F2A" w:rsidP="006F5841">
            <w:pPr>
              <w:spacing w:before="80" w:after="200" w:line="276" w:lineRule="auto"/>
              <w:jc w:val="both"/>
              <w:rPr>
                <w:rFonts w:ascii="Arial" w:eastAsia="Calibri" w:hAnsi="Arial" w:cs="Arial"/>
                <w:b/>
                <w:noProof/>
                <w:lang w:eastAsia="en-AU"/>
              </w:rPr>
            </w:pPr>
          </w:p>
        </w:tc>
        <w:tc>
          <w:tcPr>
            <w:tcW w:w="2411" w:type="pct"/>
            <w:vAlign w:val="center"/>
          </w:tcPr>
          <w:p w14:paraId="4B10DCA4" w14:textId="77777777" w:rsidR="00DC3F2A" w:rsidRPr="00E45392" w:rsidRDefault="00E45392" w:rsidP="006F5841">
            <w:pPr>
              <w:spacing w:before="80" w:after="200" w:line="276" w:lineRule="auto"/>
              <w:jc w:val="both"/>
              <w:rPr>
                <w:rFonts w:ascii="Arial" w:eastAsia="Calibri" w:hAnsi="Arial" w:cs="Arial"/>
                <w:b/>
                <w:noProof/>
                <w:sz w:val="20"/>
                <w:lang w:eastAsia="en-AU"/>
              </w:rPr>
            </w:pPr>
            <w:r>
              <w:rPr>
                <w:rFonts w:ascii="Arial" w:eastAsia="Calibri" w:hAnsi="Arial" w:cs="Arial"/>
                <w:b/>
                <w:noProof/>
                <w:sz w:val="20"/>
                <w:lang w:eastAsia="en-AU"/>
              </w:rPr>
              <w:t>Fig 1</w:t>
            </w:r>
            <w:r w:rsidR="00DC3F2A" w:rsidRPr="00E45392">
              <w:rPr>
                <w:rFonts w:ascii="Arial" w:eastAsia="Calibri" w:hAnsi="Arial" w:cs="Arial"/>
                <w:b/>
                <w:noProof/>
                <w:sz w:val="20"/>
                <w:lang w:eastAsia="en-AU"/>
              </w:rPr>
              <w:t xml:space="preserve">: Business Count, </w:t>
            </w:r>
            <w:r w:rsidR="00A54C1E" w:rsidRPr="00E45392">
              <w:rPr>
                <w:rFonts w:ascii="Arial" w:eastAsia="Calibri" w:hAnsi="Arial" w:cs="Arial"/>
                <w:b/>
                <w:noProof/>
                <w:sz w:val="20"/>
                <w:lang w:eastAsia="en-AU"/>
              </w:rPr>
              <w:t xml:space="preserve">Australia </w:t>
            </w:r>
            <w:r w:rsidR="00DC3F2A" w:rsidRPr="00E45392">
              <w:rPr>
                <w:rFonts w:ascii="Arial" w:eastAsia="Calibri" w:hAnsi="Arial" w:cs="Arial"/>
                <w:b/>
                <w:noProof/>
                <w:sz w:val="20"/>
                <w:lang w:eastAsia="en-AU"/>
              </w:rPr>
              <w:t>June 2021</w:t>
            </w:r>
          </w:p>
        </w:tc>
      </w:tr>
      <w:tr w:rsidR="00DC3F2A" w:rsidRPr="009B7E75" w14:paraId="5331DBDF" w14:textId="77777777" w:rsidTr="00AC0916">
        <w:trPr>
          <w:trHeight w:val="592"/>
        </w:trPr>
        <w:tc>
          <w:tcPr>
            <w:tcW w:w="2465" w:type="pct"/>
            <w:vMerge w:val="restart"/>
          </w:tcPr>
          <w:p w14:paraId="0AD74334" w14:textId="77777777" w:rsidR="00DC3F2A" w:rsidRPr="009B7E75" w:rsidRDefault="00DC3F2A" w:rsidP="006F5841">
            <w:pPr>
              <w:spacing w:before="80" w:after="200" w:line="276" w:lineRule="auto"/>
              <w:jc w:val="both"/>
              <w:rPr>
                <w:rFonts w:ascii="Arial" w:eastAsia="Calibri" w:hAnsi="Arial" w:cs="Arial"/>
                <w:noProof/>
                <w:lang w:eastAsia="en-AU"/>
              </w:rPr>
            </w:pPr>
            <w:r w:rsidRPr="009B7E75">
              <w:rPr>
                <w:rFonts w:ascii="Arial" w:eastAsia="Calibri" w:hAnsi="Arial" w:cs="Arial"/>
                <w:noProof/>
                <w:lang w:eastAsia="en-AU"/>
              </w:rPr>
              <w:drawing>
                <wp:inline distT="0" distB="0" distL="0" distR="0" wp14:anchorId="017EEC24" wp14:editId="6D878D1E">
                  <wp:extent cx="3208139" cy="2464905"/>
                  <wp:effectExtent l="0" t="0" r="0" b="0"/>
                  <wp:docPr id="16" name="Picture 16" descr="Over the past three years, the number of actively trading businesses has increased steadily" title="Territory Business Count, June 2018 to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205" cy="2501067"/>
                          </a:xfrm>
                          <a:prstGeom prst="rect">
                            <a:avLst/>
                          </a:prstGeom>
                          <a:noFill/>
                        </pic:spPr>
                      </pic:pic>
                    </a:graphicData>
                  </a:graphic>
                </wp:inline>
              </w:drawing>
            </w:r>
          </w:p>
        </w:tc>
        <w:tc>
          <w:tcPr>
            <w:tcW w:w="124" w:type="pct"/>
          </w:tcPr>
          <w:p w14:paraId="7F39E180" w14:textId="77777777" w:rsidR="00DC3F2A" w:rsidRPr="009B7E75" w:rsidRDefault="00DC3F2A" w:rsidP="006F5841">
            <w:pPr>
              <w:spacing w:before="80" w:after="200" w:line="276" w:lineRule="auto"/>
              <w:jc w:val="both"/>
              <w:rPr>
                <w:rFonts w:ascii="Calibri" w:eastAsia="Calibri" w:hAnsi="Calibri" w:cs="Times New Roman"/>
              </w:rPr>
            </w:pPr>
          </w:p>
        </w:tc>
        <w:tc>
          <w:tcPr>
            <w:tcW w:w="2411" w:type="pct"/>
            <w:vMerge w:val="restart"/>
          </w:tcPr>
          <w:p w14:paraId="6A8CF3DE" w14:textId="2C74F9A4" w:rsidR="004B6977" w:rsidRDefault="00EF1451" w:rsidP="006F5841">
            <w:pPr>
              <w:jc w:val="both"/>
            </w:pPr>
            <w:r>
              <w:rPr>
                <w:noProof/>
                <w:lang w:eastAsia="en-AU"/>
              </w:rPr>
              <w:drawing>
                <wp:inline distT="0" distB="0" distL="0" distR="0" wp14:anchorId="1E99D24F" wp14:editId="6455BDC5">
                  <wp:extent cx="2886324" cy="2376550"/>
                  <wp:effectExtent l="0" t="0" r="0" b="5080"/>
                  <wp:docPr id="1" name="Picture 1" descr="As at June 2021, the number of actively trading businesses by jurisdiction were:&#10;Northern Territory was 14947&#10;Queensland was 460669&#10;New South Wales was 817648&#10;Australian Capital Territory was 31499&#10;Victoria was 655395&#10;Tasmania was 40718&#10;South Australia was 19404&#10;Western Australia was 230220&#10;" title="Business Count, Australia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8727" cy="2411464"/>
                          </a:xfrm>
                          <a:prstGeom prst="rect">
                            <a:avLst/>
                          </a:prstGeom>
                        </pic:spPr>
                      </pic:pic>
                    </a:graphicData>
                  </a:graphic>
                </wp:inline>
              </w:drawing>
            </w:r>
          </w:p>
          <w:p w14:paraId="1FEC9C38" w14:textId="77777777" w:rsidR="00DC3F2A" w:rsidRPr="009B7E75" w:rsidRDefault="00DC3F2A" w:rsidP="006F5841">
            <w:pPr>
              <w:spacing w:before="80" w:after="200" w:line="276" w:lineRule="auto"/>
              <w:jc w:val="both"/>
              <w:rPr>
                <w:rFonts w:ascii="Arial" w:eastAsia="Calibri" w:hAnsi="Arial" w:cs="Arial"/>
                <w:noProof/>
                <w:lang w:eastAsia="en-AU"/>
              </w:rPr>
            </w:pPr>
          </w:p>
        </w:tc>
      </w:tr>
      <w:tr w:rsidR="00DC3F2A" w:rsidRPr="009B7E75" w14:paraId="74ACB896" w14:textId="77777777" w:rsidTr="00AC0916">
        <w:trPr>
          <w:trHeight w:val="3693"/>
        </w:trPr>
        <w:tc>
          <w:tcPr>
            <w:tcW w:w="2465" w:type="pct"/>
            <w:vMerge/>
          </w:tcPr>
          <w:p w14:paraId="3ACCD773"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124" w:type="pct"/>
          </w:tcPr>
          <w:p w14:paraId="5F721DA8" w14:textId="77777777" w:rsidR="00DC3F2A" w:rsidRPr="009B7E75" w:rsidRDefault="00DC3F2A" w:rsidP="006F5841">
            <w:pPr>
              <w:spacing w:before="80" w:after="200" w:line="276" w:lineRule="auto"/>
              <w:jc w:val="both"/>
              <w:rPr>
                <w:rFonts w:ascii="Calibri" w:eastAsia="Calibri" w:hAnsi="Calibri" w:cs="Times New Roman"/>
              </w:rPr>
            </w:pPr>
          </w:p>
        </w:tc>
        <w:tc>
          <w:tcPr>
            <w:tcW w:w="2411" w:type="pct"/>
            <w:vMerge/>
          </w:tcPr>
          <w:p w14:paraId="37E8AFCA" w14:textId="77777777" w:rsidR="00DC3F2A" w:rsidRPr="009B7E75" w:rsidRDefault="00DC3F2A" w:rsidP="006F5841">
            <w:pPr>
              <w:spacing w:before="80" w:after="200" w:line="276" w:lineRule="auto"/>
              <w:jc w:val="both"/>
              <w:rPr>
                <w:rFonts w:ascii="Arial" w:eastAsia="Calibri" w:hAnsi="Arial" w:cs="Arial"/>
                <w:noProof/>
                <w:lang w:eastAsia="en-AU"/>
              </w:rPr>
            </w:pPr>
          </w:p>
        </w:tc>
      </w:tr>
      <w:tr w:rsidR="00DC3F2A" w:rsidRPr="009B7E75" w14:paraId="3A54AA7D" w14:textId="77777777" w:rsidTr="00AC0916">
        <w:trPr>
          <w:trHeight w:val="417"/>
        </w:trPr>
        <w:tc>
          <w:tcPr>
            <w:tcW w:w="2465" w:type="pct"/>
            <w:vAlign w:val="center"/>
          </w:tcPr>
          <w:p w14:paraId="21325B63" w14:textId="3A75D5BF" w:rsidR="00DC3F2A" w:rsidRPr="009B7E75" w:rsidRDefault="00DC3F2A" w:rsidP="00EF1451">
            <w:pPr>
              <w:spacing w:before="80" w:after="200" w:line="276" w:lineRule="auto"/>
              <w:jc w:val="both"/>
              <w:rPr>
                <w:rFonts w:ascii="Arial" w:eastAsia="Calibri" w:hAnsi="Arial" w:cs="Arial"/>
                <w:b/>
                <w:noProof/>
                <w:lang w:eastAsia="en-AU"/>
              </w:rPr>
            </w:pPr>
            <w:r w:rsidRPr="00E45392">
              <w:rPr>
                <w:rFonts w:ascii="Arial" w:eastAsia="Calibri" w:hAnsi="Arial" w:cs="Arial"/>
                <w:b/>
                <w:noProof/>
                <w:sz w:val="20"/>
                <w:lang w:eastAsia="en-AU"/>
              </w:rPr>
              <w:t xml:space="preserve">Chart </w:t>
            </w:r>
            <w:r w:rsidR="00EF1451">
              <w:rPr>
                <w:rFonts w:ascii="Arial" w:eastAsia="Calibri" w:hAnsi="Arial" w:cs="Arial"/>
                <w:b/>
                <w:noProof/>
                <w:sz w:val="20"/>
                <w:lang w:eastAsia="en-AU"/>
              </w:rPr>
              <w:t>2</w:t>
            </w:r>
            <w:r w:rsidRPr="00E45392">
              <w:rPr>
                <w:rFonts w:ascii="Arial" w:eastAsia="Calibri" w:hAnsi="Arial" w:cs="Arial"/>
                <w:b/>
                <w:noProof/>
                <w:sz w:val="20"/>
                <w:lang w:eastAsia="en-AU"/>
              </w:rPr>
              <w:t xml:space="preserve">: </w:t>
            </w:r>
            <w:r w:rsidR="00DD3C90" w:rsidRPr="00E45392">
              <w:rPr>
                <w:rFonts w:ascii="Arial" w:eastAsia="Calibri" w:hAnsi="Arial" w:cs="Arial"/>
                <w:b/>
                <w:noProof/>
                <w:sz w:val="20"/>
                <w:lang w:eastAsia="en-AU"/>
              </w:rPr>
              <w:t>Survival</w:t>
            </w:r>
            <w:r w:rsidR="00E45392" w:rsidRPr="00E45392">
              <w:rPr>
                <w:rFonts w:ascii="Arial" w:eastAsia="Calibri" w:hAnsi="Arial" w:cs="Arial"/>
                <w:b/>
                <w:noProof/>
                <w:sz w:val="20"/>
                <w:lang w:eastAsia="en-AU"/>
              </w:rPr>
              <w:t xml:space="preserve"> in June 2021</w:t>
            </w:r>
            <w:r w:rsidR="00DD3C90" w:rsidRPr="00E45392">
              <w:rPr>
                <w:rFonts w:ascii="Arial" w:eastAsia="Calibri" w:hAnsi="Arial" w:cs="Arial"/>
                <w:b/>
                <w:noProof/>
                <w:sz w:val="20"/>
                <w:lang w:eastAsia="en-AU"/>
              </w:rPr>
              <w:t xml:space="preserve"> of all </w:t>
            </w:r>
            <w:r w:rsidR="007D662A">
              <w:rPr>
                <w:rFonts w:ascii="Arial" w:eastAsia="Calibri" w:hAnsi="Arial" w:cs="Arial"/>
                <w:b/>
                <w:noProof/>
                <w:sz w:val="20"/>
                <w:lang w:eastAsia="en-AU"/>
              </w:rPr>
              <w:t>Territory b</w:t>
            </w:r>
            <w:r w:rsidRPr="00E45392">
              <w:rPr>
                <w:rFonts w:ascii="Arial" w:eastAsia="Calibri" w:hAnsi="Arial" w:cs="Arial"/>
                <w:b/>
                <w:noProof/>
                <w:sz w:val="20"/>
                <w:lang w:eastAsia="en-AU"/>
              </w:rPr>
              <w:t>usiness</w:t>
            </w:r>
            <w:r w:rsidR="007D662A">
              <w:rPr>
                <w:rFonts w:ascii="Arial" w:eastAsia="Calibri" w:hAnsi="Arial" w:cs="Arial"/>
                <w:b/>
                <w:noProof/>
                <w:sz w:val="20"/>
                <w:lang w:eastAsia="en-AU"/>
              </w:rPr>
              <w:t>es</w:t>
            </w:r>
            <w:r w:rsidRPr="00E45392">
              <w:rPr>
                <w:rFonts w:ascii="Arial" w:eastAsia="Calibri" w:hAnsi="Arial" w:cs="Arial"/>
                <w:b/>
                <w:noProof/>
                <w:sz w:val="20"/>
                <w:lang w:eastAsia="en-AU"/>
              </w:rPr>
              <w:t xml:space="preserve"> </w:t>
            </w:r>
            <w:r w:rsidR="00DD3C90" w:rsidRPr="00E45392">
              <w:rPr>
                <w:rFonts w:ascii="Arial" w:eastAsia="Calibri" w:hAnsi="Arial" w:cs="Arial"/>
                <w:b/>
                <w:noProof/>
                <w:sz w:val="20"/>
                <w:lang w:eastAsia="en-AU"/>
              </w:rPr>
              <w:t xml:space="preserve">operating in </w:t>
            </w:r>
            <w:r w:rsidRPr="00E45392">
              <w:rPr>
                <w:rFonts w:ascii="Arial" w:eastAsia="Calibri" w:hAnsi="Arial" w:cs="Arial"/>
                <w:b/>
                <w:noProof/>
                <w:sz w:val="20"/>
                <w:lang w:eastAsia="en-AU"/>
              </w:rPr>
              <w:t xml:space="preserve">June </w:t>
            </w:r>
            <w:r w:rsidR="00DD3C90" w:rsidRPr="00E45392">
              <w:rPr>
                <w:rFonts w:ascii="Arial" w:eastAsia="Calibri" w:hAnsi="Arial" w:cs="Arial"/>
                <w:b/>
                <w:noProof/>
                <w:sz w:val="20"/>
                <w:lang w:eastAsia="en-AU"/>
              </w:rPr>
              <w:t xml:space="preserve">2017 </w:t>
            </w:r>
          </w:p>
        </w:tc>
        <w:tc>
          <w:tcPr>
            <w:tcW w:w="124" w:type="pct"/>
          </w:tcPr>
          <w:p w14:paraId="23E8B969" w14:textId="77777777" w:rsidR="00DC3F2A" w:rsidRPr="009B7E75" w:rsidRDefault="00DC3F2A" w:rsidP="006F5841">
            <w:pPr>
              <w:spacing w:before="80" w:after="200" w:line="276" w:lineRule="auto"/>
              <w:jc w:val="both"/>
              <w:rPr>
                <w:rFonts w:ascii="Calibri" w:eastAsia="Calibri" w:hAnsi="Calibri" w:cs="Times New Roman"/>
              </w:rPr>
            </w:pPr>
          </w:p>
        </w:tc>
        <w:tc>
          <w:tcPr>
            <w:tcW w:w="2411" w:type="pct"/>
            <w:vAlign w:val="center"/>
          </w:tcPr>
          <w:p w14:paraId="321DBFD2" w14:textId="1FC69A7B" w:rsidR="00DC3F2A" w:rsidRPr="00E45392" w:rsidRDefault="00DC3F2A" w:rsidP="00EF1451">
            <w:pPr>
              <w:spacing w:before="80" w:after="200" w:line="276" w:lineRule="auto"/>
              <w:jc w:val="both"/>
              <w:rPr>
                <w:rFonts w:ascii="Arial" w:eastAsia="Calibri" w:hAnsi="Arial" w:cs="Arial"/>
                <w:b/>
                <w:sz w:val="20"/>
              </w:rPr>
            </w:pPr>
            <w:r w:rsidRPr="00E45392">
              <w:rPr>
                <w:rFonts w:ascii="Arial" w:eastAsia="Calibri" w:hAnsi="Arial" w:cs="Arial"/>
                <w:b/>
                <w:noProof/>
                <w:sz w:val="20"/>
                <w:lang w:eastAsia="en-AU"/>
              </w:rPr>
              <w:t xml:space="preserve">Chart </w:t>
            </w:r>
            <w:r w:rsidR="00EF1451">
              <w:rPr>
                <w:rFonts w:ascii="Arial" w:eastAsia="Calibri" w:hAnsi="Arial" w:cs="Arial"/>
                <w:b/>
                <w:noProof/>
                <w:sz w:val="20"/>
                <w:lang w:eastAsia="en-AU"/>
              </w:rPr>
              <w:t>3</w:t>
            </w:r>
            <w:r w:rsidRPr="00E45392">
              <w:rPr>
                <w:rFonts w:ascii="Arial" w:eastAsia="Calibri" w:hAnsi="Arial" w:cs="Arial"/>
                <w:b/>
                <w:noProof/>
                <w:sz w:val="20"/>
                <w:lang w:eastAsia="en-AU"/>
              </w:rPr>
              <w:t xml:space="preserve">: </w:t>
            </w:r>
            <w:r w:rsidR="00DD3C90" w:rsidRPr="00E45392">
              <w:rPr>
                <w:rFonts w:ascii="Arial" w:eastAsia="Calibri" w:hAnsi="Arial" w:cs="Arial"/>
                <w:b/>
                <w:noProof/>
                <w:sz w:val="20"/>
                <w:lang w:eastAsia="en-AU"/>
              </w:rPr>
              <w:t>Jurisdictional comparison of s</w:t>
            </w:r>
            <w:r w:rsidRPr="00E45392">
              <w:rPr>
                <w:rFonts w:ascii="Arial" w:eastAsia="Calibri" w:hAnsi="Arial" w:cs="Arial"/>
                <w:b/>
                <w:noProof/>
                <w:sz w:val="20"/>
                <w:lang w:eastAsia="en-AU"/>
              </w:rPr>
              <w:t xml:space="preserve">urvival rates </w:t>
            </w:r>
            <w:r w:rsidR="00E45392" w:rsidRPr="00E45392">
              <w:rPr>
                <w:rFonts w:ascii="Arial" w:eastAsia="Calibri" w:hAnsi="Arial" w:cs="Arial"/>
                <w:b/>
                <w:noProof/>
                <w:sz w:val="20"/>
                <w:lang w:eastAsia="en-AU"/>
              </w:rPr>
              <w:t>in 2021</w:t>
            </w:r>
            <w:r w:rsidR="007D662A">
              <w:rPr>
                <w:rFonts w:ascii="Arial" w:eastAsia="Calibri" w:hAnsi="Arial" w:cs="Arial"/>
                <w:b/>
                <w:noProof/>
                <w:sz w:val="20"/>
                <w:lang w:eastAsia="en-AU"/>
              </w:rPr>
              <w:t xml:space="preserve"> </w:t>
            </w:r>
            <w:r w:rsidRPr="00E45392">
              <w:rPr>
                <w:rFonts w:ascii="Arial" w:eastAsia="Calibri" w:hAnsi="Arial" w:cs="Arial"/>
                <w:b/>
                <w:noProof/>
                <w:sz w:val="20"/>
                <w:lang w:eastAsia="en-AU"/>
              </w:rPr>
              <w:t xml:space="preserve">of </w:t>
            </w:r>
            <w:r w:rsidR="00DD3C90" w:rsidRPr="00E45392">
              <w:rPr>
                <w:rFonts w:ascii="Arial" w:eastAsia="Calibri" w:hAnsi="Arial" w:cs="Arial"/>
                <w:b/>
                <w:noProof/>
                <w:sz w:val="20"/>
                <w:lang w:eastAsia="en-AU"/>
              </w:rPr>
              <w:t>a</w:t>
            </w:r>
            <w:r w:rsidRPr="00E45392">
              <w:rPr>
                <w:rFonts w:ascii="Arial" w:eastAsia="Calibri" w:hAnsi="Arial" w:cs="Arial"/>
                <w:b/>
                <w:noProof/>
                <w:sz w:val="20"/>
                <w:lang w:eastAsia="en-AU"/>
              </w:rPr>
              <w:t xml:space="preserve">ll </w:t>
            </w:r>
            <w:r w:rsidR="00DD3C90" w:rsidRPr="00E45392">
              <w:rPr>
                <w:rFonts w:ascii="Arial" w:eastAsia="Calibri" w:hAnsi="Arial" w:cs="Arial"/>
                <w:b/>
                <w:noProof/>
                <w:sz w:val="20"/>
                <w:lang w:eastAsia="en-AU"/>
              </w:rPr>
              <w:t>b</w:t>
            </w:r>
            <w:r w:rsidRPr="00E45392">
              <w:rPr>
                <w:rFonts w:ascii="Arial" w:eastAsia="Calibri" w:hAnsi="Arial" w:cs="Arial"/>
                <w:b/>
                <w:noProof/>
                <w:sz w:val="20"/>
                <w:lang w:eastAsia="en-AU"/>
              </w:rPr>
              <w:t>usinesses that were operating in 2017</w:t>
            </w:r>
            <w:r w:rsidR="00DD3C90" w:rsidRPr="00E45392">
              <w:rPr>
                <w:rFonts w:ascii="Arial" w:eastAsia="Calibri" w:hAnsi="Arial" w:cs="Arial"/>
                <w:b/>
                <w:noProof/>
                <w:sz w:val="20"/>
                <w:lang w:eastAsia="en-AU"/>
              </w:rPr>
              <w:t xml:space="preserve"> </w:t>
            </w:r>
          </w:p>
        </w:tc>
      </w:tr>
      <w:tr w:rsidR="00DC3F2A" w:rsidRPr="009B7E75" w14:paraId="73C4FF3D" w14:textId="77777777" w:rsidTr="00AC0916">
        <w:trPr>
          <w:trHeight w:val="577"/>
        </w:trPr>
        <w:tc>
          <w:tcPr>
            <w:tcW w:w="2465" w:type="pct"/>
            <w:vMerge w:val="restart"/>
          </w:tcPr>
          <w:p w14:paraId="5D1D5706" w14:textId="77777777" w:rsidR="00DC3F2A" w:rsidRPr="009B7E75" w:rsidRDefault="00DC3F2A" w:rsidP="006F5841">
            <w:pPr>
              <w:spacing w:before="80" w:after="200" w:line="276" w:lineRule="auto"/>
              <w:jc w:val="both"/>
              <w:rPr>
                <w:rFonts w:ascii="Arial" w:eastAsia="Calibri" w:hAnsi="Arial" w:cs="Arial"/>
                <w:noProof/>
                <w:lang w:eastAsia="en-AU"/>
              </w:rPr>
            </w:pPr>
            <w:r w:rsidRPr="009B7E75">
              <w:rPr>
                <w:rFonts w:ascii="Calibri" w:eastAsia="Calibri" w:hAnsi="Calibri" w:cs="Times New Roman"/>
                <w:noProof/>
                <w:lang w:eastAsia="en-AU"/>
              </w:rPr>
              <w:drawing>
                <wp:inline distT="0" distB="0" distL="0" distR="0" wp14:anchorId="6335D991" wp14:editId="4AA52DAF">
                  <wp:extent cx="3283469" cy="2639833"/>
                  <wp:effectExtent l="0" t="0" r="0" b="8255"/>
                  <wp:docPr id="20" name="Picture 20" descr="Of all the Territory businesses operating in June 2017, 87.2% survived to June 2018, 77.6% survived to June 2019, 70.4% survived to June 2020, and 64.8% survived to June 2021" title="Survival in June 2021 of all Territory businesses operating in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30991" cy="2678039"/>
                          </a:xfrm>
                          <a:prstGeom prst="rect">
                            <a:avLst/>
                          </a:prstGeom>
                        </pic:spPr>
                      </pic:pic>
                    </a:graphicData>
                  </a:graphic>
                </wp:inline>
              </w:drawing>
            </w:r>
          </w:p>
        </w:tc>
        <w:tc>
          <w:tcPr>
            <w:tcW w:w="124" w:type="pct"/>
          </w:tcPr>
          <w:p w14:paraId="49A0644F" w14:textId="77777777" w:rsidR="00DC3F2A" w:rsidRPr="009B7E75" w:rsidRDefault="00DC3F2A" w:rsidP="006F5841">
            <w:pPr>
              <w:spacing w:before="80" w:after="200" w:line="276" w:lineRule="auto"/>
              <w:jc w:val="both"/>
              <w:rPr>
                <w:rFonts w:ascii="Calibri" w:eastAsia="Calibri" w:hAnsi="Calibri" w:cs="Times New Roman"/>
              </w:rPr>
            </w:pPr>
          </w:p>
        </w:tc>
        <w:tc>
          <w:tcPr>
            <w:tcW w:w="2411" w:type="pct"/>
            <w:vMerge w:val="restart"/>
          </w:tcPr>
          <w:p w14:paraId="29351074" w14:textId="77777777" w:rsidR="00DC3F2A" w:rsidRPr="009B7E75" w:rsidRDefault="006F2C68" w:rsidP="006F5841">
            <w:pPr>
              <w:jc w:val="both"/>
              <w:rPr>
                <w:rFonts w:ascii="Arial" w:eastAsia="Calibri" w:hAnsi="Arial" w:cs="Arial"/>
                <w:noProof/>
                <w:lang w:eastAsia="en-AU"/>
              </w:rPr>
            </w:pPr>
            <w:r w:rsidRPr="006F2C68">
              <w:rPr>
                <w:noProof/>
                <w:lang w:eastAsia="en-AU"/>
              </w:rPr>
              <w:drawing>
                <wp:inline distT="0" distB="0" distL="0" distR="0" wp14:anchorId="28554568" wp14:editId="25F85CB2">
                  <wp:extent cx="3291840" cy="2666548"/>
                  <wp:effectExtent l="0" t="0" r="3810" b="635"/>
                  <wp:docPr id="21" name="Picture 21" descr="Survival rate of Territory businesses were comparable to the national survival rate, and above WA, Queensland and the ACT" title="Jurisdictional comparison of survival rates in 2021 of all businesses that were operating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1972" cy="2747660"/>
                          </a:xfrm>
                          <a:prstGeom prst="rect">
                            <a:avLst/>
                          </a:prstGeom>
                        </pic:spPr>
                      </pic:pic>
                    </a:graphicData>
                  </a:graphic>
                </wp:inline>
              </w:drawing>
            </w:r>
          </w:p>
        </w:tc>
      </w:tr>
      <w:tr w:rsidR="00DC3F2A" w:rsidRPr="009B7E75" w14:paraId="0A160EE4" w14:textId="77777777" w:rsidTr="00AC0916">
        <w:trPr>
          <w:trHeight w:val="3960"/>
        </w:trPr>
        <w:tc>
          <w:tcPr>
            <w:tcW w:w="2465" w:type="pct"/>
            <w:vMerge/>
          </w:tcPr>
          <w:p w14:paraId="6780C3D7"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124" w:type="pct"/>
          </w:tcPr>
          <w:p w14:paraId="51E5F289"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2411" w:type="pct"/>
            <w:vMerge/>
          </w:tcPr>
          <w:p w14:paraId="7D964D07" w14:textId="77777777" w:rsidR="00DC3F2A" w:rsidRPr="009B7E75" w:rsidRDefault="00DC3F2A" w:rsidP="006F5841">
            <w:pPr>
              <w:spacing w:before="80" w:after="200" w:line="276" w:lineRule="auto"/>
              <w:jc w:val="both"/>
              <w:rPr>
                <w:rFonts w:ascii="Arial" w:eastAsia="Calibri" w:hAnsi="Arial" w:cs="Arial"/>
                <w:noProof/>
                <w:lang w:eastAsia="en-AU"/>
              </w:rPr>
            </w:pPr>
          </w:p>
        </w:tc>
      </w:tr>
      <w:tr w:rsidR="00DC3F2A" w:rsidRPr="009B7E75" w14:paraId="63F1CBDA" w14:textId="77777777" w:rsidTr="00AC0916">
        <w:trPr>
          <w:trHeight w:val="706"/>
        </w:trPr>
        <w:tc>
          <w:tcPr>
            <w:tcW w:w="2465" w:type="pct"/>
            <w:vAlign w:val="center"/>
          </w:tcPr>
          <w:p w14:paraId="0B45F25C" w14:textId="27C76AAA" w:rsidR="00DC3F2A" w:rsidRPr="009B7E75" w:rsidRDefault="00DC3F2A" w:rsidP="00EF1451">
            <w:pPr>
              <w:spacing w:before="80" w:after="200" w:line="276" w:lineRule="auto"/>
              <w:jc w:val="both"/>
              <w:rPr>
                <w:rFonts w:ascii="Arial" w:eastAsia="Calibri" w:hAnsi="Arial" w:cs="Arial"/>
                <w:b/>
                <w:sz w:val="24"/>
              </w:rPr>
            </w:pPr>
            <w:r w:rsidRPr="00E45392">
              <w:rPr>
                <w:rFonts w:ascii="Arial" w:eastAsia="Calibri" w:hAnsi="Arial" w:cs="Arial"/>
                <w:b/>
                <w:noProof/>
                <w:sz w:val="20"/>
                <w:lang w:eastAsia="en-AU"/>
              </w:rPr>
              <w:t xml:space="preserve">Chart </w:t>
            </w:r>
            <w:r w:rsidR="00EF1451">
              <w:rPr>
                <w:rFonts w:ascii="Arial" w:eastAsia="Calibri" w:hAnsi="Arial" w:cs="Arial"/>
                <w:b/>
                <w:noProof/>
                <w:sz w:val="20"/>
                <w:lang w:eastAsia="en-AU"/>
              </w:rPr>
              <w:t>4</w:t>
            </w:r>
            <w:r w:rsidRPr="00E45392">
              <w:rPr>
                <w:rFonts w:ascii="Arial" w:eastAsia="Calibri" w:hAnsi="Arial" w:cs="Arial"/>
                <w:b/>
                <w:noProof/>
                <w:sz w:val="20"/>
                <w:lang w:eastAsia="en-AU"/>
              </w:rPr>
              <w:t>: Survival rate</w:t>
            </w:r>
            <w:r w:rsidR="00DD3C90" w:rsidRPr="00E45392">
              <w:rPr>
                <w:rFonts w:ascii="Arial" w:eastAsia="Calibri" w:hAnsi="Arial" w:cs="Arial"/>
                <w:b/>
                <w:noProof/>
                <w:sz w:val="20"/>
                <w:lang w:eastAsia="en-AU"/>
              </w:rPr>
              <w:t>s</w:t>
            </w:r>
            <w:r w:rsidRPr="00E45392">
              <w:rPr>
                <w:rFonts w:ascii="Arial" w:eastAsia="Calibri" w:hAnsi="Arial" w:cs="Arial"/>
                <w:b/>
                <w:noProof/>
                <w:sz w:val="20"/>
                <w:lang w:eastAsia="en-AU"/>
              </w:rPr>
              <w:t xml:space="preserve"> </w:t>
            </w:r>
            <w:r w:rsidR="00DD3C90" w:rsidRPr="00E45392">
              <w:rPr>
                <w:rFonts w:ascii="Arial" w:eastAsia="Calibri" w:hAnsi="Arial" w:cs="Arial"/>
                <w:b/>
                <w:noProof/>
                <w:sz w:val="20"/>
                <w:lang w:eastAsia="en-AU"/>
              </w:rPr>
              <w:t>of businesses that commenced operations in 2018</w:t>
            </w:r>
          </w:p>
        </w:tc>
        <w:tc>
          <w:tcPr>
            <w:tcW w:w="124" w:type="pct"/>
            <w:vAlign w:val="center"/>
          </w:tcPr>
          <w:p w14:paraId="156F6960"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2411" w:type="pct"/>
            <w:vAlign w:val="center"/>
          </w:tcPr>
          <w:p w14:paraId="6E2A32F5" w14:textId="2F846ACE" w:rsidR="00DC3F2A" w:rsidRPr="009B7E75" w:rsidRDefault="00DC3F2A" w:rsidP="00EF1451">
            <w:pPr>
              <w:jc w:val="both"/>
              <w:rPr>
                <w:rFonts w:ascii="Arial" w:eastAsia="Calibri" w:hAnsi="Arial" w:cs="Arial"/>
                <w:b/>
              </w:rPr>
            </w:pPr>
            <w:r w:rsidRPr="00E45392">
              <w:rPr>
                <w:rFonts w:ascii="Arial" w:eastAsia="Calibri" w:hAnsi="Arial" w:cs="Arial"/>
                <w:b/>
                <w:sz w:val="20"/>
              </w:rPr>
              <w:t xml:space="preserve">Chart </w:t>
            </w:r>
            <w:r w:rsidR="00EF1451">
              <w:rPr>
                <w:rFonts w:ascii="Arial" w:eastAsia="Calibri" w:hAnsi="Arial" w:cs="Arial"/>
                <w:b/>
                <w:sz w:val="20"/>
              </w:rPr>
              <w:t>5</w:t>
            </w:r>
            <w:r w:rsidRPr="00E45392">
              <w:rPr>
                <w:rFonts w:ascii="Arial" w:eastAsia="Calibri" w:hAnsi="Arial" w:cs="Arial"/>
                <w:b/>
                <w:sz w:val="20"/>
              </w:rPr>
              <w:t xml:space="preserve">: </w:t>
            </w:r>
            <w:r w:rsidR="00DD3C90" w:rsidRPr="00E45392">
              <w:rPr>
                <w:rFonts w:ascii="Arial" w:eastAsia="Calibri" w:hAnsi="Arial" w:cs="Arial"/>
                <w:b/>
                <w:sz w:val="20"/>
              </w:rPr>
              <w:t xml:space="preserve">Jurisdictional comparison of </w:t>
            </w:r>
            <w:r w:rsidR="00DD3C90" w:rsidRPr="00E45392">
              <w:rPr>
                <w:rFonts w:ascii="Arial" w:eastAsia="Calibri" w:hAnsi="Arial" w:cs="Arial"/>
                <w:b/>
                <w:noProof/>
                <w:sz w:val="20"/>
                <w:lang w:eastAsia="en-AU"/>
              </w:rPr>
              <w:t>survival rates in 2021 of businesses that commenced operations in 2018</w:t>
            </w:r>
          </w:p>
        </w:tc>
      </w:tr>
      <w:tr w:rsidR="00DC3F2A" w:rsidRPr="009B7E75" w14:paraId="69125A35" w14:textId="77777777" w:rsidTr="00AC0916">
        <w:trPr>
          <w:trHeight w:val="70"/>
        </w:trPr>
        <w:tc>
          <w:tcPr>
            <w:tcW w:w="2465" w:type="pct"/>
            <w:vMerge w:val="restart"/>
          </w:tcPr>
          <w:p w14:paraId="4E2644EF" w14:textId="77777777" w:rsidR="00DC3F2A" w:rsidRPr="009B7E75" w:rsidRDefault="00DC3F2A" w:rsidP="006F5841">
            <w:pPr>
              <w:spacing w:before="80" w:after="200" w:line="276" w:lineRule="auto"/>
              <w:jc w:val="both"/>
              <w:rPr>
                <w:rFonts w:ascii="Arial" w:eastAsia="Calibri" w:hAnsi="Arial" w:cs="Arial"/>
                <w:noProof/>
                <w:lang w:eastAsia="en-AU"/>
              </w:rPr>
            </w:pPr>
            <w:r w:rsidRPr="009B7E75">
              <w:rPr>
                <w:rFonts w:ascii="Arial" w:eastAsia="Calibri" w:hAnsi="Arial" w:cs="Arial"/>
                <w:noProof/>
                <w:lang w:eastAsia="en-AU"/>
              </w:rPr>
              <w:drawing>
                <wp:inline distT="0" distB="0" distL="0" distR="0" wp14:anchorId="471382B8" wp14:editId="588AC0DD">
                  <wp:extent cx="3257812" cy="2480807"/>
                  <wp:effectExtent l="0" t="0" r="0" b="0"/>
                  <wp:docPr id="18" name="Picture 18" descr="Almost half of all the Territory businesses that commenced operations (new entries) in 2017-18 did not survive to June 2021" title="Survival rates of businesses that commenced operations 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591" cy="2495107"/>
                          </a:xfrm>
                          <a:prstGeom prst="rect">
                            <a:avLst/>
                          </a:prstGeom>
                          <a:noFill/>
                        </pic:spPr>
                      </pic:pic>
                    </a:graphicData>
                  </a:graphic>
                </wp:inline>
              </w:drawing>
            </w:r>
          </w:p>
        </w:tc>
        <w:tc>
          <w:tcPr>
            <w:tcW w:w="124" w:type="pct"/>
          </w:tcPr>
          <w:p w14:paraId="2D2F5D64"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2411" w:type="pct"/>
            <w:vMerge w:val="restart"/>
          </w:tcPr>
          <w:p w14:paraId="0D1E93A2" w14:textId="77777777" w:rsidR="00DC3F2A" w:rsidRPr="009B7E75" w:rsidRDefault="00DC3F2A" w:rsidP="006F5841">
            <w:pPr>
              <w:spacing w:before="80" w:after="200" w:line="276" w:lineRule="auto"/>
              <w:jc w:val="both"/>
              <w:rPr>
                <w:rFonts w:ascii="Arial" w:eastAsia="Calibri" w:hAnsi="Arial" w:cs="Arial"/>
                <w:noProof/>
                <w:lang w:eastAsia="en-AU"/>
              </w:rPr>
            </w:pPr>
            <w:r w:rsidRPr="009B7E75">
              <w:rPr>
                <w:rFonts w:ascii="Arial" w:eastAsia="Calibri" w:hAnsi="Arial" w:cs="Arial"/>
                <w:noProof/>
                <w:lang w:eastAsia="en-AU"/>
              </w:rPr>
              <w:drawing>
                <wp:inline distT="0" distB="0" distL="0" distR="0" wp14:anchorId="2A9F8AF7" wp14:editId="7D77A8AE">
                  <wp:extent cx="3077155" cy="2542134"/>
                  <wp:effectExtent l="0" t="0" r="9525" b="0"/>
                  <wp:docPr id="19" name="Picture 19" descr="Almost half of all the Territory businesses that commenced operations (new entries) in 2017-18 did not survive to June 2021, lowest of all the jurisdictions" title="Jurisdictional comparison of survival rates in 2021 of businesses that commenced operations 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0026" cy="2552767"/>
                          </a:xfrm>
                          <a:prstGeom prst="rect">
                            <a:avLst/>
                          </a:prstGeom>
                          <a:noFill/>
                        </pic:spPr>
                      </pic:pic>
                    </a:graphicData>
                  </a:graphic>
                </wp:inline>
              </w:drawing>
            </w:r>
          </w:p>
        </w:tc>
      </w:tr>
      <w:tr w:rsidR="00DC3F2A" w:rsidRPr="009B7E75" w14:paraId="0C4EB29C" w14:textId="77777777" w:rsidTr="00AC0916">
        <w:trPr>
          <w:trHeight w:val="3492"/>
        </w:trPr>
        <w:tc>
          <w:tcPr>
            <w:tcW w:w="2465" w:type="pct"/>
            <w:vMerge/>
          </w:tcPr>
          <w:p w14:paraId="001B917A"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124" w:type="pct"/>
          </w:tcPr>
          <w:p w14:paraId="3CA8B037" w14:textId="77777777" w:rsidR="00DC3F2A" w:rsidRPr="009B7E75" w:rsidRDefault="00DC3F2A" w:rsidP="006F5841">
            <w:pPr>
              <w:spacing w:before="80" w:after="200" w:line="276" w:lineRule="auto"/>
              <w:jc w:val="both"/>
              <w:rPr>
                <w:rFonts w:ascii="Arial" w:eastAsia="Calibri" w:hAnsi="Arial" w:cs="Arial"/>
                <w:noProof/>
                <w:lang w:eastAsia="en-AU"/>
              </w:rPr>
            </w:pPr>
          </w:p>
        </w:tc>
        <w:tc>
          <w:tcPr>
            <w:tcW w:w="2411" w:type="pct"/>
            <w:vMerge/>
          </w:tcPr>
          <w:p w14:paraId="2E7CFEFB" w14:textId="77777777" w:rsidR="00DC3F2A" w:rsidRPr="009B7E75" w:rsidRDefault="00DC3F2A" w:rsidP="006F5841">
            <w:pPr>
              <w:spacing w:before="80" w:after="200" w:line="276" w:lineRule="auto"/>
              <w:jc w:val="both"/>
              <w:rPr>
                <w:rFonts w:ascii="Arial" w:eastAsia="Calibri" w:hAnsi="Arial" w:cs="Arial"/>
                <w:noProof/>
                <w:lang w:eastAsia="en-AU"/>
              </w:rPr>
            </w:pPr>
          </w:p>
        </w:tc>
      </w:tr>
      <w:bookmarkEnd w:id="0"/>
    </w:tbl>
    <w:p w14:paraId="4226D2D4" w14:textId="77777777" w:rsidR="009B7E75" w:rsidRDefault="009B7E75" w:rsidP="006C4494">
      <w:pPr>
        <w:jc w:val="both"/>
        <w:rPr>
          <w:rFonts w:ascii="Arial" w:hAnsi="Arial" w:cs="Arial"/>
          <w:b/>
          <w:sz w:val="24"/>
        </w:rPr>
      </w:pPr>
    </w:p>
    <w:sectPr w:rsidR="009B7E75" w:rsidSect="006C4494">
      <w:type w:val="continuous"/>
      <w:pgSz w:w="11906" w:h="16838"/>
      <w:pgMar w:top="567" w:right="707" w:bottom="0" w:left="127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1F30" w14:textId="77777777" w:rsidR="003D509B" w:rsidRDefault="003D509B" w:rsidP="00122754">
      <w:pPr>
        <w:spacing w:after="0" w:line="240" w:lineRule="auto"/>
      </w:pPr>
      <w:r>
        <w:separator/>
      </w:r>
    </w:p>
  </w:endnote>
  <w:endnote w:type="continuationSeparator" w:id="0">
    <w:p w14:paraId="0FF9533A" w14:textId="77777777" w:rsidR="003D509B" w:rsidRDefault="003D509B" w:rsidP="0012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C440" w14:textId="77777777" w:rsidR="003D509B" w:rsidRDefault="003D509B" w:rsidP="00122754">
      <w:pPr>
        <w:spacing w:after="0" w:line="240" w:lineRule="auto"/>
      </w:pPr>
      <w:r>
        <w:separator/>
      </w:r>
    </w:p>
  </w:footnote>
  <w:footnote w:type="continuationSeparator" w:id="0">
    <w:p w14:paraId="28E466B1" w14:textId="77777777" w:rsidR="003D509B" w:rsidRDefault="003D509B" w:rsidP="00122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580"/>
    <w:multiLevelType w:val="hybridMultilevel"/>
    <w:tmpl w:val="F496C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C742C1"/>
    <w:multiLevelType w:val="hybridMultilevel"/>
    <w:tmpl w:val="7488E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B0553"/>
    <w:multiLevelType w:val="hybridMultilevel"/>
    <w:tmpl w:val="E3F49F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17425B5"/>
    <w:multiLevelType w:val="hybridMultilevel"/>
    <w:tmpl w:val="81C4A750"/>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04329E"/>
    <w:multiLevelType w:val="hybridMultilevel"/>
    <w:tmpl w:val="3CA2A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51C83"/>
    <w:multiLevelType w:val="hybridMultilevel"/>
    <w:tmpl w:val="8F3EC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B925B0"/>
    <w:multiLevelType w:val="hybridMultilevel"/>
    <w:tmpl w:val="7792855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367A0E"/>
    <w:multiLevelType w:val="hybridMultilevel"/>
    <w:tmpl w:val="70FE5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E42622"/>
    <w:multiLevelType w:val="hybridMultilevel"/>
    <w:tmpl w:val="84D214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B610B"/>
    <w:multiLevelType w:val="multilevel"/>
    <w:tmpl w:val="4594AAAE"/>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5F311A25"/>
    <w:multiLevelType w:val="hybridMultilevel"/>
    <w:tmpl w:val="70D29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F90424"/>
    <w:multiLevelType w:val="hybridMultilevel"/>
    <w:tmpl w:val="01568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F0C7F"/>
    <w:multiLevelType w:val="multilevel"/>
    <w:tmpl w:val="F5E29BB2"/>
    <w:lvl w:ilvl="0">
      <w:start w:val="1"/>
      <w:numFmt w:val="bullet"/>
      <w:lvlText w:val=""/>
      <w:lvlJc w:val="left"/>
      <w:pPr>
        <w:ind w:left="108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11"/>
  </w:num>
  <w:num w:numId="2">
    <w:abstractNumId w:val="3"/>
  </w:num>
  <w:num w:numId="3">
    <w:abstractNumId w:val="10"/>
  </w:num>
  <w:num w:numId="4">
    <w:abstractNumId w:val="7"/>
  </w:num>
  <w:num w:numId="5">
    <w:abstractNumId w:val="5"/>
  </w:num>
  <w:num w:numId="6">
    <w:abstractNumId w:val="8"/>
  </w:num>
  <w:num w:numId="7">
    <w:abstractNumId w:val="12"/>
  </w:num>
  <w:num w:numId="8">
    <w:abstractNumId w:val="2"/>
  </w:num>
  <w:num w:numId="9">
    <w:abstractNumId w:val="0"/>
  </w:num>
  <w:num w:numId="10">
    <w:abstractNumId w:val="1"/>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5A"/>
    <w:rsid w:val="000008F1"/>
    <w:rsid w:val="00000C11"/>
    <w:rsid w:val="00022F44"/>
    <w:rsid w:val="00031E9E"/>
    <w:rsid w:val="00042BB1"/>
    <w:rsid w:val="00047606"/>
    <w:rsid w:val="000550FB"/>
    <w:rsid w:val="00055EB1"/>
    <w:rsid w:val="0006258A"/>
    <w:rsid w:val="00065394"/>
    <w:rsid w:val="00075279"/>
    <w:rsid w:val="000806D3"/>
    <w:rsid w:val="00094311"/>
    <w:rsid w:val="000A3B88"/>
    <w:rsid w:val="000C05C5"/>
    <w:rsid w:val="000C4EAB"/>
    <w:rsid w:val="000C577C"/>
    <w:rsid w:val="000D321C"/>
    <w:rsid w:val="000F2CA2"/>
    <w:rsid w:val="00107322"/>
    <w:rsid w:val="00122754"/>
    <w:rsid w:val="00141EEF"/>
    <w:rsid w:val="0014361D"/>
    <w:rsid w:val="00161D47"/>
    <w:rsid w:val="001668BD"/>
    <w:rsid w:val="00166BC5"/>
    <w:rsid w:val="00177BAC"/>
    <w:rsid w:val="00186631"/>
    <w:rsid w:val="001B16E0"/>
    <w:rsid w:val="001B57A6"/>
    <w:rsid w:val="001B6E81"/>
    <w:rsid w:val="001B7F14"/>
    <w:rsid w:val="001C167C"/>
    <w:rsid w:val="001C511A"/>
    <w:rsid w:val="001C7127"/>
    <w:rsid w:val="001D2CD1"/>
    <w:rsid w:val="001E250A"/>
    <w:rsid w:val="001F519E"/>
    <w:rsid w:val="001F679B"/>
    <w:rsid w:val="0020262E"/>
    <w:rsid w:val="0020327F"/>
    <w:rsid w:val="002069B8"/>
    <w:rsid w:val="0021046C"/>
    <w:rsid w:val="00215217"/>
    <w:rsid w:val="00240039"/>
    <w:rsid w:val="002518AC"/>
    <w:rsid w:val="00264125"/>
    <w:rsid w:val="002760D4"/>
    <w:rsid w:val="00292B96"/>
    <w:rsid w:val="002A29B1"/>
    <w:rsid w:val="002B3DBF"/>
    <w:rsid w:val="002C1C37"/>
    <w:rsid w:val="002C1EA0"/>
    <w:rsid w:val="002F034F"/>
    <w:rsid w:val="002F16E0"/>
    <w:rsid w:val="002F6C89"/>
    <w:rsid w:val="003106FE"/>
    <w:rsid w:val="00325DEE"/>
    <w:rsid w:val="0032730D"/>
    <w:rsid w:val="00327657"/>
    <w:rsid w:val="00354933"/>
    <w:rsid w:val="00354B04"/>
    <w:rsid w:val="00371B57"/>
    <w:rsid w:val="00372E9B"/>
    <w:rsid w:val="00376809"/>
    <w:rsid w:val="00380F4C"/>
    <w:rsid w:val="003968BC"/>
    <w:rsid w:val="003B768D"/>
    <w:rsid w:val="003C0703"/>
    <w:rsid w:val="003C07D8"/>
    <w:rsid w:val="003C505A"/>
    <w:rsid w:val="003D509B"/>
    <w:rsid w:val="003D67BC"/>
    <w:rsid w:val="003E6994"/>
    <w:rsid w:val="003F5E4C"/>
    <w:rsid w:val="00404118"/>
    <w:rsid w:val="00417FC6"/>
    <w:rsid w:val="00422FC7"/>
    <w:rsid w:val="00430894"/>
    <w:rsid w:val="00430A68"/>
    <w:rsid w:val="004311DF"/>
    <w:rsid w:val="0043578F"/>
    <w:rsid w:val="00446885"/>
    <w:rsid w:val="00452C8A"/>
    <w:rsid w:val="00452EB9"/>
    <w:rsid w:val="00460A33"/>
    <w:rsid w:val="00464F5E"/>
    <w:rsid w:val="00480D55"/>
    <w:rsid w:val="0048291B"/>
    <w:rsid w:val="00483B3F"/>
    <w:rsid w:val="0049005B"/>
    <w:rsid w:val="004A411C"/>
    <w:rsid w:val="004B4833"/>
    <w:rsid w:val="004B6977"/>
    <w:rsid w:val="004C2336"/>
    <w:rsid w:val="004C58C8"/>
    <w:rsid w:val="004C72B0"/>
    <w:rsid w:val="004D7458"/>
    <w:rsid w:val="004F1FA7"/>
    <w:rsid w:val="00512BD4"/>
    <w:rsid w:val="00521819"/>
    <w:rsid w:val="00532AF7"/>
    <w:rsid w:val="00536F5A"/>
    <w:rsid w:val="005514EC"/>
    <w:rsid w:val="005561DC"/>
    <w:rsid w:val="00564491"/>
    <w:rsid w:val="00565D12"/>
    <w:rsid w:val="005700CD"/>
    <w:rsid w:val="00576AD6"/>
    <w:rsid w:val="00583538"/>
    <w:rsid w:val="005A197C"/>
    <w:rsid w:val="005A51F6"/>
    <w:rsid w:val="005A590A"/>
    <w:rsid w:val="005B503F"/>
    <w:rsid w:val="005B6A6D"/>
    <w:rsid w:val="005F34F9"/>
    <w:rsid w:val="005F73A9"/>
    <w:rsid w:val="006104C7"/>
    <w:rsid w:val="00612244"/>
    <w:rsid w:val="00612D3D"/>
    <w:rsid w:val="0063383E"/>
    <w:rsid w:val="00642168"/>
    <w:rsid w:val="006503C9"/>
    <w:rsid w:val="006568C4"/>
    <w:rsid w:val="00671AEE"/>
    <w:rsid w:val="0067306C"/>
    <w:rsid w:val="00682BB9"/>
    <w:rsid w:val="00697DCB"/>
    <w:rsid w:val="006A14E1"/>
    <w:rsid w:val="006A4A11"/>
    <w:rsid w:val="006B05F6"/>
    <w:rsid w:val="006B73AB"/>
    <w:rsid w:val="006C2987"/>
    <w:rsid w:val="006C331D"/>
    <w:rsid w:val="006C4494"/>
    <w:rsid w:val="006C5D15"/>
    <w:rsid w:val="006E4274"/>
    <w:rsid w:val="006E7674"/>
    <w:rsid w:val="006F2C68"/>
    <w:rsid w:val="006F5841"/>
    <w:rsid w:val="007009CF"/>
    <w:rsid w:val="00704937"/>
    <w:rsid w:val="0070621C"/>
    <w:rsid w:val="00715974"/>
    <w:rsid w:val="007245B0"/>
    <w:rsid w:val="00725FE4"/>
    <w:rsid w:val="0073166F"/>
    <w:rsid w:val="00742122"/>
    <w:rsid w:val="007527B8"/>
    <w:rsid w:val="007552D4"/>
    <w:rsid w:val="00755B9E"/>
    <w:rsid w:val="007639BC"/>
    <w:rsid w:val="00770253"/>
    <w:rsid w:val="007C151B"/>
    <w:rsid w:val="007C5687"/>
    <w:rsid w:val="007C72AB"/>
    <w:rsid w:val="007D662A"/>
    <w:rsid w:val="007F4EDB"/>
    <w:rsid w:val="007F735E"/>
    <w:rsid w:val="00817C4E"/>
    <w:rsid w:val="0083213C"/>
    <w:rsid w:val="0084481A"/>
    <w:rsid w:val="00853DB0"/>
    <w:rsid w:val="008579D7"/>
    <w:rsid w:val="008636A4"/>
    <w:rsid w:val="00877450"/>
    <w:rsid w:val="0088291F"/>
    <w:rsid w:val="00885556"/>
    <w:rsid w:val="008A01D6"/>
    <w:rsid w:val="008A3C40"/>
    <w:rsid w:val="008C2826"/>
    <w:rsid w:val="008C35E4"/>
    <w:rsid w:val="008E12F6"/>
    <w:rsid w:val="008E2F6C"/>
    <w:rsid w:val="00902F1E"/>
    <w:rsid w:val="00917203"/>
    <w:rsid w:val="0094739F"/>
    <w:rsid w:val="00951083"/>
    <w:rsid w:val="0096404E"/>
    <w:rsid w:val="00971D93"/>
    <w:rsid w:val="009806CF"/>
    <w:rsid w:val="00993C32"/>
    <w:rsid w:val="009A2255"/>
    <w:rsid w:val="009B7E75"/>
    <w:rsid w:val="009D28DF"/>
    <w:rsid w:val="009D7C9F"/>
    <w:rsid w:val="009E7FEF"/>
    <w:rsid w:val="00A000B3"/>
    <w:rsid w:val="00A06D29"/>
    <w:rsid w:val="00A12D87"/>
    <w:rsid w:val="00A13C9A"/>
    <w:rsid w:val="00A14F6A"/>
    <w:rsid w:val="00A267B6"/>
    <w:rsid w:val="00A32766"/>
    <w:rsid w:val="00A338D4"/>
    <w:rsid w:val="00A41EED"/>
    <w:rsid w:val="00A54C1E"/>
    <w:rsid w:val="00A70561"/>
    <w:rsid w:val="00A74115"/>
    <w:rsid w:val="00A82D92"/>
    <w:rsid w:val="00AA25DA"/>
    <w:rsid w:val="00AB6FA2"/>
    <w:rsid w:val="00AC0916"/>
    <w:rsid w:val="00AC4358"/>
    <w:rsid w:val="00AC53A2"/>
    <w:rsid w:val="00AF26D6"/>
    <w:rsid w:val="00B02646"/>
    <w:rsid w:val="00B11FFD"/>
    <w:rsid w:val="00B158C7"/>
    <w:rsid w:val="00B162FB"/>
    <w:rsid w:val="00B17C47"/>
    <w:rsid w:val="00B37A6D"/>
    <w:rsid w:val="00B41C68"/>
    <w:rsid w:val="00B436DD"/>
    <w:rsid w:val="00B625F1"/>
    <w:rsid w:val="00B86391"/>
    <w:rsid w:val="00B93ACC"/>
    <w:rsid w:val="00B96DC6"/>
    <w:rsid w:val="00BB0979"/>
    <w:rsid w:val="00BE3B7B"/>
    <w:rsid w:val="00BF094C"/>
    <w:rsid w:val="00C149C6"/>
    <w:rsid w:val="00C2120D"/>
    <w:rsid w:val="00C23546"/>
    <w:rsid w:val="00C3553E"/>
    <w:rsid w:val="00C36BB7"/>
    <w:rsid w:val="00C5250E"/>
    <w:rsid w:val="00C540D7"/>
    <w:rsid w:val="00C554C1"/>
    <w:rsid w:val="00C732F2"/>
    <w:rsid w:val="00C74087"/>
    <w:rsid w:val="00CB7F9B"/>
    <w:rsid w:val="00CC2098"/>
    <w:rsid w:val="00CC2E47"/>
    <w:rsid w:val="00CD1D71"/>
    <w:rsid w:val="00CD562E"/>
    <w:rsid w:val="00CF0DA2"/>
    <w:rsid w:val="00CF573B"/>
    <w:rsid w:val="00D00719"/>
    <w:rsid w:val="00D026B4"/>
    <w:rsid w:val="00D05E77"/>
    <w:rsid w:val="00D07F74"/>
    <w:rsid w:val="00D17A52"/>
    <w:rsid w:val="00D22A2C"/>
    <w:rsid w:val="00D22E52"/>
    <w:rsid w:val="00D46F00"/>
    <w:rsid w:val="00D50940"/>
    <w:rsid w:val="00D51D24"/>
    <w:rsid w:val="00D56F47"/>
    <w:rsid w:val="00D60DF6"/>
    <w:rsid w:val="00D65A6B"/>
    <w:rsid w:val="00D67EF6"/>
    <w:rsid w:val="00D748DE"/>
    <w:rsid w:val="00D7504D"/>
    <w:rsid w:val="00DA4CE3"/>
    <w:rsid w:val="00DA6CEA"/>
    <w:rsid w:val="00DB287F"/>
    <w:rsid w:val="00DB71F2"/>
    <w:rsid w:val="00DC3F2A"/>
    <w:rsid w:val="00DC697C"/>
    <w:rsid w:val="00DD3C90"/>
    <w:rsid w:val="00DE097A"/>
    <w:rsid w:val="00DE0986"/>
    <w:rsid w:val="00DE5591"/>
    <w:rsid w:val="00DF4741"/>
    <w:rsid w:val="00E018DE"/>
    <w:rsid w:val="00E203C1"/>
    <w:rsid w:val="00E437D8"/>
    <w:rsid w:val="00E45392"/>
    <w:rsid w:val="00E45F41"/>
    <w:rsid w:val="00E62122"/>
    <w:rsid w:val="00E626CD"/>
    <w:rsid w:val="00E65795"/>
    <w:rsid w:val="00E821FC"/>
    <w:rsid w:val="00E9752C"/>
    <w:rsid w:val="00ED33AA"/>
    <w:rsid w:val="00ED59C9"/>
    <w:rsid w:val="00ED787C"/>
    <w:rsid w:val="00EF1451"/>
    <w:rsid w:val="00F051FD"/>
    <w:rsid w:val="00F10CA8"/>
    <w:rsid w:val="00F153B0"/>
    <w:rsid w:val="00F37C68"/>
    <w:rsid w:val="00F50087"/>
    <w:rsid w:val="00F61DF6"/>
    <w:rsid w:val="00F62074"/>
    <w:rsid w:val="00F6671A"/>
    <w:rsid w:val="00F7045F"/>
    <w:rsid w:val="00F8040B"/>
    <w:rsid w:val="00F80B65"/>
    <w:rsid w:val="00F83D53"/>
    <w:rsid w:val="00F96CFA"/>
    <w:rsid w:val="00FC615F"/>
    <w:rsid w:val="00FC6BF1"/>
    <w:rsid w:val="00FD022A"/>
    <w:rsid w:val="00FD6DEF"/>
    <w:rsid w:val="00FF0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CD75B"/>
  <w15:chartTrackingRefBased/>
  <w15:docId w15:val="{13D19396-7D04-40AB-97CB-3153D71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E0"/>
    <w:pPr>
      <w:ind w:left="720"/>
      <w:contextualSpacing/>
    </w:pPr>
  </w:style>
  <w:style w:type="paragraph" w:styleId="FootnoteText">
    <w:name w:val="footnote text"/>
    <w:basedOn w:val="Normal"/>
    <w:link w:val="FootnoteTextChar"/>
    <w:uiPriority w:val="99"/>
    <w:semiHidden/>
    <w:unhideWhenUsed/>
    <w:rsid w:val="00122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754"/>
    <w:rPr>
      <w:sz w:val="20"/>
      <w:szCs w:val="20"/>
    </w:rPr>
  </w:style>
  <w:style w:type="character" w:styleId="FootnoteReference">
    <w:name w:val="footnote reference"/>
    <w:basedOn w:val="DefaultParagraphFont"/>
    <w:uiPriority w:val="99"/>
    <w:semiHidden/>
    <w:unhideWhenUsed/>
    <w:rsid w:val="00122754"/>
    <w:rPr>
      <w:vertAlign w:val="superscript"/>
    </w:rPr>
  </w:style>
  <w:style w:type="paragraph" w:styleId="Header">
    <w:name w:val="header"/>
    <w:basedOn w:val="Normal"/>
    <w:link w:val="HeaderChar"/>
    <w:uiPriority w:val="99"/>
    <w:unhideWhenUsed/>
    <w:rsid w:val="00CB7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F9B"/>
  </w:style>
  <w:style w:type="paragraph" w:styleId="Footer">
    <w:name w:val="footer"/>
    <w:basedOn w:val="Normal"/>
    <w:link w:val="FooterChar"/>
    <w:uiPriority w:val="99"/>
    <w:unhideWhenUsed/>
    <w:rsid w:val="00CB7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F9B"/>
  </w:style>
  <w:style w:type="paragraph" w:styleId="BalloonText">
    <w:name w:val="Balloon Text"/>
    <w:basedOn w:val="Normal"/>
    <w:link w:val="BalloonTextChar"/>
    <w:uiPriority w:val="99"/>
    <w:semiHidden/>
    <w:unhideWhenUsed/>
    <w:rsid w:val="0048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55"/>
    <w:rPr>
      <w:rFonts w:ascii="Segoe UI" w:hAnsi="Segoe UI" w:cs="Segoe UI"/>
      <w:sz w:val="18"/>
      <w:szCs w:val="18"/>
    </w:rPr>
  </w:style>
  <w:style w:type="table" w:styleId="TableGrid">
    <w:name w:val="Table Grid"/>
    <w:basedOn w:val="TableNormal"/>
    <w:uiPriority w:val="59"/>
    <w:rsid w:val="007C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B65"/>
    <w:rPr>
      <w:sz w:val="16"/>
      <w:szCs w:val="16"/>
    </w:rPr>
  </w:style>
  <w:style w:type="paragraph" w:styleId="CommentText">
    <w:name w:val="annotation text"/>
    <w:basedOn w:val="Normal"/>
    <w:link w:val="CommentTextChar"/>
    <w:uiPriority w:val="99"/>
    <w:semiHidden/>
    <w:unhideWhenUsed/>
    <w:rsid w:val="00F80B65"/>
    <w:pPr>
      <w:spacing w:line="240" w:lineRule="auto"/>
    </w:pPr>
    <w:rPr>
      <w:sz w:val="20"/>
      <w:szCs w:val="20"/>
    </w:rPr>
  </w:style>
  <w:style w:type="character" w:customStyle="1" w:styleId="CommentTextChar">
    <w:name w:val="Comment Text Char"/>
    <w:basedOn w:val="DefaultParagraphFont"/>
    <w:link w:val="CommentText"/>
    <w:uiPriority w:val="99"/>
    <w:semiHidden/>
    <w:rsid w:val="00F80B65"/>
    <w:rPr>
      <w:sz w:val="20"/>
      <w:szCs w:val="20"/>
    </w:rPr>
  </w:style>
  <w:style w:type="paragraph" w:styleId="CommentSubject">
    <w:name w:val="annotation subject"/>
    <w:basedOn w:val="CommentText"/>
    <w:next w:val="CommentText"/>
    <w:link w:val="CommentSubjectChar"/>
    <w:uiPriority w:val="99"/>
    <w:semiHidden/>
    <w:unhideWhenUsed/>
    <w:rsid w:val="00F80B65"/>
    <w:rPr>
      <w:b/>
      <w:bCs/>
    </w:rPr>
  </w:style>
  <w:style w:type="character" w:customStyle="1" w:styleId="CommentSubjectChar">
    <w:name w:val="Comment Subject Char"/>
    <w:basedOn w:val="CommentTextChar"/>
    <w:link w:val="CommentSubject"/>
    <w:uiPriority w:val="99"/>
    <w:semiHidden/>
    <w:rsid w:val="00F80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55B79-A331-4DE0-872D-78A2F047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count snapshot - June 2021</dc:title>
  <dc:subject/>
  <dc:creator>Northern Territory Government</dc:creator>
  <cp:keywords/>
  <dc:description/>
  <cp:lastModifiedBy>Andrea Ruske</cp:lastModifiedBy>
  <cp:revision>17</cp:revision>
  <cp:lastPrinted>2021-08-25T05:51:00Z</cp:lastPrinted>
  <dcterms:created xsi:type="dcterms:W3CDTF">2021-08-26T01:04:00Z</dcterms:created>
  <dcterms:modified xsi:type="dcterms:W3CDTF">2021-08-27T05:33:00Z</dcterms:modified>
</cp:coreProperties>
</file>