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34F" w:rsidRPr="0028434F" w:rsidRDefault="0028434F" w:rsidP="0028434F">
      <w:pPr>
        <w:pStyle w:val="NoSpacing"/>
        <w:rPr>
          <w:b/>
          <w:color w:val="FFFFFF" w:themeColor="background1"/>
          <w:sz w:val="12"/>
          <w:szCs w:val="12"/>
        </w:rPr>
      </w:pPr>
      <w:bookmarkStart w:id="0" w:name="_GoBack"/>
      <w:bookmarkEnd w:id="0"/>
      <w:r w:rsidRPr="0028434F">
        <w:rPr>
          <w:color w:val="FFFFFF" w:themeColor="background1"/>
          <w:sz w:val="12"/>
          <w:szCs w:val="12"/>
        </w:rPr>
        <w:t>Please read an outlined view for best navigational experience.</w:t>
      </w:r>
    </w:p>
    <w:p w:rsidR="002E799B" w:rsidRPr="007052EA" w:rsidRDefault="002E799B" w:rsidP="007052EA">
      <w:pPr>
        <w:pStyle w:val="Heading1"/>
      </w:pPr>
      <w:r w:rsidRPr="007052EA">
        <w:t>Northern Territory business count 2014</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793924">
        <w:rPr>
          <w:b w:val="0"/>
          <w:color w:val="365F91" w:themeColor="accent1" w:themeShade="BF"/>
          <w:sz w:val="20"/>
          <w:szCs w:val="18"/>
        </w:rPr>
        <w:t xml:space="preserve">The </w:t>
      </w:r>
      <w:r>
        <w:rPr>
          <w:b w:val="0"/>
          <w:color w:val="365F91" w:themeColor="accent1" w:themeShade="BF"/>
          <w:sz w:val="20"/>
          <w:szCs w:val="18"/>
        </w:rPr>
        <w:t xml:space="preserve">Northern </w:t>
      </w:r>
      <w:r w:rsidRPr="00793924">
        <w:rPr>
          <w:b w:val="0"/>
          <w:color w:val="365F91" w:themeColor="accent1" w:themeShade="BF"/>
          <w:sz w:val="20"/>
          <w:szCs w:val="18"/>
        </w:rPr>
        <w:t>Territory</w:t>
      </w:r>
      <w:r>
        <w:rPr>
          <w:b w:val="0"/>
          <w:color w:val="365F91" w:themeColor="accent1" w:themeShade="BF"/>
          <w:sz w:val="20"/>
          <w:szCs w:val="18"/>
        </w:rPr>
        <w:t xml:space="preserve"> (NT)</w:t>
      </w:r>
      <w:r w:rsidRPr="00793924">
        <w:rPr>
          <w:b w:val="0"/>
          <w:color w:val="365F91" w:themeColor="accent1" w:themeShade="BF"/>
          <w:sz w:val="20"/>
          <w:szCs w:val="18"/>
        </w:rPr>
        <w:t xml:space="preserve"> had 14 </w:t>
      </w:r>
      <w:r w:rsidR="00C6477C">
        <w:rPr>
          <w:b w:val="0"/>
          <w:color w:val="365F91" w:themeColor="accent1" w:themeShade="BF"/>
          <w:sz w:val="20"/>
          <w:szCs w:val="18"/>
        </w:rPr>
        <w:t>238</w:t>
      </w:r>
      <w:r w:rsidRPr="00793924">
        <w:rPr>
          <w:b w:val="0"/>
          <w:color w:val="365F91" w:themeColor="accent1" w:themeShade="BF"/>
          <w:sz w:val="20"/>
          <w:szCs w:val="18"/>
        </w:rPr>
        <w:t xml:space="preserve"> actively trading </w:t>
      </w:r>
      <w:r w:rsidRPr="00004542">
        <w:rPr>
          <w:b w:val="0"/>
          <w:color w:val="365F91" w:themeColor="accent1" w:themeShade="BF"/>
          <w:sz w:val="20"/>
          <w:szCs w:val="18"/>
        </w:rPr>
        <w:t>businesses at June 201</w:t>
      </w:r>
      <w:r w:rsidR="00C6477C">
        <w:rPr>
          <w:b w:val="0"/>
          <w:color w:val="365F91" w:themeColor="accent1" w:themeShade="BF"/>
          <w:sz w:val="20"/>
          <w:szCs w:val="18"/>
        </w:rPr>
        <w:t>5</w:t>
      </w:r>
      <w:r w:rsidRPr="00004542">
        <w:rPr>
          <w:b w:val="0"/>
          <w:color w:val="365F91" w:themeColor="accent1" w:themeShade="BF"/>
          <w:sz w:val="20"/>
          <w:szCs w:val="18"/>
        </w:rPr>
        <w:t>, comprising 0.6</w:t>
      </w:r>
      <w:r w:rsidR="00C6477C">
        <w:rPr>
          <w:b w:val="0"/>
          <w:color w:val="365F91" w:themeColor="accent1" w:themeShade="BF"/>
          <w:sz w:val="20"/>
          <w:szCs w:val="18"/>
        </w:rPr>
        <w:t>7</w:t>
      </w:r>
      <w:r w:rsidRPr="00004542">
        <w:rPr>
          <w:b w:val="0"/>
          <w:color w:val="365F91" w:themeColor="accent1" w:themeShade="BF"/>
          <w:sz w:val="20"/>
          <w:szCs w:val="18"/>
        </w:rPr>
        <w:t xml:space="preserve">% of total actively trading businesses in Australia. </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004542">
        <w:rPr>
          <w:b w:val="0"/>
          <w:color w:val="365F91" w:themeColor="accent1" w:themeShade="BF"/>
          <w:sz w:val="20"/>
          <w:szCs w:val="18"/>
        </w:rPr>
        <w:t>The highest number of operating businesses was in New South Wales.  This was followed by Victoria, Queensland, Western Australia, South Australia, Tasmania, the Australian Capital Territory and the Northern Territory.</w:t>
      </w:r>
    </w:p>
    <w:p w:rsidR="002E799B" w:rsidRDefault="002E799B" w:rsidP="007052EA">
      <w:pPr>
        <w:pStyle w:val="NoSpacing"/>
      </w:pPr>
    </w:p>
    <w:p w:rsidR="002E799B" w:rsidRPr="007052EA" w:rsidRDefault="002E799B" w:rsidP="007052EA">
      <w:pPr>
        <w:pStyle w:val="Heading2"/>
      </w:pPr>
      <w:r w:rsidRPr="007052EA">
        <w:t>Business counts</w:t>
      </w:r>
    </w:p>
    <w:p w:rsidR="002E799B" w:rsidRPr="00004542" w:rsidRDefault="002E799B"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sidRPr="00004542">
        <w:rPr>
          <w:b w:val="0"/>
          <w:color w:val="365F91" w:themeColor="accent1" w:themeShade="BF"/>
          <w:sz w:val="20"/>
          <w:szCs w:val="18"/>
        </w:rPr>
        <w:t xml:space="preserve">There were 14 </w:t>
      </w:r>
      <w:r>
        <w:rPr>
          <w:b w:val="0"/>
          <w:color w:val="365F91" w:themeColor="accent1" w:themeShade="BF"/>
          <w:sz w:val="20"/>
          <w:szCs w:val="18"/>
        </w:rPr>
        <w:t>2</w:t>
      </w:r>
      <w:r w:rsidR="00C6477C">
        <w:rPr>
          <w:b w:val="0"/>
          <w:color w:val="365F91" w:themeColor="accent1" w:themeShade="BF"/>
          <w:sz w:val="20"/>
          <w:szCs w:val="18"/>
        </w:rPr>
        <w:t>38</w:t>
      </w:r>
      <w:r w:rsidRPr="00004542">
        <w:rPr>
          <w:b w:val="0"/>
          <w:color w:val="365F91" w:themeColor="accent1" w:themeShade="BF"/>
          <w:sz w:val="20"/>
          <w:szCs w:val="18"/>
        </w:rPr>
        <w:t xml:space="preserve"> actively operating b</w:t>
      </w:r>
      <w:r w:rsidR="00C6477C">
        <w:rPr>
          <w:b w:val="0"/>
          <w:color w:val="365F91" w:themeColor="accent1" w:themeShade="BF"/>
          <w:sz w:val="20"/>
          <w:szCs w:val="18"/>
        </w:rPr>
        <w:t>usinesses in the NT at June 2015, an increase of 17 business (0.1%) compared with June 2014</w:t>
      </w:r>
      <w:r w:rsidRPr="00004542">
        <w:rPr>
          <w:b w:val="0"/>
          <w:color w:val="365F91" w:themeColor="accent1" w:themeShade="BF"/>
          <w:sz w:val="20"/>
          <w:szCs w:val="18"/>
        </w:rPr>
        <w:t>.</w:t>
      </w:r>
    </w:p>
    <w:p w:rsidR="002E799B" w:rsidRPr="00004542" w:rsidRDefault="00C6477C"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Pr>
          <w:b w:val="0"/>
          <w:color w:val="365F91" w:themeColor="accent1" w:themeShade="BF"/>
          <w:sz w:val="20"/>
          <w:szCs w:val="18"/>
        </w:rPr>
        <w:t>In June 2015</w:t>
      </w:r>
      <w:r w:rsidR="002E799B" w:rsidRPr="00004542">
        <w:rPr>
          <w:b w:val="0"/>
          <w:color w:val="365F91" w:themeColor="accent1" w:themeShade="BF"/>
          <w:sz w:val="20"/>
          <w:szCs w:val="18"/>
        </w:rPr>
        <w:t>, the NT had 14 2</w:t>
      </w:r>
      <w:r>
        <w:rPr>
          <w:b w:val="0"/>
          <w:color w:val="365F91" w:themeColor="accent1" w:themeShade="BF"/>
          <w:sz w:val="20"/>
          <w:szCs w:val="18"/>
        </w:rPr>
        <w:t>38</w:t>
      </w:r>
      <w:r w:rsidR="002E799B" w:rsidRPr="00004542">
        <w:rPr>
          <w:b w:val="0"/>
          <w:color w:val="365F91" w:themeColor="accent1" w:themeShade="BF"/>
          <w:sz w:val="20"/>
          <w:szCs w:val="18"/>
        </w:rPr>
        <w:t xml:space="preserve"> trading businesses, compared with 14 </w:t>
      </w:r>
      <w:r>
        <w:rPr>
          <w:b w:val="0"/>
          <w:color w:val="365F91" w:themeColor="accent1" w:themeShade="BF"/>
          <w:sz w:val="20"/>
          <w:szCs w:val="18"/>
        </w:rPr>
        <w:t>221 businesses in June 2014</w:t>
      </w:r>
      <w:r w:rsidR="002E799B" w:rsidRPr="00004542">
        <w:rPr>
          <w:b w:val="0"/>
          <w:color w:val="365F91" w:themeColor="accent1" w:themeShade="BF"/>
          <w:sz w:val="20"/>
          <w:szCs w:val="18"/>
        </w:rPr>
        <w:t xml:space="preserve"> and 14 </w:t>
      </w:r>
      <w:r>
        <w:rPr>
          <w:b w:val="0"/>
          <w:color w:val="365F91" w:themeColor="accent1" w:themeShade="BF"/>
          <w:sz w:val="20"/>
          <w:szCs w:val="18"/>
        </w:rPr>
        <w:t>203 businesses in in June 2013</w:t>
      </w:r>
      <w:r w:rsidR="002E799B" w:rsidRPr="00004542">
        <w:rPr>
          <w:b w:val="0"/>
          <w:color w:val="365F91" w:themeColor="accent1" w:themeShade="BF"/>
          <w:sz w:val="20"/>
          <w:szCs w:val="18"/>
        </w:rPr>
        <w:t>.</w:t>
      </w:r>
    </w:p>
    <w:p w:rsidR="002E799B" w:rsidRDefault="00C6477C" w:rsidP="002E799B">
      <w:pPr>
        <w:pStyle w:val="StyleFormText14ptBoldTeal"/>
        <w:numPr>
          <w:ilvl w:val="0"/>
          <w:numId w:val="22"/>
        </w:numPr>
        <w:spacing w:before="120" w:line="240" w:lineRule="auto"/>
        <w:ind w:left="357" w:hanging="357"/>
        <w:jc w:val="both"/>
        <w:rPr>
          <w:b w:val="0"/>
          <w:color w:val="365F91" w:themeColor="accent1" w:themeShade="BF"/>
          <w:sz w:val="20"/>
          <w:szCs w:val="18"/>
        </w:rPr>
      </w:pPr>
      <w:r>
        <w:rPr>
          <w:b w:val="0"/>
          <w:color w:val="365F91" w:themeColor="accent1" w:themeShade="BF"/>
          <w:sz w:val="20"/>
          <w:szCs w:val="18"/>
        </w:rPr>
        <w:t>There were 2 121</w:t>
      </w:r>
      <w:r w:rsidR="002E799B" w:rsidRPr="00004542">
        <w:rPr>
          <w:b w:val="0"/>
          <w:color w:val="365F91" w:themeColor="accent1" w:themeShade="BF"/>
          <w:sz w:val="20"/>
          <w:szCs w:val="18"/>
        </w:rPr>
        <w:t xml:space="preserve"> </w:t>
      </w:r>
      <w:r>
        <w:rPr>
          <w:b w:val="0"/>
          <w:color w:val="365F91" w:themeColor="accent1" w:themeShade="BF"/>
          <w:sz w:val="20"/>
          <w:szCs w:val="18"/>
        </w:rPr>
        <w:t>235</w:t>
      </w:r>
      <w:r w:rsidR="002E799B" w:rsidRPr="00004542">
        <w:rPr>
          <w:b w:val="0"/>
          <w:color w:val="365F91" w:themeColor="accent1" w:themeShade="BF"/>
          <w:sz w:val="20"/>
          <w:szCs w:val="18"/>
        </w:rPr>
        <w:t xml:space="preserve"> actively operating busi</w:t>
      </w:r>
      <w:r>
        <w:rPr>
          <w:b w:val="0"/>
          <w:color w:val="365F91" w:themeColor="accent1" w:themeShade="BF"/>
          <w:sz w:val="20"/>
          <w:szCs w:val="18"/>
        </w:rPr>
        <w:t>nesses in Australia at June 2015, an increase of 21</w:t>
      </w:r>
      <w:r w:rsidR="002E799B" w:rsidRPr="00004542">
        <w:rPr>
          <w:b w:val="0"/>
          <w:color w:val="365F91" w:themeColor="accent1" w:themeShade="BF"/>
          <w:sz w:val="20"/>
          <w:szCs w:val="18"/>
        </w:rPr>
        <w:t xml:space="preserve"> </w:t>
      </w:r>
      <w:r>
        <w:rPr>
          <w:b w:val="0"/>
          <w:color w:val="365F91" w:themeColor="accent1" w:themeShade="BF"/>
          <w:sz w:val="20"/>
          <w:szCs w:val="18"/>
        </w:rPr>
        <w:t>073</w:t>
      </w:r>
      <w:r w:rsidR="002E799B" w:rsidRPr="00004542">
        <w:rPr>
          <w:b w:val="0"/>
          <w:color w:val="365F91" w:themeColor="accent1" w:themeShade="BF"/>
          <w:sz w:val="20"/>
          <w:szCs w:val="18"/>
        </w:rPr>
        <w:t xml:space="preserve"> </w:t>
      </w:r>
      <w:r>
        <w:rPr>
          <w:b w:val="0"/>
          <w:color w:val="365F91" w:themeColor="accent1" w:themeShade="BF"/>
          <w:sz w:val="20"/>
          <w:szCs w:val="18"/>
        </w:rPr>
        <w:t>(1.0%) businesses from June 2014</w:t>
      </w:r>
      <w:r w:rsidR="002E799B" w:rsidRPr="00004542">
        <w:rPr>
          <w:b w:val="0"/>
          <w:color w:val="365F91" w:themeColor="accent1" w:themeShade="BF"/>
          <w:sz w:val="20"/>
          <w:szCs w:val="18"/>
        </w:rPr>
        <w:t>.</w:t>
      </w:r>
    </w:p>
    <w:p w:rsidR="00CB68DB" w:rsidRDefault="00CB68DB" w:rsidP="0028434F">
      <w:pPr>
        <w:pStyle w:val="StyleFormText14ptBoldTeal"/>
        <w:spacing w:before="200" w:line="276" w:lineRule="auto"/>
        <w:jc w:val="center"/>
        <w:rPr>
          <w:bCs w:val="0"/>
          <w:snapToGrid w:val="0"/>
          <w:color w:val="auto"/>
          <w:sz w:val="20"/>
          <w:szCs w:val="16"/>
        </w:rPr>
      </w:pPr>
      <w:r>
        <w:rPr>
          <w:bCs w:val="0"/>
          <w:snapToGrid w:val="0"/>
          <w:color w:val="auto"/>
          <w:sz w:val="20"/>
          <w:szCs w:val="16"/>
        </w:rPr>
        <w:br w:type="column"/>
      </w:r>
      <w:r w:rsidRPr="002634E1">
        <w:rPr>
          <w:bCs w:val="0"/>
          <w:snapToGrid w:val="0"/>
          <w:color w:val="auto"/>
          <w:sz w:val="20"/>
          <w:szCs w:val="16"/>
        </w:rPr>
        <w:lastRenderedPageBreak/>
        <w:t xml:space="preserve">Business count (actively trading), </w:t>
      </w:r>
    </w:p>
    <w:p w:rsidR="00CB68DB" w:rsidRPr="002634E1" w:rsidRDefault="00CB68DB" w:rsidP="00CB68DB">
      <w:pPr>
        <w:pStyle w:val="StyleFormText14ptBoldTeal"/>
        <w:spacing w:line="276" w:lineRule="auto"/>
        <w:jc w:val="center"/>
        <w:rPr>
          <w:bCs w:val="0"/>
          <w:snapToGrid w:val="0"/>
          <w:color w:val="auto"/>
          <w:sz w:val="20"/>
          <w:szCs w:val="16"/>
        </w:rPr>
      </w:pPr>
      <w:r w:rsidRPr="002634E1">
        <w:rPr>
          <w:bCs w:val="0"/>
          <w:snapToGrid w:val="0"/>
          <w:color w:val="auto"/>
          <w:sz w:val="20"/>
          <w:szCs w:val="16"/>
        </w:rPr>
        <w:t>June 201</w:t>
      </w:r>
      <w:r w:rsidR="0023722F">
        <w:rPr>
          <w:bCs w:val="0"/>
          <w:snapToGrid w:val="0"/>
          <w:color w:val="auto"/>
          <w:sz w:val="20"/>
          <w:szCs w:val="16"/>
        </w:rPr>
        <w:t>5</w:t>
      </w:r>
    </w:p>
    <w:p w:rsidR="00CB68DB" w:rsidRDefault="00CB68DB" w:rsidP="00CB68DB">
      <w:pPr>
        <w:pStyle w:val="StyleFormText14ptBoldTeal"/>
        <w:spacing w:line="276" w:lineRule="auto"/>
        <w:ind w:left="720"/>
        <w:jc w:val="both"/>
        <w:rPr>
          <w:b w:val="0"/>
          <w:color w:val="31849B" w:themeColor="accent5" w:themeShade="BF"/>
          <w:sz w:val="18"/>
          <w:szCs w:val="18"/>
        </w:rPr>
      </w:pPr>
      <w:r w:rsidRPr="00FB4300">
        <w:rPr>
          <w:b w:val="0"/>
          <w:color w:val="31849B" w:themeColor="accent5" w:themeShade="BF"/>
          <w:sz w:val="18"/>
          <w:szCs w:val="18"/>
        </w:rPr>
        <w:t>National count</w:t>
      </w:r>
      <w:r>
        <w:rPr>
          <w:color w:val="31849B" w:themeColor="accent5" w:themeShade="BF"/>
          <w:sz w:val="18"/>
          <w:szCs w:val="18"/>
        </w:rPr>
        <w:t xml:space="preserve">: </w:t>
      </w:r>
      <w:r w:rsidRPr="00FB4300">
        <w:rPr>
          <w:b w:val="0"/>
          <w:color w:val="31849B" w:themeColor="accent5" w:themeShade="BF"/>
          <w:sz w:val="18"/>
          <w:szCs w:val="18"/>
        </w:rPr>
        <w:t>2</w:t>
      </w:r>
      <w:r>
        <w:rPr>
          <w:b w:val="0"/>
          <w:color w:val="31849B" w:themeColor="accent5" w:themeShade="BF"/>
          <w:sz w:val="18"/>
          <w:szCs w:val="18"/>
        </w:rPr>
        <w:t>,1</w:t>
      </w:r>
      <w:r w:rsidR="0023722F">
        <w:rPr>
          <w:b w:val="0"/>
          <w:color w:val="31849B" w:themeColor="accent5" w:themeShade="BF"/>
          <w:sz w:val="18"/>
          <w:szCs w:val="18"/>
        </w:rPr>
        <w:t>21</w:t>
      </w:r>
      <w:r>
        <w:rPr>
          <w:b w:val="0"/>
          <w:color w:val="31849B" w:themeColor="accent5" w:themeShade="BF"/>
          <w:sz w:val="18"/>
          <w:szCs w:val="18"/>
        </w:rPr>
        <w:t>,</w:t>
      </w:r>
      <w:r w:rsidR="0023722F">
        <w:rPr>
          <w:b w:val="0"/>
          <w:color w:val="31849B" w:themeColor="accent5" w:themeShade="BF"/>
          <w:sz w:val="18"/>
          <w:szCs w:val="18"/>
        </w:rPr>
        <w:t>235</w:t>
      </w:r>
    </w:p>
    <w:p w:rsidR="00CB68DB" w:rsidRPr="009D0451" w:rsidRDefault="00CB68DB" w:rsidP="00CB68DB">
      <w:pPr>
        <w:pStyle w:val="StyleFormText14ptBoldTeal"/>
        <w:spacing w:line="276" w:lineRule="auto"/>
        <w:ind w:left="720"/>
        <w:jc w:val="both"/>
        <w:rPr>
          <w:b w:val="0"/>
          <w:color w:val="31849B" w:themeColor="accent5" w:themeShade="BF"/>
          <w:sz w:val="14"/>
          <w:szCs w:val="18"/>
        </w:rPr>
      </w:pPr>
      <w:r>
        <w:rPr>
          <w:b w:val="0"/>
          <w:i/>
          <w:color w:val="31849B" w:themeColor="accent5" w:themeShade="BF"/>
          <w:sz w:val="14"/>
          <w:szCs w:val="18"/>
        </w:rPr>
        <w:t xml:space="preserve"> </w:t>
      </w:r>
      <w:r w:rsidRPr="00A930CA">
        <w:rPr>
          <w:b w:val="0"/>
          <w:i/>
          <w:color w:val="31849B" w:themeColor="accent5" w:themeShade="BF"/>
          <w:sz w:val="14"/>
          <w:szCs w:val="18"/>
        </w:rPr>
        <w:t>Currently not distributed</w:t>
      </w:r>
      <w:r w:rsidRPr="009D0451">
        <w:rPr>
          <w:b w:val="0"/>
          <w:color w:val="31849B" w:themeColor="accent5" w:themeShade="BF"/>
          <w:sz w:val="14"/>
          <w:szCs w:val="18"/>
        </w:rPr>
        <w:t>: 1</w:t>
      </w:r>
      <w:r>
        <w:rPr>
          <w:b w:val="0"/>
          <w:color w:val="31849B" w:themeColor="accent5" w:themeShade="BF"/>
          <w:sz w:val="14"/>
          <w:szCs w:val="18"/>
        </w:rPr>
        <w:t>386</w:t>
      </w:r>
    </w:p>
    <w:p w:rsidR="00CB68DB" w:rsidRDefault="0014644E" w:rsidP="00A569B7">
      <w:pPr>
        <w:pStyle w:val="StyleFormText14ptBoldTeal"/>
        <w:spacing w:line="276" w:lineRule="auto"/>
        <w:jc w:val="both"/>
        <w:rPr>
          <w:color w:val="31849B" w:themeColor="accent5" w:themeShade="BF"/>
          <w:sz w:val="18"/>
          <w:szCs w:val="18"/>
        </w:rPr>
      </w:pPr>
      <w:r w:rsidRPr="0014644E">
        <w:rPr>
          <w:noProof/>
        </w:rPr>
        <w:drawing>
          <wp:inline distT="0" distB="0" distL="0" distR="0">
            <wp:extent cx="2727960" cy="2461260"/>
            <wp:effectExtent l="0" t="0" r="0" b="0"/>
            <wp:docPr id="9" name="Picture 9" descr="NT - 14,238, QLD - 417,130, NSW - 706,671, ACT - 25,689, VIC - 554,600, TAS - 36,802, SA - 143,542 and WA - 221,171" title="Business count (actively trading), Jun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7960" cy="2461260"/>
                    </a:xfrm>
                    <a:prstGeom prst="rect">
                      <a:avLst/>
                    </a:prstGeom>
                    <a:noFill/>
                    <a:ln>
                      <a:noFill/>
                    </a:ln>
                  </pic:spPr>
                </pic:pic>
              </a:graphicData>
            </a:graphic>
          </wp:inline>
        </w:drawing>
      </w:r>
    </w:p>
    <w:p w:rsidR="00CB68DB" w:rsidRPr="0028434F" w:rsidRDefault="00CB68DB" w:rsidP="00CB68DB">
      <w:pPr>
        <w:pStyle w:val="StyleFormText14ptBoldTeal"/>
        <w:spacing w:line="276" w:lineRule="auto"/>
        <w:jc w:val="both"/>
        <w:rPr>
          <w:b w:val="0"/>
          <w:color w:val="auto"/>
          <w:sz w:val="16"/>
          <w:szCs w:val="18"/>
        </w:rPr>
      </w:pPr>
      <w:r w:rsidRPr="00C22AB9">
        <w:rPr>
          <w:b w:val="0"/>
          <w:color w:val="auto"/>
          <w:sz w:val="14"/>
          <w:szCs w:val="18"/>
        </w:rPr>
        <w:t>Sou</w:t>
      </w:r>
      <w:r w:rsidRPr="0028434F">
        <w:rPr>
          <w:b w:val="0"/>
          <w:color w:val="auto"/>
          <w:sz w:val="14"/>
          <w:szCs w:val="18"/>
        </w:rPr>
        <w:t>rce: ABS Cat. No. 8165.0</w:t>
      </w:r>
    </w:p>
    <w:p w:rsidR="00316E3C" w:rsidRDefault="00316E3C" w:rsidP="0028434F">
      <w:pPr>
        <w:pStyle w:val="NoSpacing"/>
      </w:pPr>
    </w:p>
    <w:p w:rsidR="0028434F" w:rsidRPr="0028434F" w:rsidRDefault="0028434F" w:rsidP="00CB68DB">
      <w:pPr>
        <w:pStyle w:val="StyleFormText14ptBoldTeal"/>
        <w:spacing w:before="120" w:line="240" w:lineRule="auto"/>
        <w:jc w:val="both"/>
        <w:rPr>
          <w:b w:val="0"/>
          <w:color w:val="auto"/>
          <w:sz w:val="20"/>
          <w:szCs w:val="18"/>
        </w:rPr>
        <w:sectPr w:rsidR="0028434F" w:rsidRPr="0028434F" w:rsidSect="006B34F7">
          <w:headerReference w:type="default" r:id="rId14"/>
          <w:footerReference w:type="default" r:id="rId15"/>
          <w:type w:val="continuous"/>
          <w:pgSz w:w="11906" w:h="16838"/>
          <w:pgMar w:top="1702" w:right="849" w:bottom="1134" w:left="567" w:header="283" w:footer="397" w:gutter="0"/>
          <w:cols w:num="2" w:space="708" w:equalWidth="0">
            <w:col w:w="5458" w:space="638"/>
            <w:col w:w="4392"/>
          </w:cols>
          <w:docGrid w:linePitch="360"/>
        </w:sectPr>
      </w:pPr>
    </w:p>
    <w:p w:rsidR="00CB68DB" w:rsidRPr="00004542" w:rsidRDefault="00CB68DB" w:rsidP="007052EA">
      <w:pPr>
        <w:pStyle w:val="NoSpacing"/>
      </w:pPr>
    </w:p>
    <w:p w:rsidR="000F4865" w:rsidRPr="00004542" w:rsidRDefault="000F4865" w:rsidP="007052EA">
      <w:pPr>
        <w:pStyle w:val="Heading2"/>
      </w:pPr>
      <w:r w:rsidRPr="00004542">
        <w:t>Business entry, exit and survival</w:t>
      </w:r>
    </w:p>
    <w:p w:rsidR="000F4865" w:rsidRPr="00496F7F"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496F7F">
        <w:rPr>
          <w:b w:val="0"/>
          <w:color w:val="365F91" w:themeColor="accent1" w:themeShade="BF"/>
          <w:sz w:val="20"/>
          <w:szCs w:val="18"/>
        </w:rPr>
        <w:t xml:space="preserve">In </w:t>
      </w:r>
      <w:r w:rsidR="00C6477C">
        <w:rPr>
          <w:b w:val="0"/>
          <w:color w:val="365F91" w:themeColor="accent1" w:themeShade="BF"/>
          <w:sz w:val="20"/>
          <w:szCs w:val="18"/>
        </w:rPr>
        <w:t>2014-15</w:t>
      </w:r>
      <w:r w:rsidRPr="00496F7F">
        <w:rPr>
          <w:b w:val="0"/>
          <w:color w:val="365F91" w:themeColor="accent1" w:themeShade="BF"/>
          <w:sz w:val="20"/>
          <w:szCs w:val="18"/>
        </w:rPr>
        <w:t xml:space="preserve">, the entry rate for businesses in the NT was </w:t>
      </w:r>
      <w:r w:rsidR="00C6477C">
        <w:rPr>
          <w:b w:val="0"/>
          <w:color w:val="365F91" w:themeColor="accent1" w:themeShade="BF"/>
          <w:sz w:val="20"/>
          <w:szCs w:val="18"/>
        </w:rPr>
        <w:t>13.5</w:t>
      </w:r>
      <w:r w:rsidRPr="00496F7F">
        <w:rPr>
          <w:b w:val="0"/>
          <w:color w:val="365F91" w:themeColor="accent1" w:themeShade="BF"/>
          <w:sz w:val="20"/>
          <w:szCs w:val="18"/>
        </w:rPr>
        <w:t>%, higher t</w:t>
      </w:r>
      <w:r w:rsidR="00357BF2">
        <w:rPr>
          <w:b w:val="0"/>
          <w:color w:val="365F91" w:themeColor="accent1" w:themeShade="BF"/>
          <w:sz w:val="20"/>
          <w:szCs w:val="18"/>
        </w:rPr>
        <w:t>han the national average of 13.4</w:t>
      </w:r>
      <w:r w:rsidRPr="00496F7F">
        <w:rPr>
          <w:b w:val="0"/>
          <w:color w:val="365F91" w:themeColor="accent1" w:themeShade="BF"/>
          <w:sz w:val="20"/>
          <w:szCs w:val="18"/>
        </w:rPr>
        <w:t>%.</w:t>
      </w:r>
    </w:p>
    <w:p w:rsidR="000F4865" w:rsidRPr="00197DCF"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The highest entry rate was in the ACT (14.</w:t>
      </w:r>
      <w:r w:rsidR="00357BF2">
        <w:rPr>
          <w:b w:val="0"/>
          <w:color w:val="365F91" w:themeColor="accent1" w:themeShade="BF"/>
          <w:sz w:val="20"/>
          <w:szCs w:val="18"/>
        </w:rPr>
        <w:t>4</w:t>
      </w:r>
      <w:r w:rsidRPr="00197DCF">
        <w:rPr>
          <w:b w:val="0"/>
          <w:color w:val="365F91" w:themeColor="accent1" w:themeShade="BF"/>
          <w:sz w:val="20"/>
          <w:szCs w:val="18"/>
        </w:rPr>
        <w:t xml:space="preserve">%) followed by </w:t>
      </w:r>
      <w:r w:rsidR="00357BF2">
        <w:rPr>
          <w:b w:val="0"/>
          <w:color w:val="365F91" w:themeColor="accent1" w:themeShade="BF"/>
          <w:sz w:val="20"/>
          <w:szCs w:val="18"/>
        </w:rPr>
        <w:t>New South Wales and Victoria (13.8% each respectively)</w:t>
      </w:r>
      <w:r w:rsidRPr="00197DCF">
        <w:rPr>
          <w:b w:val="0"/>
          <w:color w:val="365F91" w:themeColor="accent1" w:themeShade="BF"/>
          <w:sz w:val="20"/>
          <w:szCs w:val="18"/>
        </w:rPr>
        <w:t>. Tasmania had the lowest entry rate of 10.2%.</w:t>
      </w:r>
    </w:p>
    <w:p w:rsidR="000F4865" w:rsidRPr="00197DCF" w:rsidRDefault="00357BF2"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Pr>
          <w:b w:val="0"/>
          <w:color w:val="365F91" w:themeColor="accent1" w:themeShade="BF"/>
          <w:sz w:val="20"/>
          <w:szCs w:val="18"/>
        </w:rPr>
        <w:t>In 2014-15, the exit rate for NT was 13</w:t>
      </w:r>
      <w:r w:rsidR="000F4865" w:rsidRPr="00197DCF">
        <w:rPr>
          <w:b w:val="0"/>
          <w:color w:val="365F91" w:themeColor="accent1" w:themeShade="BF"/>
          <w:sz w:val="20"/>
          <w:szCs w:val="18"/>
        </w:rPr>
        <w:t xml:space="preserve">.4%, lower than the entry rate and resulting in an increase in the number of overall businesses. The NT had the </w:t>
      </w:r>
      <w:r>
        <w:rPr>
          <w:b w:val="0"/>
          <w:color w:val="365F91" w:themeColor="accent1" w:themeShade="BF"/>
          <w:sz w:val="20"/>
          <w:szCs w:val="18"/>
        </w:rPr>
        <w:t xml:space="preserve">second </w:t>
      </w:r>
      <w:r w:rsidR="000F4865" w:rsidRPr="00197DCF">
        <w:rPr>
          <w:b w:val="0"/>
          <w:color w:val="365F91" w:themeColor="accent1" w:themeShade="BF"/>
          <w:sz w:val="20"/>
          <w:szCs w:val="18"/>
        </w:rPr>
        <w:t xml:space="preserve">highest exit rate while Tasmania had the </w:t>
      </w:r>
      <w:r>
        <w:rPr>
          <w:b w:val="0"/>
          <w:color w:val="365F91" w:themeColor="accent1" w:themeShade="BF"/>
          <w:sz w:val="20"/>
          <w:szCs w:val="18"/>
        </w:rPr>
        <w:t>lowest (10.9</w:t>
      </w:r>
      <w:r w:rsidR="000F4865" w:rsidRPr="00197DCF">
        <w:rPr>
          <w:b w:val="0"/>
          <w:color w:val="365F91" w:themeColor="accent1" w:themeShade="BF"/>
          <w:sz w:val="20"/>
          <w:szCs w:val="18"/>
        </w:rPr>
        <w:t>%). Nationally, the exit rate was 12.</w:t>
      </w:r>
      <w:r w:rsidR="005B190C">
        <w:rPr>
          <w:b w:val="0"/>
          <w:color w:val="365F91" w:themeColor="accent1" w:themeShade="BF"/>
          <w:sz w:val="20"/>
          <w:szCs w:val="18"/>
        </w:rPr>
        <w:t>4</w:t>
      </w:r>
      <w:r w:rsidR="000F4865" w:rsidRPr="00197DCF">
        <w:rPr>
          <w:b w:val="0"/>
          <w:color w:val="365F91" w:themeColor="accent1" w:themeShade="BF"/>
          <w:sz w:val="20"/>
          <w:szCs w:val="18"/>
        </w:rPr>
        <w:t>%.</w:t>
      </w:r>
    </w:p>
    <w:p w:rsidR="000F4865" w:rsidRDefault="000F4865" w:rsidP="000F4865">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 xml:space="preserve">Of the 14 </w:t>
      </w:r>
      <w:r w:rsidR="005B190C">
        <w:rPr>
          <w:b w:val="0"/>
          <w:color w:val="365F91" w:themeColor="accent1" w:themeShade="BF"/>
          <w:sz w:val="20"/>
          <w:szCs w:val="18"/>
        </w:rPr>
        <w:t>374</w:t>
      </w:r>
      <w:r w:rsidRPr="00197DCF">
        <w:rPr>
          <w:b w:val="0"/>
          <w:color w:val="365F91" w:themeColor="accent1" w:themeShade="BF"/>
          <w:sz w:val="20"/>
          <w:szCs w:val="18"/>
        </w:rPr>
        <w:t xml:space="preserve"> businesses op</w:t>
      </w:r>
      <w:r w:rsidR="005B190C">
        <w:rPr>
          <w:b w:val="0"/>
          <w:color w:val="365F91" w:themeColor="accent1" w:themeShade="BF"/>
          <w:sz w:val="20"/>
          <w:szCs w:val="18"/>
        </w:rPr>
        <w:t>erating in June 2011</w:t>
      </w:r>
      <w:r w:rsidRPr="00197DCF">
        <w:rPr>
          <w:b w:val="0"/>
          <w:color w:val="365F91" w:themeColor="accent1" w:themeShade="BF"/>
          <w:sz w:val="20"/>
          <w:szCs w:val="18"/>
        </w:rPr>
        <w:t xml:space="preserve"> in the NT, </w:t>
      </w:r>
      <w:r w:rsidR="005B190C">
        <w:rPr>
          <w:b w:val="0"/>
          <w:color w:val="365F91" w:themeColor="accent1" w:themeShade="BF"/>
          <w:sz w:val="20"/>
          <w:szCs w:val="18"/>
        </w:rPr>
        <w:t>86.1</w:t>
      </w:r>
      <w:r w:rsidRPr="00197DCF">
        <w:rPr>
          <w:b w:val="0"/>
          <w:color w:val="365F91" w:themeColor="accent1" w:themeShade="BF"/>
          <w:sz w:val="20"/>
          <w:szCs w:val="18"/>
        </w:rPr>
        <w:t>% were still operating in June 201</w:t>
      </w:r>
      <w:r w:rsidR="005B190C">
        <w:rPr>
          <w:b w:val="0"/>
          <w:color w:val="365F91" w:themeColor="accent1" w:themeShade="BF"/>
          <w:sz w:val="20"/>
          <w:szCs w:val="18"/>
        </w:rPr>
        <w:t>2</w:t>
      </w:r>
      <w:r w:rsidRPr="00197DCF">
        <w:rPr>
          <w:b w:val="0"/>
          <w:color w:val="365F91" w:themeColor="accent1" w:themeShade="BF"/>
          <w:sz w:val="20"/>
          <w:szCs w:val="18"/>
        </w:rPr>
        <w:t xml:space="preserve">, </w:t>
      </w:r>
      <w:r w:rsidR="005B190C">
        <w:rPr>
          <w:b w:val="0"/>
          <w:color w:val="365F91" w:themeColor="accent1" w:themeShade="BF"/>
          <w:sz w:val="20"/>
          <w:szCs w:val="18"/>
        </w:rPr>
        <w:t>74.6% survived to June 2013, 66.0</w:t>
      </w:r>
      <w:r w:rsidRPr="00197DCF">
        <w:rPr>
          <w:b w:val="0"/>
          <w:color w:val="365F91" w:themeColor="accent1" w:themeShade="BF"/>
          <w:sz w:val="20"/>
          <w:szCs w:val="18"/>
        </w:rPr>
        <w:t>% w</w:t>
      </w:r>
      <w:r w:rsidR="005B190C">
        <w:rPr>
          <w:b w:val="0"/>
          <w:color w:val="365F91" w:themeColor="accent1" w:themeShade="BF"/>
          <w:sz w:val="20"/>
          <w:szCs w:val="18"/>
        </w:rPr>
        <w:t>ere still operating in June 2014, and 59.6% survived to June 2015</w:t>
      </w:r>
      <w:r w:rsidRPr="00197DCF">
        <w:rPr>
          <w:b w:val="0"/>
          <w:color w:val="365F91" w:themeColor="accent1" w:themeShade="BF"/>
          <w:sz w:val="20"/>
          <w:szCs w:val="18"/>
        </w:rPr>
        <w:t xml:space="preserve">. </w:t>
      </w:r>
    </w:p>
    <w:p w:rsidR="00850CF1" w:rsidRPr="00197DCF" w:rsidRDefault="005B190C"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Pr>
          <w:b w:val="0"/>
          <w:color w:val="365F91" w:themeColor="accent1" w:themeShade="BF"/>
          <w:sz w:val="20"/>
          <w:szCs w:val="18"/>
        </w:rPr>
        <w:t>Nationally, 61.9</w:t>
      </w:r>
      <w:r w:rsidR="00850CF1" w:rsidRPr="00197DCF">
        <w:rPr>
          <w:b w:val="0"/>
          <w:color w:val="365F91" w:themeColor="accent1" w:themeShade="BF"/>
          <w:sz w:val="20"/>
          <w:szCs w:val="18"/>
        </w:rPr>
        <w:t>% of the b</w:t>
      </w:r>
      <w:r>
        <w:rPr>
          <w:b w:val="0"/>
          <w:color w:val="365F91" w:themeColor="accent1" w:themeShade="BF"/>
          <w:sz w:val="20"/>
          <w:szCs w:val="18"/>
        </w:rPr>
        <w:t>usinesses operating in June 2011</w:t>
      </w:r>
      <w:r w:rsidR="00850CF1" w:rsidRPr="00197DCF">
        <w:rPr>
          <w:b w:val="0"/>
          <w:color w:val="365F91" w:themeColor="accent1" w:themeShade="BF"/>
          <w:sz w:val="20"/>
          <w:szCs w:val="18"/>
        </w:rPr>
        <w:t xml:space="preserve"> survived to June </w:t>
      </w:r>
      <w:r>
        <w:rPr>
          <w:b w:val="0"/>
          <w:color w:val="365F91" w:themeColor="accent1" w:themeShade="BF"/>
          <w:sz w:val="20"/>
          <w:szCs w:val="18"/>
        </w:rPr>
        <w:t>2015</w:t>
      </w:r>
      <w:r w:rsidR="00850CF1" w:rsidRPr="00197DCF">
        <w:rPr>
          <w:b w:val="0"/>
          <w:color w:val="365F91" w:themeColor="accent1" w:themeShade="BF"/>
          <w:sz w:val="20"/>
          <w:szCs w:val="18"/>
        </w:rPr>
        <w:t>.</w:t>
      </w:r>
    </w:p>
    <w:p w:rsidR="00850CF1" w:rsidRPr="00B12A05"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197DCF">
        <w:rPr>
          <w:b w:val="0"/>
          <w:color w:val="365F91" w:themeColor="accent1" w:themeShade="BF"/>
          <w:sz w:val="20"/>
          <w:szCs w:val="18"/>
        </w:rPr>
        <w:t>Of the businesses operating in June 201</w:t>
      </w:r>
      <w:r w:rsidR="005B190C">
        <w:rPr>
          <w:b w:val="0"/>
          <w:color w:val="365F91" w:themeColor="accent1" w:themeShade="BF"/>
          <w:sz w:val="20"/>
          <w:szCs w:val="18"/>
        </w:rPr>
        <w:t>1</w:t>
      </w:r>
      <w:r w:rsidRPr="00197DCF">
        <w:rPr>
          <w:b w:val="0"/>
          <w:color w:val="365F91" w:themeColor="accent1" w:themeShade="BF"/>
          <w:sz w:val="20"/>
          <w:szCs w:val="18"/>
        </w:rPr>
        <w:t xml:space="preserve">, the highest survival rate in </w:t>
      </w:r>
      <w:r w:rsidRPr="00B12A05">
        <w:rPr>
          <w:b w:val="0"/>
          <w:color w:val="365F91" w:themeColor="accent1" w:themeShade="BF"/>
          <w:sz w:val="20"/>
          <w:szCs w:val="18"/>
        </w:rPr>
        <w:t>June 201</w:t>
      </w:r>
      <w:r w:rsidR="005B190C">
        <w:rPr>
          <w:b w:val="0"/>
          <w:color w:val="365F91" w:themeColor="accent1" w:themeShade="BF"/>
          <w:sz w:val="20"/>
          <w:szCs w:val="18"/>
        </w:rPr>
        <w:t>5</w:t>
      </w:r>
      <w:r w:rsidRPr="00B12A05">
        <w:rPr>
          <w:b w:val="0"/>
          <w:color w:val="365F91" w:themeColor="accent1" w:themeShade="BF"/>
          <w:sz w:val="20"/>
          <w:szCs w:val="18"/>
        </w:rPr>
        <w:t xml:space="preserve"> was recorded in Tasmania (65.</w:t>
      </w:r>
      <w:r w:rsidR="005B190C">
        <w:rPr>
          <w:b w:val="0"/>
          <w:color w:val="365F91" w:themeColor="accent1" w:themeShade="BF"/>
          <w:sz w:val="20"/>
          <w:szCs w:val="18"/>
        </w:rPr>
        <w:t>2</w:t>
      </w:r>
      <w:r w:rsidRPr="00B12A05">
        <w:rPr>
          <w:b w:val="0"/>
          <w:color w:val="365F91" w:themeColor="accent1" w:themeShade="BF"/>
          <w:sz w:val="20"/>
          <w:szCs w:val="18"/>
        </w:rPr>
        <w:t>%), followed by South Australia (</w:t>
      </w:r>
      <w:r w:rsidR="005B190C">
        <w:rPr>
          <w:b w:val="0"/>
          <w:color w:val="365F91" w:themeColor="accent1" w:themeShade="BF"/>
          <w:sz w:val="20"/>
          <w:szCs w:val="18"/>
        </w:rPr>
        <w:t>65.0</w:t>
      </w:r>
      <w:r w:rsidRPr="00B12A05">
        <w:rPr>
          <w:b w:val="0"/>
          <w:color w:val="365F91" w:themeColor="accent1" w:themeShade="BF"/>
          <w:sz w:val="20"/>
          <w:szCs w:val="18"/>
        </w:rPr>
        <w:t>%). The lowest survival rate was in the ACT (</w:t>
      </w:r>
      <w:r w:rsidR="005B190C">
        <w:rPr>
          <w:b w:val="0"/>
          <w:color w:val="365F91" w:themeColor="accent1" w:themeShade="BF"/>
          <w:sz w:val="20"/>
          <w:szCs w:val="18"/>
        </w:rPr>
        <w:t>59.0</w:t>
      </w:r>
      <w:r w:rsidRPr="00B12A05">
        <w:rPr>
          <w:b w:val="0"/>
          <w:color w:val="365F91" w:themeColor="accent1" w:themeShade="BF"/>
          <w:sz w:val="20"/>
          <w:szCs w:val="18"/>
        </w:rPr>
        <w:t>%).</w:t>
      </w:r>
    </w:p>
    <w:p w:rsidR="00850CF1" w:rsidRPr="00197DCF"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B12A05">
        <w:rPr>
          <w:b w:val="0"/>
          <w:color w:val="365F91" w:themeColor="accent1" w:themeShade="BF"/>
          <w:sz w:val="20"/>
          <w:szCs w:val="18"/>
        </w:rPr>
        <w:t>In 201</w:t>
      </w:r>
      <w:r w:rsidR="005B190C">
        <w:rPr>
          <w:b w:val="0"/>
          <w:color w:val="365F91" w:themeColor="accent1" w:themeShade="BF"/>
          <w:sz w:val="20"/>
          <w:szCs w:val="18"/>
        </w:rPr>
        <w:t>1</w:t>
      </w:r>
      <w:r w:rsidRPr="00B12A05">
        <w:rPr>
          <w:b w:val="0"/>
          <w:color w:val="365F91" w:themeColor="accent1" w:themeShade="BF"/>
          <w:sz w:val="20"/>
          <w:szCs w:val="18"/>
        </w:rPr>
        <w:t>-1</w:t>
      </w:r>
      <w:r w:rsidR="005B190C">
        <w:rPr>
          <w:b w:val="0"/>
          <w:color w:val="365F91" w:themeColor="accent1" w:themeShade="BF"/>
          <w:sz w:val="20"/>
          <w:szCs w:val="18"/>
        </w:rPr>
        <w:t>2</w:t>
      </w:r>
      <w:r w:rsidRPr="00B12A05">
        <w:rPr>
          <w:b w:val="0"/>
          <w:color w:val="365F91" w:themeColor="accent1" w:themeShade="BF"/>
          <w:sz w:val="20"/>
          <w:szCs w:val="18"/>
        </w:rPr>
        <w:t xml:space="preserve">, the Territory had 2 </w:t>
      </w:r>
      <w:r w:rsidR="005B190C">
        <w:rPr>
          <w:b w:val="0"/>
          <w:color w:val="365F91" w:themeColor="accent1" w:themeShade="BF"/>
          <w:sz w:val="20"/>
          <w:szCs w:val="18"/>
        </w:rPr>
        <w:t>172</w:t>
      </w:r>
      <w:r w:rsidRPr="00B12A05">
        <w:rPr>
          <w:b w:val="0"/>
          <w:color w:val="365F91" w:themeColor="accent1" w:themeShade="BF"/>
          <w:sz w:val="20"/>
          <w:szCs w:val="18"/>
        </w:rPr>
        <w:t xml:space="preserve"> business </w:t>
      </w:r>
      <w:r w:rsidR="005B190C">
        <w:rPr>
          <w:b w:val="0"/>
          <w:color w:val="365F91" w:themeColor="accent1" w:themeShade="BF"/>
          <w:sz w:val="20"/>
          <w:szCs w:val="18"/>
        </w:rPr>
        <w:t>entries and of these 74.3% survived to June 2013</w:t>
      </w:r>
      <w:r w:rsidRPr="00B12A05">
        <w:rPr>
          <w:b w:val="0"/>
          <w:color w:val="365F91" w:themeColor="accent1" w:themeShade="BF"/>
          <w:sz w:val="20"/>
          <w:szCs w:val="18"/>
        </w:rPr>
        <w:t xml:space="preserve">, </w:t>
      </w:r>
      <w:r w:rsidR="005B190C">
        <w:rPr>
          <w:b w:val="0"/>
          <w:color w:val="365F91" w:themeColor="accent1" w:themeShade="BF"/>
          <w:sz w:val="20"/>
          <w:szCs w:val="18"/>
        </w:rPr>
        <w:t>57.0% survived to June 2014</w:t>
      </w:r>
      <w:r w:rsidRPr="00B12A05">
        <w:rPr>
          <w:b w:val="0"/>
          <w:color w:val="365F91" w:themeColor="accent1" w:themeShade="BF"/>
          <w:sz w:val="20"/>
          <w:szCs w:val="18"/>
        </w:rPr>
        <w:t xml:space="preserve"> and </w:t>
      </w:r>
      <w:r w:rsidR="005B190C">
        <w:rPr>
          <w:b w:val="0"/>
          <w:color w:val="365F91" w:themeColor="accent1" w:themeShade="BF"/>
          <w:sz w:val="20"/>
          <w:szCs w:val="18"/>
        </w:rPr>
        <w:t>47.9% survived to June 2015</w:t>
      </w:r>
      <w:r w:rsidRPr="00B12A05">
        <w:rPr>
          <w:b w:val="0"/>
          <w:color w:val="365F91" w:themeColor="accent1" w:themeShade="BF"/>
          <w:sz w:val="20"/>
          <w:szCs w:val="18"/>
        </w:rPr>
        <w:t>. Nationally</w:t>
      </w:r>
      <w:r w:rsidR="005B190C">
        <w:rPr>
          <w:b w:val="0"/>
          <w:color w:val="365F91" w:themeColor="accent1" w:themeShade="BF"/>
          <w:sz w:val="20"/>
          <w:szCs w:val="18"/>
        </w:rPr>
        <w:t>, the survival rate in June 2015 of business entries in 2011</w:t>
      </w:r>
      <w:r w:rsidR="005B190C">
        <w:rPr>
          <w:b w:val="0"/>
          <w:color w:val="365F91" w:themeColor="accent1" w:themeShade="BF"/>
          <w:sz w:val="20"/>
          <w:szCs w:val="18"/>
        </w:rPr>
        <w:noBreakHyphen/>
        <w:t>12</w:t>
      </w:r>
      <w:r w:rsidRPr="00B12A05">
        <w:rPr>
          <w:b w:val="0"/>
          <w:color w:val="365F91" w:themeColor="accent1" w:themeShade="BF"/>
          <w:sz w:val="20"/>
          <w:szCs w:val="18"/>
        </w:rPr>
        <w:t xml:space="preserve"> was 50.0%.</w:t>
      </w:r>
    </w:p>
    <w:p w:rsidR="002E799B" w:rsidRDefault="002E799B" w:rsidP="0028434F">
      <w:pPr>
        <w:pStyle w:val="NoSpacing"/>
        <w:rPr>
          <w:snapToGrid w:val="0"/>
        </w:rPr>
      </w:pPr>
    </w:p>
    <w:p w:rsidR="006E1581" w:rsidRDefault="000F4865" w:rsidP="0028434F">
      <w:pPr>
        <w:pStyle w:val="NoSpacing"/>
      </w:pPr>
      <w:r>
        <w:rPr>
          <w:snapToGrid w:val="0"/>
        </w:rPr>
        <w:br w:type="column"/>
      </w:r>
    </w:p>
    <w:p w:rsidR="005151A3" w:rsidRPr="002634E1" w:rsidRDefault="00431E8D" w:rsidP="00431E8D">
      <w:pPr>
        <w:pStyle w:val="StyleFormText14ptBoldTeal"/>
        <w:spacing w:line="276" w:lineRule="auto"/>
        <w:jc w:val="center"/>
        <w:rPr>
          <w:bCs w:val="0"/>
          <w:snapToGrid w:val="0"/>
          <w:color w:val="auto"/>
          <w:sz w:val="20"/>
          <w:szCs w:val="16"/>
        </w:rPr>
      </w:pPr>
      <w:r w:rsidRPr="002634E1">
        <w:rPr>
          <w:bCs w:val="0"/>
          <w:snapToGrid w:val="0"/>
          <w:color w:val="auto"/>
          <w:sz w:val="20"/>
          <w:szCs w:val="16"/>
        </w:rPr>
        <w:t>Number and growth of NT businesses</w:t>
      </w:r>
    </w:p>
    <w:p w:rsidR="00881F97" w:rsidRDefault="0023722F" w:rsidP="00E020FE">
      <w:pPr>
        <w:pStyle w:val="StyleFormText14ptBoldTeal"/>
        <w:spacing w:line="276" w:lineRule="auto"/>
        <w:jc w:val="both"/>
        <w:rPr>
          <w:color w:val="31849B" w:themeColor="accent5" w:themeShade="BF"/>
          <w:sz w:val="18"/>
          <w:szCs w:val="18"/>
        </w:rPr>
      </w:pPr>
      <w:r w:rsidRPr="00D57A7C">
        <w:rPr>
          <w:noProof/>
        </w:rPr>
        <w:drawing>
          <wp:inline distT="0" distB="0" distL="0" distR="0" wp14:anchorId="042B6F31" wp14:editId="1155646C">
            <wp:extent cx="2744470" cy="1786890"/>
            <wp:effectExtent l="0" t="0" r="0" b="3810"/>
            <wp:docPr id="2" name="Picture 2" descr="The number of NT businesses increased in 2013-14 and increased in 2014-15. " title="Number and growth of NT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4470" cy="1786890"/>
                    </a:xfrm>
                    <a:prstGeom prst="rect">
                      <a:avLst/>
                    </a:prstGeom>
                    <a:noFill/>
                    <a:ln>
                      <a:noFill/>
                    </a:ln>
                  </pic:spPr>
                </pic:pic>
              </a:graphicData>
            </a:graphic>
          </wp:inline>
        </w:drawing>
      </w:r>
    </w:p>
    <w:p w:rsidR="00C91D4D" w:rsidRDefault="00C91D4D" w:rsidP="00E020FE">
      <w:pPr>
        <w:pStyle w:val="StyleFormText14ptBoldTeal"/>
        <w:spacing w:line="276" w:lineRule="auto"/>
        <w:jc w:val="both"/>
        <w:rPr>
          <w:b w:val="0"/>
          <w:color w:val="auto"/>
          <w:sz w:val="14"/>
          <w:szCs w:val="18"/>
        </w:rPr>
      </w:pPr>
    </w:p>
    <w:p w:rsidR="00881F97" w:rsidRPr="000F4865" w:rsidRDefault="00100A09" w:rsidP="00E020FE">
      <w:pPr>
        <w:pStyle w:val="StyleFormText14ptBoldTeal"/>
        <w:spacing w:line="276" w:lineRule="auto"/>
        <w:jc w:val="both"/>
        <w:rPr>
          <w:b w:val="0"/>
          <w:color w:val="auto"/>
          <w:sz w:val="14"/>
          <w:szCs w:val="18"/>
        </w:rPr>
      </w:pPr>
      <w:r w:rsidRPr="006E1581">
        <w:rPr>
          <w:b w:val="0"/>
          <w:color w:val="auto"/>
          <w:sz w:val="14"/>
          <w:szCs w:val="18"/>
        </w:rPr>
        <w:t>Source: ABS Cat. No. 8165.0</w:t>
      </w:r>
    </w:p>
    <w:p w:rsidR="006E1581" w:rsidRDefault="006E1581" w:rsidP="0028434F">
      <w:pPr>
        <w:pStyle w:val="NoSpacing"/>
      </w:pPr>
    </w:p>
    <w:p w:rsidR="00A74326" w:rsidRDefault="00547103" w:rsidP="002634E1">
      <w:pPr>
        <w:pStyle w:val="StyleFormText14ptBoldTeal"/>
        <w:spacing w:line="276" w:lineRule="auto"/>
        <w:jc w:val="center"/>
        <w:rPr>
          <w:bCs w:val="0"/>
          <w:snapToGrid w:val="0"/>
          <w:color w:val="auto"/>
          <w:sz w:val="20"/>
          <w:szCs w:val="16"/>
        </w:rPr>
      </w:pPr>
      <w:r w:rsidRPr="002634E1">
        <w:rPr>
          <w:bCs w:val="0"/>
          <w:snapToGrid w:val="0"/>
          <w:color w:val="auto"/>
          <w:sz w:val="20"/>
          <w:szCs w:val="16"/>
        </w:rPr>
        <w:t xml:space="preserve">Business entry and exit rates, </w:t>
      </w:r>
    </w:p>
    <w:p w:rsidR="00881F97" w:rsidRPr="002634E1" w:rsidRDefault="0023722F" w:rsidP="002634E1">
      <w:pPr>
        <w:pStyle w:val="StyleFormText14ptBoldTeal"/>
        <w:spacing w:line="276" w:lineRule="auto"/>
        <w:jc w:val="center"/>
        <w:rPr>
          <w:bCs w:val="0"/>
          <w:snapToGrid w:val="0"/>
          <w:color w:val="auto"/>
          <w:sz w:val="20"/>
          <w:szCs w:val="16"/>
        </w:rPr>
      </w:pPr>
      <w:r>
        <w:rPr>
          <w:bCs w:val="0"/>
          <w:snapToGrid w:val="0"/>
          <w:color w:val="auto"/>
          <w:sz w:val="20"/>
          <w:szCs w:val="16"/>
        </w:rPr>
        <w:t>June 2015</w:t>
      </w:r>
    </w:p>
    <w:p w:rsidR="00881F97" w:rsidRDefault="0023722F" w:rsidP="00E020FE">
      <w:pPr>
        <w:pStyle w:val="StyleFormText14ptBoldTeal"/>
        <w:spacing w:line="276" w:lineRule="auto"/>
        <w:jc w:val="both"/>
        <w:rPr>
          <w:color w:val="31849B" w:themeColor="accent5" w:themeShade="BF"/>
          <w:sz w:val="18"/>
          <w:szCs w:val="18"/>
        </w:rPr>
      </w:pPr>
      <w:r w:rsidRPr="00F608CC">
        <w:rPr>
          <w:noProof/>
        </w:rPr>
        <w:drawing>
          <wp:inline distT="0" distB="0" distL="0" distR="0" wp14:anchorId="53D9D3EB" wp14:editId="66A3CF23">
            <wp:extent cx="2606040" cy="1698569"/>
            <wp:effectExtent l="0" t="0" r="3810" b="0"/>
            <wp:docPr id="1" name="Picture 1" descr="The NT business entry rate was 13.5%, higher than the national average of all jurisdictions of 13.4%. The NT has a business exit rate of 13.4%, the second highest rate of the jurisdictions." title="Business entry and exit rates, Jun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5720" cy="1698361"/>
                    </a:xfrm>
                    <a:prstGeom prst="rect">
                      <a:avLst/>
                    </a:prstGeom>
                    <a:noFill/>
                    <a:ln>
                      <a:noFill/>
                    </a:ln>
                  </pic:spPr>
                </pic:pic>
              </a:graphicData>
            </a:graphic>
          </wp:inline>
        </w:drawing>
      </w:r>
    </w:p>
    <w:p w:rsidR="00C91D4D" w:rsidRDefault="00C91D4D" w:rsidP="005151A3">
      <w:pPr>
        <w:pStyle w:val="StyleFormText14ptBoldTeal"/>
        <w:spacing w:line="276" w:lineRule="auto"/>
        <w:jc w:val="both"/>
        <w:rPr>
          <w:b w:val="0"/>
          <w:color w:val="auto"/>
          <w:sz w:val="14"/>
          <w:szCs w:val="18"/>
        </w:rPr>
      </w:pPr>
    </w:p>
    <w:p w:rsidR="005151A3" w:rsidRDefault="005151A3" w:rsidP="005151A3">
      <w:pPr>
        <w:pStyle w:val="StyleFormText14ptBoldTeal"/>
        <w:spacing w:line="276" w:lineRule="auto"/>
        <w:jc w:val="both"/>
        <w:rPr>
          <w:b w:val="0"/>
          <w:color w:val="auto"/>
          <w:sz w:val="14"/>
          <w:szCs w:val="18"/>
        </w:rPr>
      </w:pPr>
      <w:r w:rsidRPr="00C22AB9">
        <w:rPr>
          <w:b w:val="0"/>
          <w:color w:val="auto"/>
          <w:sz w:val="14"/>
          <w:szCs w:val="18"/>
        </w:rPr>
        <w:t>Source: ABS Cat. No. 8165</w:t>
      </w:r>
      <w:r>
        <w:rPr>
          <w:b w:val="0"/>
          <w:color w:val="auto"/>
          <w:sz w:val="14"/>
          <w:szCs w:val="18"/>
        </w:rPr>
        <w:t>.0</w:t>
      </w:r>
    </w:p>
    <w:p w:rsidR="0028434F" w:rsidRDefault="0028434F" w:rsidP="0028434F">
      <w:pPr>
        <w:pStyle w:val="NoSpacing"/>
      </w:pPr>
    </w:p>
    <w:p w:rsidR="00CB68DB" w:rsidRDefault="00CB68DB" w:rsidP="00850CF1">
      <w:pPr>
        <w:pStyle w:val="StyleFormText14ptBoldTeal"/>
        <w:spacing w:line="276" w:lineRule="auto"/>
        <w:jc w:val="both"/>
        <w:rPr>
          <w:color w:val="C00000"/>
          <w:sz w:val="22"/>
          <w:szCs w:val="18"/>
        </w:rPr>
        <w:sectPr w:rsidR="00CB68DB" w:rsidSect="002E799B">
          <w:type w:val="continuous"/>
          <w:pgSz w:w="11906" w:h="16838"/>
          <w:pgMar w:top="1702" w:right="849" w:bottom="1134" w:left="567" w:header="283" w:footer="850" w:gutter="0"/>
          <w:cols w:num="2" w:space="708" w:equalWidth="0">
            <w:col w:w="5458" w:space="708"/>
            <w:col w:w="4322"/>
          </w:cols>
          <w:docGrid w:linePitch="360"/>
        </w:sectPr>
      </w:pPr>
    </w:p>
    <w:p w:rsidR="00CB68DB" w:rsidRDefault="00CB68DB" w:rsidP="0028434F">
      <w:pPr>
        <w:pStyle w:val="NoSpacing"/>
      </w:pPr>
      <w:r>
        <w:lastRenderedPageBreak/>
        <w:br w:type="page"/>
      </w:r>
    </w:p>
    <w:p w:rsidR="00850CF1" w:rsidRPr="00B12A05" w:rsidRDefault="00850CF1" w:rsidP="0028434F">
      <w:pPr>
        <w:pStyle w:val="Heading2"/>
      </w:pPr>
      <w:r w:rsidRPr="00B12A05">
        <w:lastRenderedPageBreak/>
        <w:t>Business size</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Australian Bureau of Statistics (ABS) defines business size by level of employment as follows:</w:t>
      </w:r>
    </w:p>
    <w:p w:rsidR="00850CF1" w:rsidRPr="00850CF1" w:rsidRDefault="00850CF1" w:rsidP="00850CF1">
      <w:pPr>
        <w:pStyle w:val="StyleFormText14ptBoldTeal"/>
        <w:numPr>
          <w:ilvl w:val="1"/>
          <w:numId w:val="22"/>
        </w:numPr>
        <w:spacing w:before="120" w:line="240" w:lineRule="auto"/>
        <w:ind w:left="641" w:hanging="357"/>
        <w:jc w:val="both"/>
        <w:rPr>
          <w:b w:val="0"/>
          <w:color w:val="365F91" w:themeColor="accent1" w:themeShade="BF"/>
          <w:sz w:val="20"/>
          <w:szCs w:val="18"/>
        </w:rPr>
      </w:pPr>
      <w:r w:rsidRPr="00850CF1">
        <w:rPr>
          <w:b w:val="0"/>
          <w:color w:val="365F91" w:themeColor="accent1" w:themeShade="BF"/>
          <w:sz w:val="20"/>
          <w:szCs w:val="18"/>
        </w:rPr>
        <w:t>Small business : 0-19 employees</w:t>
      </w:r>
    </w:p>
    <w:p w:rsidR="00850CF1" w:rsidRPr="00850CF1" w:rsidRDefault="00850CF1" w:rsidP="00850CF1">
      <w:pPr>
        <w:pStyle w:val="StyleFormText14ptBoldTeal"/>
        <w:numPr>
          <w:ilvl w:val="1"/>
          <w:numId w:val="22"/>
        </w:numPr>
        <w:spacing w:before="120" w:line="240" w:lineRule="auto"/>
        <w:ind w:left="641" w:hanging="357"/>
        <w:jc w:val="both"/>
        <w:rPr>
          <w:b w:val="0"/>
          <w:color w:val="365F91" w:themeColor="accent1" w:themeShade="BF"/>
          <w:sz w:val="20"/>
          <w:szCs w:val="18"/>
        </w:rPr>
      </w:pPr>
      <w:r w:rsidRPr="00850CF1">
        <w:rPr>
          <w:b w:val="0"/>
          <w:color w:val="365F91" w:themeColor="accent1" w:themeShade="BF"/>
          <w:sz w:val="20"/>
          <w:szCs w:val="18"/>
        </w:rPr>
        <w:t>Medium business: 20-199 employees</w:t>
      </w:r>
    </w:p>
    <w:p w:rsidR="00850CF1" w:rsidRPr="00850CF1" w:rsidRDefault="00850CF1" w:rsidP="00850CF1">
      <w:pPr>
        <w:pStyle w:val="StyleFormText14ptBoldTeal"/>
        <w:numPr>
          <w:ilvl w:val="1"/>
          <w:numId w:val="22"/>
        </w:numPr>
        <w:spacing w:before="120" w:line="240" w:lineRule="auto"/>
        <w:ind w:left="641" w:hanging="357"/>
        <w:jc w:val="both"/>
        <w:rPr>
          <w:b w:val="0"/>
          <w:color w:val="365F91" w:themeColor="accent1" w:themeShade="BF"/>
          <w:sz w:val="20"/>
          <w:szCs w:val="18"/>
        </w:rPr>
      </w:pPr>
      <w:r w:rsidRPr="00850CF1">
        <w:rPr>
          <w:b w:val="0"/>
          <w:color w:val="365F91" w:themeColor="accent1" w:themeShade="BF"/>
          <w:sz w:val="20"/>
          <w:szCs w:val="18"/>
        </w:rPr>
        <w:t>Large business: 200+ employees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The majority of actively trading businesses in the NT are small. In June 201</w:t>
      </w:r>
      <w:r w:rsidR="00964176">
        <w:rPr>
          <w:b w:val="0"/>
          <w:color w:val="365F91" w:themeColor="accent1" w:themeShade="BF"/>
          <w:sz w:val="20"/>
          <w:szCs w:val="18"/>
        </w:rPr>
        <w:t>5</w:t>
      </w:r>
      <w:r w:rsidRPr="00850CF1">
        <w:rPr>
          <w:b w:val="0"/>
          <w:color w:val="365F91" w:themeColor="accent1" w:themeShade="BF"/>
          <w:sz w:val="20"/>
          <w:szCs w:val="18"/>
        </w:rPr>
        <w:t>, 95.</w:t>
      </w:r>
      <w:r w:rsidR="00964176">
        <w:rPr>
          <w:b w:val="0"/>
          <w:color w:val="365F91" w:themeColor="accent1" w:themeShade="BF"/>
          <w:sz w:val="20"/>
          <w:szCs w:val="18"/>
        </w:rPr>
        <w:t>7</w:t>
      </w:r>
      <w:r w:rsidRPr="00850CF1">
        <w:rPr>
          <w:b w:val="0"/>
          <w:color w:val="365F91" w:themeColor="accent1" w:themeShade="BF"/>
          <w:sz w:val="20"/>
          <w:szCs w:val="18"/>
        </w:rPr>
        <w:t>% were small businesses, 4.</w:t>
      </w:r>
      <w:r w:rsidR="00964176">
        <w:rPr>
          <w:b w:val="0"/>
          <w:color w:val="365F91" w:themeColor="accent1" w:themeShade="BF"/>
          <w:sz w:val="20"/>
          <w:szCs w:val="18"/>
        </w:rPr>
        <w:t>2</w:t>
      </w:r>
      <w:r w:rsidRPr="00850CF1">
        <w:rPr>
          <w:b w:val="0"/>
          <w:color w:val="365F91" w:themeColor="accent1" w:themeShade="BF"/>
          <w:sz w:val="20"/>
          <w:szCs w:val="18"/>
        </w:rPr>
        <w:t>% were medium businesses and 0.</w:t>
      </w:r>
      <w:r w:rsidR="00964176">
        <w:rPr>
          <w:b w:val="0"/>
          <w:color w:val="365F91" w:themeColor="accent1" w:themeShade="BF"/>
          <w:sz w:val="20"/>
          <w:szCs w:val="18"/>
        </w:rPr>
        <w:t>1</w:t>
      </w:r>
      <w:r w:rsidRPr="00850CF1">
        <w:rPr>
          <w:b w:val="0"/>
          <w:color w:val="365F91" w:themeColor="accent1" w:themeShade="BF"/>
          <w:sz w:val="20"/>
          <w:szCs w:val="18"/>
        </w:rPr>
        <w:t xml:space="preserve">% </w:t>
      </w:r>
      <w:proofErr w:type="gramStart"/>
      <w:r w:rsidRPr="00850CF1">
        <w:rPr>
          <w:b w:val="0"/>
          <w:color w:val="365F91" w:themeColor="accent1" w:themeShade="BF"/>
          <w:sz w:val="20"/>
          <w:szCs w:val="18"/>
        </w:rPr>
        <w:t>were</w:t>
      </w:r>
      <w:proofErr w:type="gramEnd"/>
      <w:r w:rsidRPr="00850CF1">
        <w:rPr>
          <w:b w:val="0"/>
          <w:color w:val="365F91" w:themeColor="accent1" w:themeShade="BF"/>
          <w:sz w:val="20"/>
          <w:szCs w:val="18"/>
        </w:rPr>
        <w:t xml:space="preserve"> large businesses. Nationally, 97.4% of the businesses were small.</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Of the small businesses in the NT, 61.</w:t>
      </w:r>
      <w:r w:rsidR="00964176">
        <w:rPr>
          <w:b w:val="0"/>
          <w:color w:val="365F91" w:themeColor="accent1" w:themeShade="BF"/>
          <w:sz w:val="20"/>
          <w:szCs w:val="18"/>
        </w:rPr>
        <w:t>4</w:t>
      </w:r>
      <w:r w:rsidRPr="00850CF1">
        <w:rPr>
          <w:b w:val="0"/>
          <w:color w:val="365F91" w:themeColor="accent1" w:themeShade="BF"/>
          <w:sz w:val="20"/>
          <w:szCs w:val="18"/>
        </w:rPr>
        <w:t>% were non</w:t>
      </w:r>
      <w:r w:rsidRPr="00850CF1">
        <w:rPr>
          <w:b w:val="0"/>
          <w:color w:val="365F91" w:themeColor="accent1" w:themeShade="BF"/>
          <w:sz w:val="20"/>
          <w:szCs w:val="18"/>
        </w:rPr>
        <w:noBreakHyphen/>
        <w:t>employing businesses, 24.</w:t>
      </w:r>
      <w:r w:rsidR="00964176">
        <w:rPr>
          <w:b w:val="0"/>
          <w:color w:val="365F91" w:themeColor="accent1" w:themeShade="BF"/>
          <w:sz w:val="20"/>
          <w:szCs w:val="18"/>
        </w:rPr>
        <w:t>8</w:t>
      </w:r>
      <w:r w:rsidRPr="00850CF1">
        <w:rPr>
          <w:b w:val="0"/>
          <w:color w:val="365F91" w:themeColor="accent1" w:themeShade="BF"/>
          <w:sz w:val="20"/>
          <w:szCs w:val="18"/>
        </w:rPr>
        <w:t>% had 1-4 employees, and 13.8%% had between 1-19 employees.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 xml:space="preserve">The non-employing businesses as a percentage of total number of businesses in the NT accounted for </w:t>
      </w:r>
      <w:r w:rsidR="00964176">
        <w:rPr>
          <w:b w:val="0"/>
          <w:color w:val="365F91" w:themeColor="accent1" w:themeShade="BF"/>
          <w:sz w:val="20"/>
          <w:szCs w:val="18"/>
        </w:rPr>
        <w:t>58.7</w:t>
      </w:r>
      <w:r w:rsidRPr="00850CF1">
        <w:rPr>
          <w:b w:val="0"/>
          <w:color w:val="365F91" w:themeColor="accent1" w:themeShade="BF"/>
          <w:sz w:val="20"/>
          <w:szCs w:val="18"/>
        </w:rPr>
        <w:t>%.</w:t>
      </w:r>
    </w:p>
    <w:p w:rsidR="00850CF1" w:rsidRDefault="00850CF1" w:rsidP="0028434F">
      <w:pPr>
        <w:pStyle w:val="NoSpacing"/>
      </w:pPr>
    </w:p>
    <w:p w:rsidR="00867E3F" w:rsidRPr="002634E1" w:rsidRDefault="00867E3F" w:rsidP="00867E3F">
      <w:pPr>
        <w:pStyle w:val="StyleFormText14ptBoldTeal"/>
        <w:spacing w:line="276" w:lineRule="auto"/>
        <w:jc w:val="center"/>
        <w:rPr>
          <w:bCs w:val="0"/>
          <w:snapToGrid w:val="0"/>
          <w:color w:val="auto"/>
          <w:sz w:val="20"/>
          <w:szCs w:val="16"/>
        </w:rPr>
      </w:pPr>
      <w:r>
        <w:rPr>
          <w:bCs w:val="0"/>
          <w:snapToGrid w:val="0"/>
          <w:color w:val="auto"/>
          <w:sz w:val="20"/>
          <w:szCs w:val="16"/>
        </w:rPr>
        <w:br w:type="column"/>
      </w:r>
      <w:r w:rsidRPr="002634E1">
        <w:rPr>
          <w:bCs w:val="0"/>
          <w:snapToGrid w:val="0"/>
          <w:color w:val="auto"/>
          <w:sz w:val="20"/>
          <w:szCs w:val="16"/>
        </w:rPr>
        <w:lastRenderedPageBreak/>
        <w:t>NT business size, June 201</w:t>
      </w:r>
      <w:r w:rsidR="0023722F">
        <w:rPr>
          <w:bCs w:val="0"/>
          <w:snapToGrid w:val="0"/>
          <w:color w:val="auto"/>
          <w:sz w:val="20"/>
          <w:szCs w:val="16"/>
        </w:rPr>
        <w:t>5</w:t>
      </w:r>
    </w:p>
    <w:p w:rsidR="00867E3F" w:rsidRDefault="0023722F" w:rsidP="00867E3F">
      <w:pPr>
        <w:pStyle w:val="StyleFormText14ptBoldTeal"/>
        <w:spacing w:line="360" w:lineRule="auto"/>
        <w:jc w:val="both"/>
        <w:rPr>
          <w:color w:val="31849B" w:themeColor="accent5" w:themeShade="BF"/>
          <w:sz w:val="18"/>
          <w:szCs w:val="18"/>
        </w:rPr>
      </w:pPr>
      <w:r w:rsidRPr="00965A0E">
        <w:rPr>
          <w:noProof/>
        </w:rPr>
        <w:drawing>
          <wp:inline distT="0" distB="0" distL="0" distR="0" wp14:anchorId="125794C9" wp14:editId="44F3A64E">
            <wp:extent cx="3009900" cy="1879197"/>
            <wp:effectExtent l="0" t="0" r="0" b="6985"/>
            <wp:docPr id="5" name="Picture 5" descr="In the NT 95.7 per cent of businesses were small, 4.2 per cent were medium and 0.1 per cent were large in 2014-15." title="NT business size, Jun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1294" cy="1880067"/>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867E3F" w:rsidRPr="00BE5196" w:rsidRDefault="00867E3F" w:rsidP="00867E3F">
      <w:pPr>
        <w:pStyle w:val="StyleFormText14ptBoldTeal"/>
        <w:spacing w:line="276" w:lineRule="auto"/>
        <w:jc w:val="both"/>
        <w:rPr>
          <w:b w:val="0"/>
          <w:color w:val="auto"/>
          <w:sz w:val="14"/>
          <w:szCs w:val="18"/>
        </w:rPr>
      </w:pPr>
      <w:r w:rsidRPr="00BE5196">
        <w:rPr>
          <w:b w:val="0"/>
          <w:color w:val="auto"/>
          <w:sz w:val="14"/>
          <w:szCs w:val="18"/>
        </w:rPr>
        <w:t xml:space="preserve">Source: ABS </w:t>
      </w:r>
      <w:r>
        <w:rPr>
          <w:b w:val="0"/>
          <w:color w:val="auto"/>
          <w:sz w:val="14"/>
          <w:szCs w:val="18"/>
        </w:rPr>
        <w:t>C</w:t>
      </w:r>
      <w:r w:rsidRPr="00BE5196">
        <w:rPr>
          <w:b w:val="0"/>
          <w:color w:val="auto"/>
          <w:sz w:val="14"/>
          <w:szCs w:val="18"/>
        </w:rPr>
        <w:t>at. No. 8165</w:t>
      </w:r>
      <w:r>
        <w:rPr>
          <w:b w:val="0"/>
          <w:color w:val="auto"/>
          <w:sz w:val="14"/>
          <w:szCs w:val="18"/>
        </w:rPr>
        <w:t>.0</w:t>
      </w:r>
    </w:p>
    <w:p w:rsidR="00867E3F" w:rsidRDefault="00867E3F" w:rsidP="00867E3F">
      <w:pPr>
        <w:pStyle w:val="StyleFormText14ptBoldTeal"/>
        <w:spacing w:line="276" w:lineRule="auto"/>
        <w:jc w:val="both"/>
        <w:rPr>
          <w:color w:val="31849B" w:themeColor="accent5" w:themeShade="BF"/>
          <w:sz w:val="18"/>
          <w:szCs w:val="18"/>
        </w:rPr>
      </w:pPr>
    </w:p>
    <w:p w:rsidR="00867E3F" w:rsidRPr="002634E1" w:rsidRDefault="00867E3F" w:rsidP="00867E3F">
      <w:pPr>
        <w:pStyle w:val="StyleFormText14ptBoldTeal"/>
        <w:spacing w:line="276" w:lineRule="auto"/>
        <w:jc w:val="center"/>
        <w:rPr>
          <w:bCs w:val="0"/>
          <w:snapToGrid w:val="0"/>
          <w:color w:val="auto"/>
          <w:sz w:val="20"/>
          <w:szCs w:val="16"/>
        </w:rPr>
      </w:pPr>
      <w:r w:rsidRPr="002634E1">
        <w:rPr>
          <w:bCs w:val="0"/>
          <w:snapToGrid w:val="0"/>
          <w:color w:val="auto"/>
          <w:sz w:val="20"/>
          <w:szCs w:val="16"/>
        </w:rPr>
        <w:t>NT small business sub-categories</w:t>
      </w:r>
    </w:p>
    <w:p w:rsidR="00867E3F" w:rsidRDefault="0023722F" w:rsidP="00867E3F">
      <w:pPr>
        <w:pStyle w:val="StyleFormText14ptBoldTeal"/>
        <w:spacing w:line="276" w:lineRule="auto"/>
        <w:jc w:val="both"/>
        <w:rPr>
          <w:color w:val="31849B" w:themeColor="accent5" w:themeShade="BF"/>
          <w:sz w:val="18"/>
          <w:szCs w:val="18"/>
        </w:rPr>
      </w:pPr>
      <w:r w:rsidRPr="00426C98">
        <w:rPr>
          <w:noProof/>
        </w:rPr>
        <w:drawing>
          <wp:inline distT="0" distB="0" distL="0" distR="0" wp14:anchorId="25148DCE" wp14:editId="2090D102">
            <wp:extent cx="2744470" cy="1788160"/>
            <wp:effectExtent l="0" t="0" r="0" b="2540"/>
            <wp:docPr id="19" name="Picture 19" descr="Of the the small businesses in the NT, 61.4% were non employing businesses, 24.8% had 1-4 employees, and 13.8%% had between 1-19 employees." title="NT small business sub-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4470" cy="1788160"/>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316E3C" w:rsidRDefault="00867E3F" w:rsidP="0028434F">
      <w:pPr>
        <w:pStyle w:val="StyleFormText14ptBoldTeal"/>
        <w:spacing w:line="276" w:lineRule="auto"/>
        <w:jc w:val="both"/>
        <w:rPr>
          <w:b w:val="0"/>
          <w:color w:val="auto"/>
          <w:sz w:val="14"/>
          <w:szCs w:val="18"/>
        </w:rPr>
      </w:pPr>
      <w:r w:rsidRPr="00BE5196">
        <w:rPr>
          <w:b w:val="0"/>
          <w:color w:val="auto"/>
          <w:sz w:val="14"/>
          <w:szCs w:val="18"/>
        </w:rPr>
        <w:t xml:space="preserve">Source: ABS </w:t>
      </w:r>
      <w:r>
        <w:rPr>
          <w:b w:val="0"/>
          <w:color w:val="auto"/>
          <w:sz w:val="14"/>
          <w:szCs w:val="18"/>
        </w:rPr>
        <w:t>C</w:t>
      </w:r>
      <w:r w:rsidRPr="00BE5196">
        <w:rPr>
          <w:b w:val="0"/>
          <w:color w:val="auto"/>
          <w:sz w:val="14"/>
          <w:szCs w:val="18"/>
        </w:rPr>
        <w:t>at. No. 8165</w:t>
      </w:r>
      <w:r>
        <w:rPr>
          <w:b w:val="0"/>
          <w:color w:val="auto"/>
          <w:sz w:val="14"/>
          <w:szCs w:val="18"/>
        </w:rPr>
        <w:t>.0</w:t>
      </w:r>
    </w:p>
    <w:p w:rsidR="0028434F" w:rsidRPr="00BE5196" w:rsidRDefault="0028434F" w:rsidP="0028434F">
      <w:pPr>
        <w:pStyle w:val="NoSpacing"/>
      </w:pPr>
    </w:p>
    <w:p w:rsidR="00867E3F" w:rsidRDefault="00867E3F" w:rsidP="00850CF1">
      <w:pPr>
        <w:pStyle w:val="StyleFormText14ptBoldTeal"/>
        <w:spacing w:line="276" w:lineRule="auto"/>
        <w:jc w:val="both"/>
        <w:rPr>
          <w:color w:val="C00000"/>
          <w:sz w:val="22"/>
          <w:szCs w:val="18"/>
        </w:rPr>
        <w:sectPr w:rsidR="00867E3F" w:rsidSect="006B34F7">
          <w:type w:val="continuous"/>
          <w:pgSz w:w="11906" w:h="16838"/>
          <w:pgMar w:top="1702" w:right="849" w:bottom="1134" w:left="567" w:header="283" w:footer="397" w:gutter="0"/>
          <w:cols w:num="2" w:space="708" w:equalWidth="0">
            <w:col w:w="5458" w:space="708"/>
            <w:col w:w="4322"/>
          </w:cols>
          <w:docGrid w:linePitch="360"/>
        </w:sectPr>
      </w:pPr>
    </w:p>
    <w:p w:rsidR="00850CF1" w:rsidRPr="00CD1B64" w:rsidRDefault="00850CF1" w:rsidP="0028434F">
      <w:pPr>
        <w:pStyle w:val="Heading2"/>
      </w:pPr>
      <w:r w:rsidRPr="00CD1B64">
        <w:lastRenderedPageBreak/>
        <w:t>Business numbers - industry sector distribution</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In June 201</w:t>
      </w:r>
      <w:r w:rsidR="001D60AB">
        <w:rPr>
          <w:b w:val="0"/>
          <w:color w:val="365F91" w:themeColor="accent1" w:themeShade="BF"/>
          <w:sz w:val="20"/>
          <w:szCs w:val="18"/>
        </w:rPr>
        <w:t>5</w:t>
      </w:r>
      <w:r w:rsidRPr="00850CF1">
        <w:rPr>
          <w:b w:val="0"/>
          <w:color w:val="365F91" w:themeColor="accent1" w:themeShade="BF"/>
          <w:sz w:val="20"/>
          <w:szCs w:val="18"/>
        </w:rPr>
        <w:t>, the ‘Construction” industry had the highest number of businesses operating in the NT with 21.</w:t>
      </w:r>
      <w:r w:rsidR="001D60AB">
        <w:rPr>
          <w:b w:val="0"/>
          <w:color w:val="365F91" w:themeColor="accent1" w:themeShade="BF"/>
          <w:sz w:val="20"/>
          <w:szCs w:val="18"/>
        </w:rPr>
        <w:t>5</w:t>
      </w:r>
      <w:r w:rsidRPr="00850CF1">
        <w:rPr>
          <w:b w:val="0"/>
          <w:color w:val="365F91" w:themeColor="accent1" w:themeShade="BF"/>
          <w:sz w:val="20"/>
          <w:szCs w:val="18"/>
        </w:rPr>
        <w:t>% of total businesses. This was followed by ‘Rental, Hiring and Real Estate Services’(</w:t>
      </w:r>
      <w:r w:rsidR="001D60AB">
        <w:rPr>
          <w:b w:val="0"/>
          <w:color w:val="365F91" w:themeColor="accent1" w:themeShade="BF"/>
          <w:sz w:val="20"/>
          <w:szCs w:val="18"/>
        </w:rPr>
        <w:t>13.2</w:t>
      </w:r>
      <w:r w:rsidRPr="00850CF1">
        <w:rPr>
          <w:b w:val="0"/>
          <w:color w:val="365F91" w:themeColor="accent1" w:themeShade="BF"/>
          <w:sz w:val="20"/>
          <w:szCs w:val="18"/>
        </w:rPr>
        <w:t>%); ‘Professional, Scienti</w:t>
      </w:r>
      <w:r w:rsidR="001D60AB">
        <w:rPr>
          <w:b w:val="0"/>
          <w:color w:val="365F91" w:themeColor="accent1" w:themeShade="BF"/>
          <w:sz w:val="20"/>
          <w:szCs w:val="18"/>
        </w:rPr>
        <w:t>fic and Technical Services’ (8.9</w:t>
      </w:r>
      <w:r w:rsidRPr="00850CF1">
        <w:rPr>
          <w:b w:val="0"/>
          <w:color w:val="365F91" w:themeColor="accent1" w:themeShade="BF"/>
          <w:sz w:val="20"/>
          <w:szCs w:val="18"/>
        </w:rPr>
        <w:t>%); ‘Agricu</w:t>
      </w:r>
      <w:r w:rsidR="001D60AB">
        <w:rPr>
          <w:b w:val="0"/>
          <w:color w:val="365F91" w:themeColor="accent1" w:themeShade="BF"/>
          <w:sz w:val="20"/>
          <w:szCs w:val="18"/>
        </w:rPr>
        <w:t>lture Forestry and Fishing’ (6.6</w:t>
      </w:r>
      <w:r w:rsidRPr="00850CF1">
        <w:rPr>
          <w:b w:val="0"/>
          <w:color w:val="365F91" w:themeColor="accent1" w:themeShade="BF"/>
          <w:sz w:val="20"/>
          <w:szCs w:val="18"/>
        </w:rPr>
        <w:t>%); ‘</w:t>
      </w:r>
      <w:r w:rsidR="001D60AB">
        <w:rPr>
          <w:b w:val="0"/>
          <w:color w:val="365F91" w:themeColor="accent1" w:themeShade="BF"/>
          <w:sz w:val="20"/>
          <w:szCs w:val="18"/>
        </w:rPr>
        <w:t>Transport, Postal and Warehousing</w:t>
      </w:r>
      <w:r w:rsidRPr="00850CF1">
        <w:rPr>
          <w:b w:val="0"/>
          <w:color w:val="365F91" w:themeColor="accent1" w:themeShade="BF"/>
          <w:sz w:val="20"/>
          <w:szCs w:val="18"/>
        </w:rPr>
        <w:t>’ (6.</w:t>
      </w:r>
      <w:r w:rsidR="001D60AB">
        <w:rPr>
          <w:b w:val="0"/>
          <w:color w:val="365F91" w:themeColor="accent1" w:themeShade="BF"/>
          <w:sz w:val="20"/>
          <w:szCs w:val="18"/>
        </w:rPr>
        <w:t>5</w:t>
      </w:r>
      <w:r w:rsidRPr="00850CF1">
        <w:rPr>
          <w:b w:val="0"/>
          <w:color w:val="365F91" w:themeColor="accent1" w:themeShade="BF"/>
          <w:sz w:val="20"/>
          <w:szCs w:val="18"/>
        </w:rPr>
        <w:t>%); and, ‘</w:t>
      </w:r>
      <w:r w:rsidR="001D60AB">
        <w:rPr>
          <w:b w:val="0"/>
          <w:color w:val="365F91" w:themeColor="accent1" w:themeShade="BF"/>
          <w:sz w:val="20"/>
          <w:szCs w:val="18"/>
        </w:rPr>
        <w:t>Retail Trade</w:t>
      </w:r>
      <w:r w:rsidRPr="00850CF1">
        <w:rPr>
          <w:b w:val="0"/>
          <w:color w:val="365F91" w:themeColor="accent1" w:themeShade="BF"/>
          <w:sz w:val="20"/>
          <w:szCs w:val="18"/>
        </w:rPr>
        <w:t>’ (6.3%).</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The majority of businesses in the NT are in the ‘services sector’ (all industries except ‘Agriculture, Forestry and Fishing’; ‘Mining’ and ‘Manuf</w:t>
      </w:r>
      <w:r w:rsidR="001D60AB">
        <w:rPr>
          <w:b w:val="0"/>
          <w:color w:val="365F91" w:themeColor="accent1" w:themeShade="BF"/>
          <w:sz w:val="20"/>
          <w:szCs w:val="18"/>
        </w:rPr>
        <w:t>acturing’). In June 2015, the ‘services sector’ had 89.7</w:t>
      </w:r>
      <w:r w:rsidRPr="00850CF1">
        <w:rPr>
          <w:b w:val="0"/>
          <w:color w:val="365F91" w:themeColor="accent1" w:themeShade="BF"/>
          <w:sz w:val="20"/>
          <w:szCs w:val="18"/>
        </w:rPr>
        <w:t>% of all NT businesses.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At the national level, ‘Construction’ industry had the hi</w:t>
      </w:r>
      <w:r w:rsidR="00A075C6">
        <w:rPr>
          <w:b w:val="0"/>
          <w:color w:val="365F91" w:themeColor="accent1" w:themeShade="BF"/>
          <w:sz w:val="20"/>
          <w:szCs w:val="18"/>
        </w:rPr>
        <w:t>ghest number of businesses (16.3</w:t>
      </w:r>
      <w:r w:rsidRPr="00850CF1">
        <w:rPr>
          <w:b w:val="0"/>
          <w:color w:val="365F91" w:themeColor="accent1" w:themeShade="BF"/>
          <w:sz w:val="20"/>
          <w:szCs w:val="18"/>
        </w:rPr>
        <w:t>%) followed by ‘Professional, Scientific and Technical Services’ (</w:t>
      </w:r>
      <w:r w:rsidR="00A075C6">
        <w:rPr>
          <w:b w:val="0"/>
          <w:color w:val="365F91" w:themeColor="accent1" w:themeShade="BF"/>
          <w:sz w:val="20"/>
          <w:szCs w:val="18"/>
        </w:rPr>
        <w:t>12.0</w:t>
      </w:r>
      <w:r w:rsidRPr="00850CF1">
        <w:rPr>
          <w:b w:val="0"/>
          <w:color w:val="365F91" w:themeColor="accent1" w:themeShade="BF"/>
          <w:sz w:val="20"/>
          <w:szCs w:val="18"/>
        </w:rPr>
        <w:t>%) and ‘Rental, Hiri</w:t>
      </w:r>
      <w:r w:rsidR="00A075C6">
        <w:rPr>
          <w:b w:val="0"/>
          <w:color w:val="365F91" w:themeColor="accent1" w:themeShade="BF"/>
          <w:sz w:val="20"/>
          <w:szCs w:val="18"/>
        </w:rPr>
        <w:t>ng and Real Estate Services’ (11.0</w:t>
      </w:r>
      <w:r w:rsidRPr="00850CF1">
        <w:rPr>
          <w:b w:val="0"/>
          <w:color w:val="365F91" w:themeColor="accent1" w:themeShade="BF"/>
          <w:sz w:val="20"/>
          <w:szCs w:val="18"/>
        </w:rPr>
        <w:t>%).</w:t>
      </w:r>
    </w:p>
    <w:p w:rsidR="00E20434" w:rsidRDefault="00E20434" w:rsidP="002634E1">
      <w:pPr>
        <w:pStyle w:val="StyleFormText14ptBoldTeal"/>
        <w:spacing w:line="276" w:lineRule="auto"/>
        <w:jc w:val="center"/>
        <w:rPr>
          <w:bCs w:val="0"/>
          <w:snapToGrid w:val="0"/>
          <w:color w:val="auto"/>
          <w:sz w:val="20"/>
          <w:szCs w:val="16"/>
        </w:rPr>
      </w:pPr>
    </w:p>
    <w:p w:rsidR="00881F97" w:rsidRPr="00BE5196" w:rsidRDefault="00850CF1" w:rsidP="00867E3F">
      <w:pPr>
        <w:pStyle w:val="StyleFormText14ptBoldTeal"/>
        <w:spacing w:line="276" w:lineRule="auto"/>
        <w:jc w:val="center"/>
        <w:rPr>
          <w:b w:val="0"/>
          <w:color w:val="auto"/>
          <w:sz w:val="14"/>
          <w:szCs w:val="18"/>
        </w:rPr>
      </w:pPr>
      <w:r>
        <w:rPr>
          <w:bCs w:val="0"/>
          <w:snapToGrid w:val="0"/>
          <w:color w:val="auto"/>
          <w:sz w:val="20"/>
          <w:szCs w:val="16"/>
        </w:rPr>
        <w:br w:type="column"/>
      </w:r>
    </w:p>
    <w:p w:rsidR="00431E8D" w:rsidRPr="00BE5196" w:rsidRDefault="00431E8D" w:rsidP="00E020FE">
      <w:pPr>
        <w:pStyle w:val="StyleFormText14ptBoldTeal"/>
        <w:spacing w:line="276" w:lineRule="auto"/>
        <w:jc w:val="both"/>
        <w:rPr>
          <w:color w:val="31849B" w:themeColor="accent5" w:themeShade="BF"/>
          <w:sz w:val="16"/>
          <w:szCs w:val="18"/>
        </w:rPr>
      </w:pPr>
    </w:p>
    <w:p w:rsidR="00881F97" w:rsidRPr="002634E1" w:rsidRDefault="00431E8D" w:rsidP="002634E1">
      <w:pPr>
        <w:pStyle w:val="StyleFormText14ptBoldTeal"/>
        <w:spacing w:line="276" w:lineRule="auto"/>
        <w:jc w:val="center"/>
        <w:rPr>
          <w:bCs w:val="0"/>
          <w:snapToGrid w:val="0"/>
          <w:color w:val="auto"/>
          <w:sz w:val="20"/>
          <w:szCs w:val="16"/>
        </w:rPr>
      </w:pPr>
      <w:r w:rsidRPr="002634E1">
        <w:rPr>
          <w:bCs w:val="0"/>
          <w:snapToGrid w:val="0"/>
          <w:color w:val="auto"/>
          <w:sz w:val="20"/>
          <w:szCs w:val="16"/>
        </w:rPr>
        <w:t>NT business by industry, June 201</w:t>
      </w:r>
      <w:r w:rsidR="0023722F">
        <w:rPr>
          <w:bCs w:val="0"/>
          <w:snapToGrid w:val="0"/>
          <w:color w:val="auto"/>
          <w:sz w:val="20"/>
          <w:szCs w:val="16"/>
        </w:rPr>
        <w:t>5</w:t>
      </w:r>
    </w:p>
    <w:p w:rsidR="00881F97" w:rsidRDefault="0023722F" w:rsidP="00E020FE">
      <w:pPr>
        <w:pStyle w:val="StyleFormText14ptBoldTeal"/>
        <w:spacing w:line="276" w:lineRule="auto"/>
        <w:jc w:val="both"/>
        <w:rPr>
          <w:color w:val="31849B" w:themeColor="accent5" w:themeShade="BF"/>
          <w:sz w:val="18"/>
          <w:szCs w:val="18"/>
        </w:rPr>
      </w:pPr>
      <w:r w:rsidRPr="00965A0E">
        <w:rPr>
          <w:noProof/>
        </w:rPr>
        <w:drawing>
          <wp:inline distT="0" distB="0" distL="0" distR="0" wp14:anchorId="7BD6CF7E" wp14:editId="7AE31592">
            <wp:extent cx="2743200" cy="2956560"/>
            <wp:effectExtent l="0" t="0" r="0" b="0"/>
            <wp:docPr id="7" name="Picture 7" descr="In June 2015, the ‘Construction” industry had the highest number of businesses operating in the NT with 21.5 per cent of total businesses. This was followed by ‘Rental, Hiring and Real Estate Services’(13.2 per cent); ‘Professional, Scientific and Technical Services’ (8.9 per cent); ‘Agriculture Forestry and Fishing’ (6.6 per cent); ‘Retail Trade’ (6.3 per cent); and, ‘Financial and Insurance Services’ (6.2 per cent)." title="NT business by industry, Jun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4470" cy="2957929"/>
                    </a:xfrm>
                    <a:prstGeom prst="rect">
                      <a:avLst/>
                    </a:prstGeom>
                    <a:noFill/>
                    <a:ln>
                      <a:noFill/>
                    </a:ln>
                  </pic:spPr>
                </pic:pic>
              </a:graphicData>
            </a:graphic>
          </wp:inline>
        </w:drawing>
      </w:r>
    </w:p>
    <w:p w:rsidR="00C91D4D" w:rsidRDefault="00C91D4D" w:rsidP="00A74326">
      <w:pPr>
        <w:pStyle w:val="StyleFormText14ptBoldTeal"/>
        <w:spacing w:line="276" w:lineRule="auto"/>
        <w:jc w:val="both"/>
        <w:rPr>
          <w:b w:val="0"/>
          <w:color w:val="auto"/>
          <w:sz w:val="14"/>
          <w:szCs w:val="18"/>
        </w:rPr>
      </w:pPr>
    </w:p>
    <w:p w:rsidR="00867E3F" w:rsidRPr="00A74326" w:rsidRDefault="00D655C3" w:rsidP="00A74326">
      <w:pPr>
        <w:pStyle w:val="StyleFormText14ptBoldTeal"/>
        <w:spacing w:line="276" w:lineRule="auto"/>
        <w:jc w:val="both"/>
        <w:rPr>
          <w:b w:val="0"/>
          <w:color w:val="auto"/>
          <w:sz w:val="14"/>
          <w:szCs w:val="18"/>
        </w:rPr>
      </w:pPr>
      <w:r w:rsidRPr="00BE5196">
        <w:rPr>
          <w:b w:val="0"/>
          <w:color w:val="auto"/>
          <w:sz w:val="14"/>
          <w:szCs w:val="18"/>
        </w:rPr>
        <w:t xml:space="preserve">Source: ABS </w:t>
      </w:r>
      <w:r w:rsidR="008244FF">
        <w:rPr>
          <w:b w:val="0"/>
          <w:color w:val="auto"/>
          <w:sz w:val="14"/>
          <w:szCs w:val="18"/>
        </w:rPr>
        <w:t>C</w:t>
      </w:r>
      <w:r w:rsidRPr="00BE5196">
        <w:rPr>
          <w:b w:val="0"/>
          <w:color w:val="auto"/>
          <w:sz w:val="14"/>
          <w:szCs w:val="18"/>
        </w:rPr>
        <w:t>at. No. 8165</w:t>
      </w:r>
      <w:r w:rsidR="00637551">
        <w:rPr>
          <w:b w:val="0"/>
          <w:color w:val="auto"/>
          <w:sz w:val="14"/>
          <w:szCs w:val="18"/>
        </w:rPr>
        <w:t>.0</w:t>
      </w:r>
    </w:p>
    <w:p w:rsidR="00867E3F" w:rsidRPr="0028434F" w:rsidRDefault="00867E3F" w:rsidP="0028434F">
      <w:pPr>
        <w:pStyle w:val="NoSpacing"/>
      </w:pPr>
    </w:p>
    <w:p w:rsidR="00316E3C" w:rsidRDefault="00316E3C" w:rsidP="00850CF1">
      <w:pPr>
        <w:pStyle w:val="StyleFormText14ptBoldTeal"/>
        <w:spacing w:line="276" w:lineRule="auto"/>
        <w:jc w:val="both"/>
        <w:rPr>
          <w:color w:val="C00000"/>
          <w:sz w:val="22"/>
          <w:szCs w:val="18"/>
        </w:rPr>
        <w:sectPr w:rsidR="00316E3C" w:rsidSect="002E799B">
          <w:type w:val="continuous"/>
          <w:pgSz w:w="11906" w:h="16838"/>
          <w:pgMar w:top="1702" w:right="849" w:bottom="1134" w:left="567" w:header="283" w:footer="850" w:gutter="0"/>
          <w:cols w:num="2" w:space="708" w:equalWidth="0">
            <w:col w:w="5458" w:space="708"/>
            <w:col w:w="4322"/>
          </w:cols>
          <w:docGrid w:linePitch="360"/>
        </w:sectPr>
      </w:pPr>
      <w:r w:rsidRPr="00316E3C">
        <w:rPr>
          <w:b w:val="0"/>
          <w:color w:val="FFFFFF" w:themeColor="background1"/>
          <w:sz w:val="12"/>
          <w:szCs w:val="18"/>
        </w:rPr>
        <w:lastRenderedPageBreak/>
        <w:t>Please read an outlined view for best navigational experience</w:t>
      </w:r>
    </w:p>
    <w:p w:rsidR="00850CF1" w:rsidRPr="0018724F" w:rsidRDefault="00850CF1" w:rsidP="0028434F">
      <w:pPr>
        <w:pStyle w:val="Heading2"/>
      </w:pPr>
      <w:r w:rsidRPr="0018724F">
        <w:lastRenderedPageBreak/>
        <w:t>Regional distribution of business</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The majority of the businesses in the Territory are located in the Greater Darwin region (Darwin City, Darwin Suburbs, Litchfield and Palmerston).</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In June 201</w:t>
      </w:r>
      <w:r w:rsidR="00B34E50">
        <w:rPr>
          <w:b w:val="0"/>
          <w:color w:val="365F91" w:themeColor="accent1" w:themeShade="BF"/>
          <w:sz w:val="20"/>
          <w:szCs w:val="18"/>
        </w:rPr>
        <w:t>5</w:t>
      </w:r>
      <w:r w:rsidRPr="00850CF1">
        <w:rPr>
          <w:b w:val="0"/>
          <w:color w:val="365F91" w:themeColor="accent1" w:themeShade="BF"/>
          <w:sz w:val="20"/>
          <w:szCs w:val="18"/>
        </w:rPr>
        <w:t xml:space="preserve">, </w:t>
      </w:r>
      <w:r w:rsidR="00B34E50">
        <w:rPr>
          <w:b w:val="0"/>
          <w:color w:val="365F91" w:themeColor="accent1" w:themeShade="BF"/>
          <w:sz w:val="20"/>
          <w:szCs w:val="18"/>
        </w:rPr>
        <w:t>73.4</w:t>
      </w:r>
      <w:r w:rsidRPr="00850CF1">
        <w:rPr>
          <w:b w:val="0"/>
          <w:color w:val="365F91" w:themeColor="accent1" w:themeShade="BF"/>
          <w:sz w:val="20"/>
          <w:szCs w:val="18"/>
        </w:rPr>
        <w:t>% of all businesses in the NT were located in the Greater Darwin region. The Alice Springs region had the second most number of businesses (1</w:t>
      </w:r>
      <w:r w:rsidR="00B34E50">
        <w:rPr>
          <w:b w:val="0"/>
          <w:color w:val="365F91" w:themeColor="accent1" w:themeShade="BF"/>
          <w:sz w:val="20"/>
          <w:szCs w:val="18"/>
        </w:rPr>
        <w:t>3</w:t>
      </w:r>
      <w:r w:rsidRPr="00850CF1">
        <w:rPr>
          <w:b w:val="0"/>
          <w:color w:val="365F91" w:themeColor="accent1" w:themeShade="BF"/>
          <w:sz w:val="20"/>
          <w:szCs w:val="18"/>
        </w:rPr>
        <w:t>.8</w:t>
      </w:r>
      <w:r w:rsidR="00B34E50">
        <w:rPr>
          <w:b w:val="0"/>
          <w:color w:val="365F91" w:themeColor="accent1" w:themeShade="BF"/>
          <w:sz w:val="20"/>
          <w:szCs w:val="18"/>
        </w:rPr>
        <w:t>%), the Katherine region had 6.1</w:t>
      </w:r>
      <w:r w:rsidRPr="00850CF1">
        <w:rPr>
          <w:b w:val="0"/>
          <w:color w:val="365F91" w:themeColor="accent1" w:themeShade="BF"/>
          <w:sz w:val="20"/>
          <w:szCs w:val="18"/>
        </w:rPr>
        <w:t xml:space="preserve">%, Daly-Tiwi-West Arnhem had </w:t>
      </w:r>
      <w:r w:rsidR="00B34E50">
        <w:rPr>
          <w:b w:val="0"/>
          <w:color w:val="365F91" w:themeColor="accent1" w:themeShade="BF"/>
          <w:sz w:val="20"/>
          <w:szCs w:val="18"/>
        </w:rPr>
        <w:t>2.4%, East Arnhem had 1.6% and the Barkly region had 1.4</w:t>
      </w:r>
      <w:r w:rsidRPr="00850CF1">
        <w:rPr>
          <w:b w:val="0"/>
          <w:color w:val="365F91" w:themeColor="accent1" w:themeShade="BF"/>
          <w:sz w:val="20"/>
          <w:szCs w:val="18"/>
        </w:rPr>
        <w:t xml:space="preserve">%. </w:t>
      </w:r>
      <w:r w:rsidR="00B34E50">
        <w:rPr>
          <w:b w:val="0"/>
          <w:color w:val="365F91" w:themeColor="accent1" w:themeShade="BF"/>
          <w:sz w:val="20"/>
          <w:szCs w:val="18"/>
        </w:rPr>
        <w:t xml:space="preserve"> Business locations of about 2.2</w:t>
      </w:r>
      <w:r w:rsidRPr="00850CF1">
        <w:rPr>
          <w:b w:val="0"/>
          <w:color w:val="365F91" w:themeColor="accent1" w:themeShade="BF"/>
          <w:sz w:val="20"/>
          <w:szCs w:val="18"/>
        </w:rPr>
        <w:t xml:space="preserve">% of the businesses were ‘currently unknown’. </w:t>
      </w:r>
    </w:p>
    <w:p w:rsidR="00850CF1" w:rsidRDefault="00850CF1" w:rsidP="0028434F">
      <w:pPr>
        <w:pStyle w:val="NoSpacing"/>
      </w:pPr>
    </w:p>
    <w:p w:rsidR="00867E3F" w:rsidRDefault="00867E3F" w:rsidP="00867E3F">
      <w:pPr>
        <w:pStyle w:val="StyleFormText14ptBoldTeal"/>
        <w:spacing w:line="276" w:lineRule="auto"/>
        <w:jc w:val="center"/>
        <w:rPr>
          <w:bCs w:val="0"/>
          <w:snapToGrid w:val="0"/>
          <w:color w:val="auto"/>
          <w:sz w:val="20"/>
          <w:szCs w:val="16"/>
        </w:rPr>
      </w:pPr>
      <w:r>
        <w:rPr>
          <w:bCs w:val="0"/>
          <w:snapToGrid w:val="0"/>
          <w:color w:val="auto"/>
          <w:sz w:val="20"/>
          <w:szCs w:val="16"/>
        </w:rPr>
        <w:br w:type="column"/>
      </w:r>
      <w:r w:rsidRPr="002634E1">
        <w:rPr>
          <w:bCs w:val="0"/>
          <w:snapToGrid w:val="0"/>
          <w:color w:val="auto"/>
          <w:sz w:val="20"/>
          <w:szCs w:val="16"/>
        </w:rPr>
        <w:lastRenderedPageBreak/>
        <w:t xml:space="preserve">NT business count by region, </w:t>
      </w:r>
    </w:p>
    <w:p w:rsidR="00867E3F" w:rsidRPr="002634E1" w:rsidRDefault="0023722F" w:rsidP="00867E3F">
      <w:pPr>
        <w:pStyle w:val="StyleFormText14ptBoldTeal"/>
        <w:spacing w:line="276" w:lineRule="auto"/>
        <w:jc w:val="center"/>
        <w:rPr>
          <w:bCs w:val="0"/>
          <w:snapToGrid w:val="0"/>
          <w:color w:val="auto"/>
          <w:sz w:val="20"/>
          <w:szCs w:val="16"/>
        </w:rPr>
      </w:pPr>
      <w:r>
        <w:rPr>
          <w:bCs w:val="0"/>
          <w:snapToGrid w:val="0"/>
          <w:color w:val="auto"/>
          <w:sz w:val="20"/>
          <w:szCs w:val="16"/>
        </w:rPr>
        <w:t>June 2015</w:t>
      </w:r>
    </w:p>
    <w:p w:rsidR="00867E3F" w:rsidRDefault="0023722F" w:rsidP="00867E3F">
      <w:pPr>
        <w:pStyle w:val="NormalArial"/>
        <w:spacing w:before="0"/>
        <w:rPr>
          <w:b/>
          <w:sz w:val="16"/>
          <w:szCs w:val="16"/>
        </w:rPr>
      </w:pPr>
      <w:r w:rsidRPr="00426C98">
        <w:rPr>
          <w:noProof/>
        </w:rPr>
        <w:drawing>
          <wp:inline distT="0" distB="0" distL="0" distR="0" wp14:anchorId="2EEF9DEF" wp14:editId="398A9B63">
            <wp:extent cx="2744470" cy="1896629"/>
            <wp:effectExtent l="0" t="0" r="0" b="8890"/>
            <wp:docPr id="18" name="Picture 18" descr="In June 2015, 73.4 per cent of all businesses in the NT were located in the Greater Darwin region. The Alice Springs region had the second most number of businesses." title="NT business count by region, June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4470" cy="1896629"/>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867E3F" w:rsidRPr="00BE5196" w:rsidRDefault="00867E3F" w:rsidP="00867E3F">
      <w:pPr>
        <w:pStyle w:val="StyleFormText14ptBoldTeal"/>
        <w:spacing w:line="276" w:lineRule="auto"/>
        <w:jc w:val="both"/>
        <w:rPr>
          <w:b w:val="0"/>
          <w:color w:val="auto"/>
          <w:sz w:val="14"/>
          <w:szCs w:val="18"/>
        </w:rPr>
      </w:pPr>
      <w:r w:rsidRPr="00BE5196">
        <w:rPr>
          <w:b w:val="0"/>
          <w:color w:val="auto"/>
          <w:sz w:val="14"/>
          <w:szCs w:val="18"/>
        </w:rPr>
        <w:t>Source: ABS Cat. No. 8165</w:t>
      </w:r>
      <w:r>
        <w:rPr>
          <w:b w:val="0"/>
          <w:color w:val="auto"/>
          <w:sz w:val="14"/>
          <w:szCs w:val="18"/>
        </w:rPr>
        <w:t>.0</w:t>
      </w:r>
    </w:p>
    <w:p w:rsidR="00867E3F" w:rsidRDefault="00867E3F" w:rsidP="00867E3F">
      <w:pPr>
        <w:pStyle w:val="NormalArial"/>
        <w:spacing w:before="0"/>
        <w:rPr>
          <w:b/>
          <w:sz w:val="16"/>
          <w:szCs w:val="16"/>
        </w:rPr>
      </w:pPr>
    </w:p>
    <w:p w:rsidR="00867E3F" w:rsidRPr="002634E1" w:rsidRDefault="0023722F" w:rsidP="00867E3F">
      <w:pPr>
        <w:pStyle w:val="StyleFormText14ptBoldTeal"/>
        <w:spacing w:line="276" w:lineRule="auto"/>
        <w:jc w:val="center"/>
        <w:rPr>
          <w:bCs w:val="0"/>
          <w:snapToGrid w:val="0"/>
          <w:color w:val="auto"/>
          <w:sz w:val="20"/>
          <w:szCs w:val="16"/>
        </w:rPr>
      </w:pPr>
      <w:r>
        <w:rPr>
          <w:bCs w:val="0"/>
          <w:snapToGrid w:val="0"/>
          <w:color w:val="auto"/>
          <w:sz w:val="20"/>
          <w:szCs w:val="16"/>
        </w:rPr>
        <w:t>Business Location, June 2015</w:t>
      </w:r>
    </w:p>
    <w:p w:rsidR="00867E3F" w:rsidRDefault="0023722F" w:rsidP="00867E3F">
      <w:pPr>
        <w:pStyle w:val="NormalArial"/>
        <w:spacing w:before="0"/>
        <w:rPr>
          <w:b/>
          <w:sz w:val="16"/>
          <w:szCs w:val="16"/>
        </w:rPr>
      </w:pPr>
      <w:r w:rsidRPr="00B25F1A">
        <w:rPr>
          <w:noProof/>
        </w:rPr>
        <w:drawing>
          <wp:inline distT="0" distB="0" distL="0" distR="0" wp14:anchorId="6EEB8543" wp14:editId="5C645BD7">
            <wp:extent cx="2743200" cy="1988820"/>
            <wp:effectExtent l="0" t="0" r="0" b="0"/>
            <wp:docPr id="20" name="Picture 20" descr="Of the buisnesses located in the Darwin region, 24.5 per cent were in Darwin city, and 11.9 per cent were in Litchfield." title="Business location, Jun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4470" cy="1989741"/>
                    </a:xfrm>
                    <a:prstGeom prst="rect">
                      <a:avLst/>
                    </a:prstGeom>
                    <a:noFill/>
                    <a:ln>
                      <a:noFill/>
                    </a:ln>
                  </pic:spPr>
                </pic:pic>
              </a:graphicData>
            </a:graphic>
          </wp:inline>
        </w:drawing>
      </w:r>
    </w:p>
    <w:p w:rsidR="00867E3F" w:rsidRDefault="00867E3F" w:rsidP="00867E3F">
      <w:pPr>
        <w:pStyle w:val="StyleFormText14ptBoldTeal"/>
        <w:spacing w:line="276" w:lineRule="auto"/>
        <w:jc w:val="both"/>
        <w:rPr>
          <w:b w:val="0"/>
          <w:color w:val="auto"/>
          <w:sz w:val="14"/>
          <w:szCs w:val="18"/>
        </w:rPr>
      </w:pPr>
    </w:p>
    <w:p w:rsidR="00316E3C" w:rsidRDefault="00867E3F" w:rsidP="0028434F">
      <w:pPr>
        <w:pStyle w:val="StyleFormText14ptBoldTeal"/>
        <w:spacing w:line="276" w:lineRule="auto"/>
        <w:jc w:val="both"/>
        <w:rPr>
          <w:b w:val="0"/>
          <w:color w:val="auto"/>
          <w:sz w:val="14"/>
          <w:szCs w:val="18"/>
        </w:rPr>
      </w:pPr>
      <w:r w:rsidRPr="00BE5196">
        <w:rPr>
          <w:b w:val="0"/>
          <w:color w:val="auto"/>
          <w:sz w:val="14"/>
          <w:szCs w:val="18"/>
        </w:rPr>
        <w:t>Source: ABS Cat. No. 8165</w:t>
      </w:r>
      <w:r>
        <w:rPr>
          <w:b w:val="0"/>
          <w:color w:val="auto"/>
          <w:sz w:val="14"/>
          <w:szCs w:val="18"/>
        </w:rPr>
        <w:t>.0</w:t>
      </w:r>
    </w:p>
    <w:p w:rsidR="0028434F" w:rsidRDefault="0028434F" w:rsidP="0028434F">
      <w:pPr>
        <w:pStyle w:val="NoSpacing"/>
      </w:pPr>
    </w:p>
    <w:p w:rsidR="0028434F" w:rsidRPr="00BE5196" w:rsidRDefault="0028434F" w:rsidP="0028434F">
      <w:pPr>
        <w:pStyle w:val="NoSpacing"/>
      </w:pPr>
    </w:p>
    <w:p w:rsidR="00867E3F" w:rsidRDefault="00867E3F" w:rsidP="00850CF1">
      <w:pPr>
        <w:pStyle w:val="StyleFormText14ptBoldTeal"/>
        <w:spacing w:line="276" w:lineRule="auto"/>
        <w:jc w:val="both"/>
        <w:rPr>
          <w:color w:val="C00000"/>
          <w:sz w:val="22"/>
          <w:szCs w:val="18"/>
        </w:rPr>
        <w:sectPr w:rsidR="00867E3F" w:rsidSect="006B34F7">
          <w:type w:val="continuous"/>
          <w:pgSz w:w="11906" w:h="16838"/>
          <w:pgMar w:top="1702" w:right="849" w:bottom="1134" w:left="567" w:header="283" w:footer="397" w:gutter="0"/>
          <w:cols w:num="2" w:space="708" w:equalWidth="0">
            <w:col w:w="5458" w:space="708"/>
            <w:col w:w="4322"/>
          </w:cols>
          <w:docGrid w:linePitch="360"/>
        </w:sectPr>
      </w:pPr>
    </w:p>
    <w:p w:rsidR="00850CF1" w:rsidRPr="00506931" w:rsidRDefault="00850CF1" w:rsidP="0028434F">
      <w:pPr>
        <w:pStyle w:val="Heading2"/>
      </w:pPr>
      <w:r w:rsidRPr="00506931">
        <w:lastRenderedPageBreak/>
        <w:t>Annual business turnover</w:t>
      </w:r>
    </w:p>
    <w:p w:rsidR="00850CF1" w:rsidRPr="00850CF1" w:rsidRDefault="00B34E50"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Pr>
          <w:b w:val="0"/>
          <w:color w:val="365F91" w:themeColor="accent1" w:themeShade="BF"/>
          <w:sz w:val="20"/>
          <w:szCs w:val="18"/>
        </w:rPr>
        <w:t>At June 2015, the NT had 21.4</w:t>
      </w:r>
      <w:r w:rsidR="00850CF1" w:rsidRPr="00850CF1">
        <w:rPr>
          <w:b w:val="0"/>
          <w:color w:val="365F91" w:themeColor="accent1" w:themeShade="BF"/>
          <w:sz w:val="20"/>
          <w:szCs w:val="18"/>
        </w:rPr>
        <w:t xml:space="preserve">% of businesses operating in the ‘zero to &lt;$50k’ turnover range.  About </w:t>
      </w:r>
      <w:r>
        <w:rPr>
          <w:b w:val="0"/>
          <w:color w:val="365F91" w:themeColor="accent1" w:themeShade="BF"/>
          <w:sz w:val="20"/>
          <w:szCs w:val="18"/>
        </w:rPr>
        <w:t>32.4</w:t>
      </w:r>
      <w:r w:rsidR="00850CF1" w:rsidRPr="00850CF1">
        <w:rPr>
          <w:b w:val="0"/>
          <w:color w:val="365F91" w:themeColor="accent1" w:themeShade="BF"/>
          <w:sz w:val="20"/>
          <w:szCs w:val="18"/>
        </w:rPr>
        <w:t>% of the businesses were operating in the ‘$50k to &lt; $</w:t>
      </w:r>
      <w:r>
        <w:rPr>
          <w:b w:val="0"/>
          <w:color w:val="365F91" w:themeColor="accent1" w:themeShade="BF"/>
          <w:sz w:val="20"/>
          <w:szCs w:val="18"/>
        </w:rPr>
        <w:t>2</w:t>
      </w:r>
      <w:r w:rsidR="00850CF1" w:rsidRPr="00850CF1">
        <w:rPr>
          <w:b w:val="0"/>
          <w:color w:val="365F91" w:themeColor="accent1" w:themeShade="BF"/>
          <w:sz w:val="20"/>
          <w:szCs w:val="18"/>
        </w:rPr>
        <w:t xml:space="preserve">00k’ range, </w:t>
      </w:r>
      <w:r>
        <w:rPr>
          <w:b w:val="0"/>
          <w:color w:val="365F91" w:themeColor="accent1" w:themeShade="BF"/>
          <w:sz w:val="20"/>
          <w:szCs w:val="18"/>
        </w:rPr>
        <w:t>36.6</w:t>
      </w:r>
      <w:r w:rsidR="00850CF1" w:rsidRPr="00850CF1">
        <w:rPr>
          <w:b w:val="0"/>
          <w:color w:val="365F91" w:themeColor="accent1" w:themeShade="BF"/>
          <w:sz w:val="20"/>
          <w:szCs w:val="18"/>
        </w:rPr>
        <w:t>% in the ‘$200k to &lt;$</w:t>
      </w:r>
      <w:r>
        <w:rPr>
          <w:b w:val="0"/>
          <w:color w:val="365F91" w:themeColor="accent1" w:themeShade="BF"/>
          <w:sz w:val="20"/>
          <w:szCs w:val="18"/>
        </w:rPr>
        <w:t>2m</w:t>
      </w:r>
      <w:r w:rsidR="00850CF1" w:rsidRPr="00850CF1">
        <w:rPr>
          <w:b w:val="0"/>
          <w:color w:val="365F91" w:themeColor="accent1" w:themeShade="BF"/>
          <w:sz w:val="20"/>
          <w:szCs w:val="18"/>
        </w:rPr>
        <w:t xml:space="preserve">’ range, </w:t>
      </w:r>
      <w:r>
        <w:rPr>
          <w:b w:val="0"/>
          <w:color w:val="365F91" w:themeColor="accent1" w:themeShade="BF"/>
          <w:sz w:val="20"/>
          <w:szCs w:val="18"/>
        </w:rPr>
        <w:t>and 9.7</w:t>
      </w:r>
      <w:r w:rsidR="00850CF1" w:rsidRPr="00850CF1">
        <w:rPr>
          <w:b w:val="0"/>
          <w:color w:val="365F91" w:themeColor="accent1" w:themeShade="BF"/>
          <w:sz w:val="20"/>
          <w:szCs w:val="18"/>
        </w:rPr>
        <w:t>% were operating in $2m or more’ range.</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More than half (</w:t>
      </w:r>
      <w:r w:rsidR="004741FD">
        <w:rPr>
          <w:b w:val="0"/>
          <w:color w:val="365F91" w:themeColor="accent1" w:themeShade="BF"/>
          <w:sz w:val="20"/>
          <w:szCs w:val="18"/>
        </w:rPr>
        <w:t>53.8</w:t>
      </w:r>
      <w:r w:rsidRPr="00850CF1">
        <w:rPr>
          <w:b w:val="0"/>
          <w:color w:val="365F91" w:themeColor="accent1" w:themeShade="BF"/>
          <w:sz w:val="20"/>
          <w:szCs w:val="18"/>
        </w:rPr>
        <w:t>%) of the NT businesses have an annual turnover of less than $200k.</w:t>
      </w:r>
    </w:p>
    <w:p w:rsidR="00850CF1" w:rsidRPr="00850CF1" w:rsidRDefault="00850CF1" w:rsidP="00850CF1">
      <w:pPr>
        <w:pStyle w:val="StyleFormText14ptBoldTeal"/>
        <w:numPr>
          <w:ilvl w:val="0"/>
          <w:numId w:val="22"/>
        </w:numPr>
        <w:spacing w:before="120" w:line="240" w:lineRule="auto"/>
        <w:ind w:left="357" w:hanging="357"/>
        <w:jc w:val="both"/>
        <w:rPr>
          <w:b w:val="0"/>
          <w:color w:val="365F91" w:themeColor="accent1" w:themeShade="BF"/>
          <w:sz w:val="20"/>
          <w:szCs w:val="18"/>
        </w:rPr>
      </w:pPr>
      <w:r w:rsidRPr="00850CF1">
        <w:rPr>
          <w:b w:val="0"/>
          <w:color w:val="365F91" w:themeColor="accent1" w:themeShade="BF"/>
          <w:sz w:val="20"/>
          <w:szCs w:val="18"/>
        </w:rPr>
        <w:t xml:space="preserve">Nationally, around </w:t>
      </w:r>
      <w:r w:rsidR="004741FD">
        <w:rPr>
          <w:b w:val="0"/>
          <w:color w:val="365F91" w:themeColor="accent1" w:themeShade="BF"/>
          <w:sz w:val="20"/>
          <w:szCs w:val="18"/>
        </w:rPr>
        <w:t>25.5</w:t>
      </w:r>
      <w:r w:rsidRPr="00850CF1">
        <w:rPr>
          <w:b w:val="0"/>
          <w:color w:val="365F91" w:themeColor="accent1" w:themeShade="BF"/>
          <w:sz w:val="20"/>
          <w:szCs w:val="18"/>
        </w:rPr>
        <w:t>% of businesses were operating in the turnover rang</w:t>
      </w:r>
      <w:r w:rsidR="004741FD">
        <w:rPr>
          <w:b w:val="0"/>
          <w:color w:val="365F91" w:themeColor="accent1" w:themeShade="BF"/>
          <w:sz w:val="20"/>
          <w:szCs w:val="18"/>
        </w:rPr>
        <w:t>e of ‘zero to &lt;$50k’ range, 34.5</w:t>
      </w:r>
      <w:r w:rsidRPr="00850CF1">
        <w:rPr>
          <w:b w:val="0"/>
          <w:color w:val="365F91" w:themeColor="accent1" w:themeShade="BF"/>
          <w:sz w:val="20"/>
          <w:szCs w:val="18"/>
        </w:rPr>
        <w:t xml:space="preserve">% in the ‘$50k to &lt;$200k’ turnover range, </w:t>
      </w:r>
      <w:r w:rsidR="004741FD">
        <w:rPr>
          <w:b w:val="0"/>
          <w:color w:val="365F91" w:themeColor="accent1" w:themeShade="BF"/>
          <w:sz w:val="20"/>
          <w:szCs w:val="18"/>
        </w:rPr>
        <w:t>33.4</w:t>
      </w:r>
      <w:r w:rsidRPr="00850CF1">
        <w:rPr>
          <w:b w:val="0"/>
          <w:color w:val="365F91" w:themeColor="accent1" w:themeShade="BF"/>
          <w:sz w:val="20"/>
          <w:szCs w:val="18"/>
        </w:rPr>
        <w:t>% in the ‘$200k</w:t>
      </w:r>
      <w:r w:rsidR="004741FD">
        <w:rPr>
          <w:b w:val="0"/>
          <w:color w:val="365F91" w:themeColor="accent1" w:themeShade="BF"/>
          <w:sz w:val="20"/>
          <w:szCs w:val="18"/>
        </w:rPr>
        <w:t xml:space="preserve"> to &lt;$2m’ turnover range and 6.6</w:t>
      </w:r>
      <w:r w:rsidRPr="00850CF1">
        <w:rPr>
          <w:b w:val="0"/>
          <w:color w:val="365F91" w:themeColor="accent1" w:themeShade="BF"/>
          <w:sz w:val="20"/>
          <w:szCs w:val="18"/>
        </w:rPr>
        <w:t>% in the ‘$2m or more’ turnover range.</w:t>
      </w:r>
    </w:p>
    <w:p w:rsidR="00A74326" w:rsidRDefault="006E1581" w:rsidP="002634E1">
      <w:pPr>
        <w:pStyle w:val="StyleFormText14ptBoldTeal"/>
        <w:spacing w:line="276" w:lineRule="auto"/>
        <w:jc w:val="center"/>
        <w:rPr>
          <w:bCs w:val="0"/>
          <w:snapToGrid w:val="0"/>
          <w:color w:val="auto"/>
          <w:sz w:val="20"/>
          <w:szCs w:val="16"/>
        </w:rPr>
      </w:pPr>
      <w:r>
        <w:rPr>
          <w:sz w:val="16"/>
          <w:szCs w:val="16"/>
        </w:rPr>
        <w:br w:type="column"/>
      </w:r>
      <w:r w:rsidR="009A192F" w:rsidRPr="002634E1">
        <w:rPr>
          <w:bCs w:val="0"/>
          <w:snapToGrid w:val="0"/>
          <w:color w:val="auto"/>
          <w:sz w:val="20"/>
          <w:szCs w:val="16"/>
        </w:rPr>
        <w:lastRenderedPageBreak/>
        <w:t>NT business</w:t>
      </w:r>
      <w:r w:rsidR="00DB6BA9" w:rsidRPr="002634E1">
        <w:rPr>
          <w:bCs w:val="0"/>
          <w:snapToGrid w:val="0"/>
          <w:color w:val="auto"/>
          <w:sz w:val="20"/>
          <w:szCs w:val="16"/>
        </w:rPr>
        <w:t xml:space="preserve"> count by</w:t>
      </w:r>
      <w:r w:rsidR="009A192F" w:rsidRPr="002634E1">
        <w:rPr>
          <w:bCs w:val="0"/>
          <w:snapToGrid w:val="0"/>
          <w:color w:val="auto"/>
          <w:sz w:val="20"/>
          <w:szCs w:val="16"/>
        </w:rPr>
        <w:t xml:space="preserve"> turnover, </w:t>
      </w:r>
    </w:p>
    <w:p w:rsidR="00774860" w:rsidRPr="002634E1" w:rsidRDefault="0023722F" w:rsidP="002634E1">
      <w:pPr>
        <w:pStyle w:val="StyleFormText14ptBoldTeal"/>
        <w:spacing w:line="276" w:lineRule="auto"/>
        <w:jc w:val="center"/>
        <w:rPr>
          <w:bCs w:val="0"/>
          <w:snapToGrid w:val="0"/>
          <w:color w:val="auto"/>
          <w:sz w:val="20"/>
          <w:szCs w:val="16"/>
        </w:rPr>
      </w:pPr>
      <w:r>
        <w:rPr>
          <w:bCs w:val="0"/>
          <w:snapToGrid w:val="0"/>
          <w:color w:val="auto"/>
          <w:sz w:val="20"/>
          <w:szCs w:val="16"/>
        </w:rPr>
        <w:t>June 2015</w:t>
      </w:r>
    </w:p>
    <w:p w:rsidR="0048663F" w:rsidRDefault="0023722F" w:rsidP="005F2AD7">
      <w:pPr>
        <w:pStyle w:val="NormalArial"/>
        <w:spacing w:before="0"/>
        <w:rPr>
          <w:sz w:val="14"/>
          <w:szCs w:val="18"/>
        </w:rPr>
      </w:pPr>
      <w:r w:rsidRPr="006F398B">
        <w:rPr>
          <w:noProof/>
        </w:rPr>
        <w:drawing>
          <wp:inline distT="0" distB="0" distL="0" distR="0" wp14:anchorId="163F08A8" wp14:editId="0B3BE2F6">
            <wp:extent cx="2743200" cy="2087880"/>
            <wp:effectExtent l="0" t="0" r="0" b="0"/>
            <wp:docPr id="17" name="Picture 17" descr="More than half (53.8 per cent) of the NT businesses have an annual turnover of less than $200,000." title="NT business count by turnover, Jun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4470" cy="2088847"/>
                    </a:xfrm>
                    <a:prstGeom prst="rect">
                      <a:avLst/>
                    </a:prstGeom>
                    <a:noFill/>
                    <a:ln>
                      <a:noFill/>
                    </a:ln>
                  </pic:spPr>
                </pic:pic>
              </a:graphicData>
            </a:graphic>
          </wp:inline>
        </w:drawing>
      </w:r>
    </w:p>
    <w:p w:rsidR="00C91D4D" w:rsidRDefault="00C91D4D" w:rsidP="006E1581">
      <w:pPr>
        <w:pStyle w:val="StyleFormText14ptBoldTeal"/>
        <w:spacing w:line="276" w:lineRule="auto"/>
        <w:jc w:val="both"/>
        <w:rPr>
          <w:b w:val="0"/>
          <w:color w:val="auto"/>
          <w:sz w:val="14"/>
          <w:szCs w:val="18"/>
        </w:rPr>
      </w:pPr>
    </w:p>
    <w:p w:rsidR="000349A5" w:rsidRPr="006E1581" w:rsidRDefault="00305CB7" w:rsidP="006E1581">
      <w:pPr>
        <w:pStyle w:val="StyleFormText14ptBoldTeal"/>
        <w:spacing w:line="276" w:lineRule="auto"/>
        <w:jc w:val="both"/>
        <w:rPr>
          <w:b w:val="0"/>
          <w:color w:val="auto"/>
          <w:sz w:val="14"/>
          <w:szCs w:val="18"/>
        </w:rPr>
      </w:pPr>
      <w:r w:rsidRPr="006E1581">
        <w:rPr>
          <w:b w:val="0"/>
          <w:color w:val="auto"/>
          <w:sz w:val="14"/>
          <w:szCs w:val="18"/>
        </w:rPr>
        <w:t>Source: ABS Cat. No. 8165</w:t>
      </w:r>
      <w:r w:rsidR="00637551" w:rsidRPr="006E1581">
        <w:rPr>
          <w:b w:val="0"/>
          <w:color w:val="auto"/>
          <w:sz w:val="14"/>
          <w:szCs w:val="18"/>
        </w:rPr>
        <w:t>.0</w:t>
      </w:r>
    </w:p>
    <w:p w:rsidR="00FE5B1B" w:rsidRDefault="00FE5B1B" w:rsidP="0028434F">
      <w:pPr>
        <w:pStyle w:val="NoSpacing"/>
      </w:pPr>
    </w:p>
    <w:p w:rsidR="00316E3C" w:rsidRDefault="00316E3C" w:rsidP="000E196C">
      <w:pPr>
        <w:pStyle w:val="StyleFormText14ptBoldTeal"/>
        <w:spacing w:line="276" w:lineRule="auto"/>
        <w:jc w:val="both"/>
        <w:rPr>
          <w:color w:val="C00000"/>
          <w:sz w:val="22"/>
          <w:szCs w:val="18"/>
        </w:rPr>
        <w:sectPr w:rsidR="00316E3C" w:rsidSect="002E799B">
          <w:type w:val="continuous"/>
          <w:pgSz w:w="11906" w:h="16838"/>
          <w:pgMar w:top="1702" w:right="849" w:bottom="1134" w:left="567" w:header="283" w:footer="850" w:gutter="0"/>
          <w:cols w:num="2" w:space="708" w:equalWidth="0">
            <w:col w:w="5458" w:space="708"/>
            <w:col w:w="4322"/>
          </w:cols>
          <w:docGrid w:linePitch="360"/>
        </w:sectPr>
      </w:pPr>
      <w:r w:rsidRPr="00316E3C">
        <w:rPr>
          <w:b w:val="0"/>
          <w:color w:val="FFFFFF" w:themeColor="background1"/>
          <w:sz w:val="12"/>
          <w:szCs w:val="18"/>
        </w:rPr>
        <w:t>Please read an outlined view for best navigational experience</w:t>
      </w:r>
    </w:p>
    <w:p w:rsidR="00FE5B1B" w:rsidRDefault="00FE5B1B" w:rsidP="0028434F">
      <w:pPr>
        <w:pStyle w:val="NoSpacing"/>
      </w:pPr>
      <w:r>
        <w:lastRenderedPageBreak/>
        <w:br w:type="page"/>
      </w:r>
    </w:p>
    <w:p w:rsidR="00611C11" w:rsidRPr="0028434F" w:rsidRDefault="00611C11" w:rsidP="00611C11">
      <w:pPr>
        <w:pStyle w:val="NormalArial"/>
        <w:spacing w:before="0" w:line="360" w:lineRule="auto"/>
        <w:rPr>
          <w:b/>
          <w:color w:val="auto"/>
          <w:sz w:val="16"/>
          <w:szCs w:val="16"/>
        </w:rPr>
      </w:pPr>
      <w:r w:rsidRPr="0028434F">
        <w:rPr>
          <w:b/>
          <w:color w:val="auto"/>
          <w:sz w:val="16"/>
          <w:szCs w:val="16"/>
        </w:rPr>
        <w:lastRenderedPageBreak/>
        <w:t xml:space="preserve">Notes: </w:t>
      </w:r>
    </w:p>
    <w:p w:rsidR="00611C11" w:rsidRPr="0028434F" w:rsidRDefault="00611C11" w:rsidP="00611C11">
      <w:pPr>
        <w:pStyle w:val="BodyText3"/>
        <w:spacing w:line="240" w:lineRule="auto"/>
        <w:jc w:val="both"/>
        <w:rPr>
          <w:rFonts w:cs="Arial"/>
          <w:color w:val="auto"/>
        </w:rPr>
      </w:pPr>
      <w:r w:rsidRPr="0028434F">
        <w:rPr>
          <w:rFonts w:cs="Arial"/>
          <w:color w:val="auto"/>
        </w:rPr>
        <w:t>ABS business count is derived from Australian Bureau of Statistics Business Register (ABSBR) and is populated with information from the Australian Business Register (ABR).  Most businesses in Australia are required to have an Australian Business Number (ABN) and register with ABR. Actively trading businesses with a turnover of at least of $75,000 per annum and $150 000 for non-profit organisations are required to have an ABN and remit GST.  Businesses with &lt;$75,000 turnover can voluntary register for ABN and these voluntarily registered businesses are included in the business counts.  See appendix 1 for details on the basis for counts of businesses. For further information please refer to ABS Catalogue number 8165.0.</w:t>
      </w:r>
    </w:p>
    <w:p w:rsidR="00611C11" w:rsidRPr="0028434F" w:rsidRDefault="00611C11" w:rsidP="00611C11">
      <w:pPr>
        <w:pStyle w:val="BodyText3"/>
        <w:spacing w:line="240" w:lineRule="auto"/>
        <w:jc w:val="both"/>
        <w:rPr>
          <w:rFonts w:cs="Arial"/>
          <w:color w:val="auto"/>
        </w:rPr>
      </w:pPr>
      <w:r w:rsidRPr="0028434F">
        <w:rPr>
          <w:rFonts w:cs="Arial"/>
          <w:color w:val="auto"/>
        </w:rPr>
        <w:t xml:space="preserve">The ABS definition of business exit is ‘a business for which the ABN or GST role has been cancelled and/or which has ceased to remit GST for at least five consecutive quarters in respect of that ABN (or 3 consecutive years for annual remitters)’. It should be noted that a business exit event does not necessarily equate to a business ‘failure’.   There may be other reasons such as sale of business (owner retiring </w:t>
      </w:r>
      <w:proofErr w:type="spellStart"/>
      <w:r w:rsidRPr="0028434F">
        <w:rPr>
          <w:rFonts w:cs="Arial"/>
          <w:color w:val="auto"/>
        </w:rPr>
        <w:t>etc</w:t>
      </w:r>
      <w:proofErr w:type="spellEnd"/>
      <w:r w:rsidRPr="0028434F">
        <w:rPr>
          <w:rFonts w:cs="Arial"/>
          <w:color w:val="auto"/>
        </w:rPr>
        <w:t>) or change in the business structure e.g. mergers and takeovers.</w:t>
      </w:r>
    </w:p>
    <w:p w:rsidR="00C22AB9" w:rsidRPr="0028434F" w:rsidRDefault="002E0E21" w:rsidP="001459AB">
      <w:pPr>
        <w:pStyle w:val="NormalArial"/>
        <w:spacing w:before="0"/>
        <w:rPr>
          <w:b/>
          <w:color w:val="auto"/>
          <w:sz w:val="16"/>
          <w:szCs w:val="16"/>
        </w:rPr>
      </w:pPr>
      <w:r w:rsidRPr="0028434F">
        <w:rPr>
          <w:b/>
          <w:color w:val="auto"/>
          <w:sz w:val="16"/>
          <w:szCs w:val="16"/>
        </w:rPr>
        <w:t>Data Source:</w:t>
      </w:r>
    </w:p>
    <w:p w:rsidR="002E0E21" w:rsidRPr="0028434F" w:rsidRDefault="002E0E21" w:rsidP="001459AB">
      <w:pPr>
        <w:pStyle w:val="NormalArial"/>
        <w:spacing w:before="0"/>
        <w:rPr>
          <w:color w:val="auto"/>
          <w:sz w:val="16"/>
          <w:szCs w:val="16"/>
        </w:rPr>
      </w:pPr>
      <w:r w:rsidRPr="0028434F">
        <w:rPr>
          <w:color w:val="auto"/>
          <w:sz w:val="16"/>
          <w:szCs w:val="16"/>
        </w:rPr>
        <w:t>Australian Bureau of Statistics, Catalogue Number 8165.0</w:t>
      </w:r>
    </w:p>
    <w:p w:rsidR="002E0E21" w:rsidRPr="0028434F" w:rsidRDefault="002E0E21" w:rsidP="001459AB">
      <w:pPr>
        <w:pStyle w:val="NormalArial"/>
        <w:spacing w:before="0"/>
        <w:rPr>
          <w:b/>
          <w:color w:val="auto"/>
          <w:sz w:val="16"/>
          <w:szCs w:val="16"/>
        </w:rPr>
      </w:pPr>
    </w:p>
    <w:p w:rsidR="001459AB" w:rsidRPr="0028434F" w:rsidRDefault="001459AB" w:rsidP="00511FC4">
      <w:pPr>
        <w:pStyle w:val="NormalArial"/>
        <w:spacing w:before="0" w:line="360" w:lineRule="auto"/>
        <w:rPr>
          <w:b/>
          <w:color w:val="auto"/>
          <w:sz w:val="16"/>
          <w:szCs w:val="16"/>
        </w:rPr>
      </w:pPr>
      <w:r w:rsidRPr="0028434F">
        <w:rPr>
          <w:b/>
          <w:color w:val="auto"/>
          <w:sz w:val="16"/>
          <w:szCs w:val="16"/>
        </w:rPr>
        <w:t>For Further Information:</w:t>
      </w:r>
    </w:p>
    <w:p w:rsidR="001459AB" w:rsidRPr="0028434F" w:rsidRDefault="001459AB" w:rsidP="00611C11">
      <w:pPr>
        <w:pStyle w:val="NormalArial"/>
        <w:tabs>
          <w:tab w:val="left" w:pos="993"/>
        </w:tabs>
        <w:spacing w:before="0" w:line="360" w:lineRule="auto"/>
        <w:rPr>
          <w:color w:val="auto"/>
          <w:sz w:val="16"/>
          <w:szCs w:val="16"/>
        </w:rPr>
      </w:pPr>
      <w:r w:rsidRPr="0028434F">
        <w:rPr>
          <w:color w:val="auto"/>
          <w:sz w:val="16"/>
          <w:szCs w:val="16"/>
        </w:rPr>
        <w:t xml:space="preserve">Contact: </w:t>
      </w:r>
      <w:r w:rsidRPr="0028434F">
        <w:rPr>
          <w:color w:val="auto"/>
          <w:sz w:val="16"/>
          <w:szCs w:val="16"/>
        </w:rPr>
        <w:tab/>
      </w:r>
      <w:r w:rsidR="0023722F">
        <w:rPr>
          <w:color w:val="auto"/>
          <w:sz w:val="16"/>
          <w:szCs w:val="16"/>
        </w:rPr>
        <w:t>Strategic Policy and Research</w:t>
      </w:r>
    </w:p>
    <w:p w:rsidR="001459AB" w:rsidRPr="0028434F" w:rsidRDefault="001459AB" w:rsidP="00511FC4">
      <w:pPr>
        <w:pStyle w:val="NormalArial"/>
        <w:tabs>
          <w:tab w:val="left" w:pos="993"/>
        </w:tabs>
        <w:spacing w:before="0" w:line="360" w:lineRule="auto"/>
        <w:ind w:left="284"/>
        <w:rPr>
          <w:color w:val="auto"/>
          <w:sz w:val="16"/>
          <w:szCs w:val="16"/>
        </w:rPr>
      </w:pPr>
      <w:r w:rsidRPr="0028434F">
        <w:rPr>
          <w:color w:val="auto"/>
          <w:sz w:val="16"/>
          <w:szCs w:val="16"/>
        </w:rPr>
        <w:tab/>
        <w:t>Department of Business</w:t>
      </w:r>
    </w:p>
    <w:p w:rsidR="001459AB" w:rsidRPr="0028434F" w:rsidRDefault="001459AB" w:rsidP="00611C11">
      <w:pPr>
        <w:pStyle w:val="NormalArial"/>
        <w:tabs>
          <w:tab w:val="left" w:pos="993"/>
        </w:tabs>
        <w:spacing w:before="0" w:line="360" w:lineRule="auto"/>
        <w:rPr>
          <w:color w:val="auto"/>
          <w:sz w:val="16"/>
          <w:szCs w:val="16"/>
        </w:rPr>
      </w:pPr>
      <w:r w:rsidRPr="0028434F">
        <w:rPr>
          <w:color w:val="auto"/>
          <w:sz w:val="16"/>
          <w:szCs w:val="16"/>
        </w:rPr>
        <w:t xml:space="preserve">Phone: </w:t>
      </w:r>
      <w:r w:rsidR="00705E56">
        <w:rPr>
          <w:color w:val="auto"/>
          <w:sz w:val="16"/>
          <w:szCs w:val="16"/>
        </w:rPr>
        <w:tab/>
        <w:t xml:space="preserve">(08) </w:t>
      </w:r>
      <w:r w:rsidRPr="0028434F">
        <w:rPr>
          <w:color w:val="auto"/>
          <w:sz w:val="16"/>
          <w:szCs w:val="16"/>
        </w:rPr>
        <w:t>8999</w:t>
      </w:r>
      <w:r w:rsidR="00705E56">
        <w:rPr>
          <w:color w:val="auto"/>
          <w:sz w:val="16"/>
          <w:szCs w:val="16"/>
        </w:rPr>
        <w:t xml:space="preserve"> </w:t>
      </w:r>
      <w:r w:rsidRPr="0028434F">
        <w:rPr>
          <w:color w:val="auto"/>
          <w:sz w:val="16"/>
          <w:szCs w:val="16"/>
        </w:rPr>
        <w:t>5139</w:t>
      </w:r>
    </w:p>
    <w:p w:rsidR="001459AB" w:rsidRPr="0028434F" w:rsidRDefault="001459AB" w:rsidP="00611C11">
      <w:pPr>
        <w:pStyle w:val="NormalArial"/>
        <w:spacing w:before="0" w:line="360" w:lineRule="auto"/>
        <w:rPr>
          <w:color w:val="auto"/>
          <w:sz w:val="16"/>
          <w:szCs w:val="16"/>
        </w:rPr>
      </w:pPr>
      <w:r w:rsidRPr="0028434F">
        <w:rPr>
          <w:color w:val="auto"/>
          <w:sz w:val="16"/>
          <w:szCs w:val="16"/>
        </w:rPr>
        <w:t xml:space="preserve">Information current as at:  </w:t>
      </w:r>
      <w:r w:rsidR="0023722F">
        <w:rPr>
          <w:color w:val="auto"/>
          <w:sz w:val="16"/>
          <w:szCs w:val="16"/>
        </w:rPr>
        <w:t>15 March</w:t>
      </w:r>
      <w:r w:rsidRPr="0028434F">
        <w:rPr>
          <w:color w:val="auto"/>
          <w:sz w:val="16"/>
          <w:szCs w:val="16"/>
        </w:rPr>
        <w:t xml:space="preserve"> 201</w:t>
      </w:r>
      <w:r w:rsidR="0023722F">
        <w:rPr>
          <w:color w:val="auto"/>
          <w:sz w:val="16"/>
          <w:szCs w:val="16"/>
        </w:rPr>
        <w:t>6</w:t>
      </w:r>
    </w:p>
    <w:p w:rsidR="00511FC4" w:rsidRPr="0028434F" w:rsidRDefault="00511FC4" w:rsidP="00511FC4">
      <w:pPr>
        <w:pStyle w:val="NormalArial"/>
        <w:spacing w:before="0" w:line="360" w:lineRule="auto"/>
        <w:ind w:left="284"/>
        <w:rPr>
          <w:b/>
          <w:color w:val="auto"/>
          <w:sz w:val="16"/>
          <w:szCs w:val="16"/>
        </w:rPr>
      </w:pPr>
    </w:p>
    <w:p w:rsidR="00A3066C" w:rsidRPr="0028434F" w:rsidRDefault="001459AB" w:rsidP="00611C11">
      <w:pPr>
        <w:pStyle w:val="NormalArial"/>
        <w:spacing w:before="0" w:line="360" w:lineRule="auto"/>
        <w:jc w:val="both"/>
        <w:rPr>
          <w:color w:val="auto"/>
          <w:sz w:val="16"/>
          <w:szCs w:val="16"/>
        </w:rPr>
      </w:pPr>
      <w:r w:rsidRPr="0028434F">
        <w:rPr>
          <w:b/>
          <w:color w:val="auto"/>
          <w:sz w:val="16"/>
          <w:szCs w:val="16"/>
        </w:rPr>
        <w:t>Disclaimer:</w:t>
      </w:r>
      <w:r w:rsidR="00611C11" w:rsidRPr="0028434F">
        <w:rPr>
          <w:color w:val="auto"/>
          <w:sz w:val="16"/>
          <w:szCs w:val="16"/>
        </w:rPr>
        <w:t xml:space="preserve"> </w:t>
      </w:r>
      <w:r w:rsidRPr="0028434F">
        <w:rPr>
          <w:color w:val="auto"/>
          <w:sz w:val="16"/>
          <w:szCs w:val="16"/>
        </w:rPr>
        <w:t>The Northern Territory of Australia gives no warranty of assurance, and makes no representation as to the accuracy of any information or advice contained in this publication, or that it is suitable for your intended use. You should not rely upon information in this publication for the purpose of making any serious business or investment decisions without obtaining independent and/or professional advice in relati</w:t>
      </w:r>
      <w:r w:rsidR="00EF0817" w:rsidRPr="0028434F">
        <w:rPr>
          <w:color w:val="auto"/>
          <w:sz w:val="16"/>
          <w:szCs w:val="16"/>
        </w:rPr>
        <w:t>on to your particular situation</w:t>
      </w:r>
    </w:p>
    <w:p w:rsidR="00EF0817" w:rsidRDefault="00EF0817" w:rsidP="0028434F">
      <w:pPr>
        <w:pStyle w:val="NoSpacing"/>
      </w:pPr>
    </w:p>
    <w:p w:rsidR="00316E3C" w:rsidRDefault="00316E3C" w:rsidP="00E020FE">
      <w:pPr>
        <w:pStyle w:val="StyleFormText14ptBoldTeal"/>
        <w:spacing w:line="276" w:lineRule="auto"/>
        <w:jc w:val="both"/>
        <w:rPr>
          <w:color w:val="31849B" w:themeColor="accent5" w:themeShade="BF"/>
          <w:sz w:val="18"/>
          <w:szCs w:val="18"/>
        </w:rPr>
        <w:sectPr w:rsidR="00316E3C" w:rsidSect="006B34F7">
          <w:type w:val="continuous"/>
          <w:pgSz w:w="11906" w:h="16838"/>
          <w:pgMar w:top="1702" w:right="849" w:bottom="1134" w:left="567" w:header="283" w:footer="397" w:gutter="0"/>
          <w:cols w:space="708"/>
          <w:docGrid w:linePitch="360"/>
        </w:sectPr>
      </w:pPr>
      <w:r w:rsidRPr="00316E3C">
        <w:rPr>
          <w:b w:val="0"/>
          <w:color w:val="FFFFFF" w:themeColor="background1"/>
          <w:sz w:val="12"/>
          <w:szCs w:val="18"/>
        </w:rPr>
        <w:t>Please read an outlined view for best navigational experience</w:t>
      </w:r>
    </w:p>
    <w:p w:rsidR="00881F97" w:rsidRDefault="00881F97" w:rsidP="00E020FE">
      <w:pPr>
        <w:pStyle w:val="StyleFormText14ptBoldTeal"/>
        <w:spacing w:line="276" w:lineRule="auto"/>
        <w:jc w:val="both"/>
        <w:rPr>
          <w:color w:val="31849B" w:themeColor="accent5" w:themeShade="BF"/>
          <w:sz w:val="18"/>
          <w:szCs w:val="18"/>
        </w:rPr>
        <w:sectPr w:rsidR="00881F97" w:rsidSect="00881F97">
          <w:type w:val="continuous"/>
          <w:pgSz w:w="11906" w:h="16838"/>
          <w:pgMar w:top="1702" w:right="849" w:bottom="1134" w:left="567" w:header="283" w:footer="850" w:gutter="0"/>
          <w:cols w:num="2" w:sep="1" w:space="2268" w:equalWidth="0">
            <w:col w:w="3024" w:space="708"/>
            <w:col w:w="6756"/>
          </w:cols>
          <w:docGrid w:linePitch="360"/>
        </w:sectPr>
      </w:pPr>
    </w:p>
    <w:p w:rsidR="00E020FE" w:rsidRDefault="00E020FE" w:rsidP="0028434F">
      <w:pPr>
        <w:pStyle w:val="NoSpacing"/>
      </w:pPr>
    </w:p>
    <w:p w:rsidR="00EF0817" w:rsidRDefault="0023722F" w:rsidP="00A3066C">
      <w:pPr>
        <w:pStyle w:val="StyleFormText14ptBoldTeal"/>
        <w:spacing w:line="276" w:lineRule="auto"/>
        <w:jc w:val="both"/>
        <w:rPr>
          <w:color w:val="31849B" w:themeColor="accent5" w:themeShade="BF"/>
          <w:sz w:val="18"/>
          <w:szCs w:val="18"/>
        </w:rPr>
        <w:sectPr w:rsidR="00EF0817" w:rsidSect="006B34F7">
          <w:type w:val="continuous"/>
          <w:pgSz w:w="11906" w:h="16838"/>
          <w:pgMar w:top="1702" w:right="849" w:bottom="1134" w:left="567" w:header="283" w:footer="397" w:gutter="0"/>
          <w:cols w:sep="1" w:space="2268"/>
          <w:docGrid w:linePitch="360"/>
        </w:sectPr>
      </w:pPr>
      <w:r w:rsidRPr="00121BC1">
        <w:rPr>
          <w:noProof/>
        </w:rPr>
        <w:lastRenderedPageBreak/>
        <w:drawing>
          <wp:inline distT="0" distB="0" distL="0" distR="0" wp14:anchorId="41009D5B" wp14:editId="4FA18021">
            <wp:extent cx="6661150" cy="7225821"/>
            <wp:effectExtent l="0" t="0" r="0" b="0"/>
            <wp:docPr id="8" name="Picture 8" descr="The business count in the Australian Bureau of Statistics catalogue 8165.0 are based on active ABNs on the ABR, and the process in determining businesses count by region, turnover, and industry is based on step by step process. Detailed description can be found on the ABS website - http://www.abs.gov.au/ausstats/abs@.nsf/Latestproducts/8165.0Main%20Features2Jun%202011%20to%20Jun%202015?opendocument&amp;tabname=Summary&amp;prodno=8165.0&amp;issue=Jun%202011%20to%20Jun%202015&amp;num=&amp;view=" title="The conceptual and practical basis for counts of Australian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1150" cy="7225821"/>
                    </a:xfrm>
                    <a:prstGeom prst="rect">
                      <a:avLst/>
                    </a:prstGeom>
                    <a:noFill/>
                    <a:ln>
                      <a:noFill/>
                    </a:ln>
                  </pic:spPr>
                </pic:pic>
              </a:graphicData>
            </a:graphic>
          </wp:inline>
        </w:drawing>
      </w:r>
    </w:p>
    <w:p w:rsidR="00EF0817" w:rsidRPr="00E020FE" w:rsidRDefault="000E028C" w:rsidP="00A3066C">
      <w:pPr>
        <w:pStyle w:val="StyleFormText14ptBoldTeal"/>
        <w:spacing w:line="276" w:lineRule="auto"/>
        <w:jc w:val="both"/>
        <w:rPr>
          <w:color w:val="31849B" w:themeColor="accent5" w:themeShade="BF"/>
          <w:sz w:val="18"/>
          <w:szCs w:val="18"/>
        </w:rPr>
      </w:pPr>
      <w:r w:rsidRPr="00BE5196">
        <w:rPr>
          <w:b w:val="0"/>
          <w:color w:val="auto"/>
          <w:sz w:val="14"/>
          <w:szCs w:val="18"/>
        </w:rPr>
        <w:lastRenderedPageBreak/>
        <w:t>Source: ABS Cat. No. 8165</w:t>
      </w:r>
      <w:r w:rsidR="00637551">
        <w:rPr>
          <w:b w:val="0"/>
          <w:color w:val="auto"/>
          <w:sz w:val="14"/>
          <w:szCs w:val="18"/>
        </w:rPr>
        <w:t>.0</w:t>
      </w:r>
    </w:p>
    <w:sectPr w:rsidR="00EF0817" w:rsidRPr="00E020FE" w:rsidSect="00881F97">
      <w:type w:val="continuous"/>
      <w:pgSz w:w="11906" w:h="16838"/>
      <w:pgMar w:top="1702" w:right="849" w:bottom="1134" w:left="567" w:header="283" w:footer="850" w:gutter="0"/>
      <w:cols w:num="2" w:sep="1" w:space="22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65" w:rsidRDefault="00220B65" w:rsidP="003240C5">
      <w:pPr>
        <w:spacing w:after="0" w:line="240" w:lineRule="auto"/>
      </w:pPr>
      <w:r>
        <w:separator/>
      </w:r>
    </w:p>
  </w:endnote>
  <w:endnote w:type="continuationSeparator" w:id="0">
    <w:p w:rsidR="00220B65" w:rsidRDefault="00220B65" w:rsidP="0032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F7" w:rsidRPr="006B34F7" w:rsidRDefault="006B34F7" w:rsidP="006B34F7">
    <w:pPr>
      <w:pStyle w:val="Footer"/>
      <w:shd w:val="clear" w:color="auto" w:fill="31859C"/>
      <w:ind w:right="-425"/>
      <w:rPr>
        <w:rFonts w:cs="Arial"/>
        <w:b/>
        <w:color w:val="FFFFFF" w:themeColor="background1"/>
        <w:sz w:val="24"/>
        <w:szCs w:val="24"/>
      </w:rPr>
    </w:pPr>
    <w:r w:rsidRPr="006B34F7">
      <w:rPr>
        <w:rFonts w:cs="Arial"/>
        <w:color w:val="FFFFFF" w:themeColor="background1"/>
        <w:sz w:val="24"/>
        <w:szCs w:val="24"/>
      </w:rPr>
      <w:t>Department of</w:t>
    </w:r>
    <w:r>
      <w:rPr>
        <w:rFonts w:cs="Arial"/>
        <w:color w:val="FFFFFF" w:themeColor="background1"/>
        <w:sz w:val="24"/>
        <w:szCs w:val="24"/>
      </w:rPr>
      <w:br/>
    </w:r>
    <w:r w:rsidRPr="006B34F7">
      <w:rPr>
        <w:rFonts w:cs="Arial"/>
        <w:b/>
        <w:color w:val="FFFFFF" w:themeColor="background1"/>
        <w:sz w:val="24"/>
        <w:szCs w:val="24"/>
      </w:rPr>
      <w:t>Business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65" w:rsidRDefault="00220B65" w:rsidP="003240C5">
      <w:pPr>
        <w:spacing w:after="0" w:line="240" w:lineRule="auto"/>
      </w:pPr>
      <w:r>
        <w:separator/>
      </w:r>
    </w:p>
  </w:footnote>
  <w:footnote w:type="continuationSeparator" w:id="0">
    <w:p w:rsidR="00220B65" w:rsidRDefault="00220B65" w:rsidP="00324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shd w:val="clear" w:color="auto" w:fill="31859C"/>
      <w:tblLayout w:type="fixed"/>
      <w:tblLook w:val="04A0" w:firstRow="1" w:lastRow="0" w:firstColumn="1" w:lastColumn="0" w:noHBand="0" w:noVBand="1"/>
    </w:tblPr>
    <w:tblGrid>
      <w:gridCol w:w="1526"/>
      <w:gridCol w:w="4765"/>
      <w:gridCol w:w="4766"/>
    </w:tblGrid>
    <w:tr w:rsidR="00024D57" w:rsidTr="00024D57">
      <w:trPr>
        <w:trHeight w:val="1531"/>
      </w:trPr>
      <w:tc>
        <w:tcPr>
          <w:tcW w:w="1526" w:type="dxa"/>
          <w:shd w:val="clear" w:color="auto" w:fill="31859C"/>
        </w:tcPr>
        <w:p w:rsidR="00024D57" w:rsidRPr="006548E8" w:rsidRDefault="00024D57" w:rsidP="00024D57">
          <w:pPr>
            <w:pStyle w:val="NoSpacing"/>
            <w:ind w:left="-142"/>
            <w:rPr>
              <w:sz w:val="16"/>
              <w:szCs w:val="16"/>
            </w:rPr>
          </w:pPr>
          <w:r>
            <w:rPr>
              <w:noProof/>
            </w:rPr>
            <w:drawing>
              <wp:inline distT="0" distB="0" distL="0" distR="0" wp14:anchorId="16E17644" wp14:editId="6282B97C">
                <wp:extent cx="972000" cy="972000"/>
                <wp:effectExtent l="0" t="0" r="0" b="0"/>
                <wp:docPr id="11" name="Picture 1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4765" w:type="dxa"/>
          <w:shd w:val="clear" w:color="auto" w:fill="31859C"/>
          <w:noWrap/>
        </w:tcPr>
        <w:p w:rsidR="00024D57" w:rsidRDefault="00024D57" w:rsidP="00024D57">
          <w:pPr>
            <w:pStyle w:val="PolicyName"/>
            <w:spacing w:before="240"/>
            <w:rPr>
              <w:rFonts w:cs="Arial"/>
              <w:b w:val="0"/>
              <w:color w:val="FFFFFF" w:themeColor="background1"/>
              <w:szCs w:val="32"/>
            </w:rPr>
          </w:pPr>
          <w:r w:rsidRPr="00024D57">
            <w:rPr>
              <w:rFonts w:cs="Arial"/>
              <w:b w:val="0"/>
              <w:color w:val="FFFFFF" w:themeColor="background1"/>
              <w:szCs w:val="32"/>
            </w:rPr>
            <w:t>Economic Quick Facts</w:t>
          </w:r>
        </w:p>
        <w:p w:rsidR="00024D57" w:rsidRPr="00024D57" w:rsidRDefault="00024D57" w:rsidP="00024D57">
          <w:pPr>
            <w:pStyle w:val="PolicyName"/>
            <w:spacing w:before="240"/>
            <w:rPr>
              <w:rFonts w:cs="Arial"/>
              <w:b w:val="0"/>
              <w:color w:val="FFFFFF" w:themeColor="background1"/>
              <w:szCs w:val="32"/>
            </w:rPr>
          </w:pPr>
          <w:r w:rsidRPr="00024D57">
            <w:rPr>
              <w:rFonts w:cs="Arial"/>
              <w:color w:val="FFFFFF" w:themeColor="background1"/>
              <w:sz w:val="36"/>
              <w:szCs w:val="36"/>
            </w:rPr>
            <w:t>Business Count NT</w:t>
          </w:r>
        </w:p>
      </w:tc>
      <w:tc>
        <w:tcPr>
          <w:tcW w:w="4766" w:type="dxa"/>
          <w:shd w:val="clear" w:color="auto" w:fill="31859C"/>
          <w:vAlign w:val="center"/>
        </w:tcPr>
        <w:p w:rsidR="00024D57" w:rsidRPr="00024D57" w:rsidRDefault="00136D7F" w:rsidP="00024D57">
          <w:pPr>
            <w:spacing w:after="0"/>
            <w:jc w:val="right"/>
            <w:rPr>
              <w:rFonts w:cs="Arial"/>
              <w:b/>
              <w:sz w:val="40"/>
              <w:szCs w:val="40"/>
            </w:rPr>
          </w:pPr>
          <w:r>
            <w:rPr>
              <w:rFonts w:cs="Arial"/>
              <w:b/>
              <w:color w:val="FFFFFF" w:themeColor="background1"/>
              <w:sz w:val="40"/>
              <w:szCs w:val="40"/>
            </w:rPr>
            <w:t>June 2015</w:t>
          </w:r>
        </w:p>
      </w:tc>
    </w:tr>
  </w:tbl>
  <w:p w:rsidR="002726CB" w:rsidRPr="0028434F" w:rsidRDefault="002726CB" w:rsidP="0028434F">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631"/>
    <w:multiLevelType w:val="hybridMultilevel"/>
    <w:tmpl w:val="D8782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3356BF"/>
    <w:multiLevelType w:val="hybridMultilevel"/>
    <w:tmpl w:val="E5BA97D2"/>
    <w:lvl w:ilvl="0" w:tplc="8BC469F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D260FD"/>
    <w:multiLevelType w:val="hybridMultilevel"/>
    <w:tmpl w:val="25742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AA3E8A"/>
    <w:multiLevelType w:val="hybridMultilevel"/>
    <w:tmpl w:val="05F4CC2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nsid w:val="1FD27114"/>
    <w:multiLevelType w:val="hybridMultilevel"/>
    <w:tmpl w:val="C2FA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5549CE"/>
    <w:multiLevelType w:val="hybridMultilevel"/>
    <w:tmpl w:val="93FA6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0173D8"/>
    <w:multiLevelType w:val="hybridMultilevel"/>
    <w:tmpl w:val="4E9C4C16"/>
    <w:lvl w:ilvl="0" w:tplc="02B63C5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BF279D"/>
    <w:multiLevelType w:val="hybridMultilevel"/>
    <w:tmpl w:val="E6F25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817C2C"/>
    <w:multiLevelType w:val="hybridMultilevel"/>
    <w:tmpl w:val="0A304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0F2760"/>
    <w:multiLevelType w:val="hybridMultilevel"/>
    <w:tmpl w:val="135E4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972988"/>
    <w:multiLevelType w:val="hybridMultilevel"/>
    <w:tmpl w:val="1728B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0A3742"/>
    <w:multiLevelType w:val="hybridMultilevel"/>
    <w:tmpl w:val="B6F2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nsid w:val="4B1F1E4F"/>
    <w:multiLevelType w:val="hybridMultilevel"/>
    <w:tmpl w:val="F4863B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F108C0"/>
    <w:multiLevelType w:val="hybridMultilevel"/>
    <w:tmpl w:val="ADAAE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E22076"/>
    <w:multiLevelType w:val="hybridMultilevel"/>
    <w:tmpl w:val="63B45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AE41A44"/>
    <w:multiLevelType w:val="hybridMultilevel"/>
    <w:tmpl w:val="C1F0C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EA82C8C"/>
    <w:multiLevelType w:val="hybridMultilevel"/>
    <w:tmpl w:val="169017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FBB4158"/>
    <w:multiLevelType w:val="hybridMultilevel"/>
    <w:tmpl w:val="69EA9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4B533E1"/>
    <w:multiLevelType w:val="hybridMultilevel"/>
    <w:tmpl w:val="D916D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FF630B"/>
    <w:multiLevelType w:val="hybridMultilevel"/>
    <w:tmpl w:val="FD682E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2D073E7"/>
    <w:multiLevelType w:val="hybridMultilevel"/>
    <w:tmpl w:val="7C869E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ED5F55"/>
    <w:multiLevelType w:val="hybridMultilevel"/>
    <w:tmpl w:val="CA4A0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5"/>
  </w:num>
  <w:num w:numId="4">
    <w:abstractNumId w:val="19"/>
  </w:num>
  <w:num w:numId="5">
    <w:abstractNumId w:val="14"/>
  </w:num>
  <w:num w:numId="6">
    <w:abstractNumId w:val="11"/>
  </w:num>
  <w:num w:numId="7">
    <w:abstractNumId w:val="12"/>
  </w:num>
  <w:num w:numId="8">
    <w:abstractNumId w:val="3"/>
  </w:num>
  <w:num w:numId="9">
    <w:abstractNumId w:val="20"/>
  </w:num>
  <w:num w:numId="10">
    <w:abstractNumId w:val="16"/>
  </w:num>
  <w:num w:numId="11">
    <w:abstractNumId w:val="17"/>
  </w:num>
  <w:num w:numId="12">
    <w:abstractNumId w:val="7"/>
  </w:num>
  <w:num w:numId="13">
    <w:abstractNumId w:val="18"/>
  </w:num>
  <w:num w:numId="14">
    <w:abstractNumId w:val="15"/>
  </w:num>
  <w:num w:numId="15">
    <w:abstractNumId w:val="2"/>
  </w:num>
  <w:num w:numId="16">
    <w:abstractNumId w:val="1"/>
  </w:num>
  <w:num w:numId="17">
    <w:abstractNumId w:val="8"/>
  </w:num>
  <w:num w:numId="18">
    <w:abstractNumId w:val="13"/>
  </w:num>
  <w:num w:numId="19">
    <w:abstractNumId w:val="6"/>
  </w:num>
  <w:num w:numId="20">
    <w:abstractNumId w:val="4"/>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C5"/>
    <w:rsid w:val="00002EAE"/>
    <w:rsid w:val="00003686"/>
    <w:rsid w:val="00004542"/>
    <w:rsid w:val="00005513"/>
    <w:rsid w:val="00007F18"/>
    <w:rsid w:val="00010F16"/>
    <w:rsid w:val="0001163E"/>
    <w:rsid w:val="00011D97"/>
    <w:rsid w:val="00011F2D"/>
    <w:rsid w:val="00012345"/>
    <w:rsid w:val="000160C3"/>
    <w:rsid w:val="000169D0"/>
    <w:rsid w:val="0001763E"/>
    <w:rsid w:val="00017917"/>
    <w:rsid w:val="0002477F"/>
    <w:rsid w:val="00024D57"/>
    <w:rsid w:val="00025D79"/>
    <w:rsid w:val="00030098"/>
    <w:rsid w:val="00030783"/>
    <w:rsid w:val="00031C24"/>
    <w:rsid w:val="000349A5"/>
    <w:rsid w:val="00035991"/>
    <w:rsid w:val="0004097C"/>
    <w:rsid w:val="000424AE"/>
    <w:rsid w:val="000431D1"/>
    <w:rsid w:val="000451DF"/>
    <w:rsid w:val="0004658C"/>
    <w:rsid w:val="000528D9"/>
    <w:rsid w:val="00053095"/>
    <w:rsid w:val="000551B6"/>
    <w:rsid w:val="00060D5C"/>
    <w:rsid w:val="0006258D"/>
    <w:rsid w:val="0006378C"/>
    <w:rsid w:val="0006717E"/>
    <w:rsid w:val="00074B56"/>
    <w:rsid w:val="00076048"/>
    <w:rsid w:val="00081D63"/>
    <w:rsid w:val="00083896"/>
    <w:rsid w:val="00087553"/>
    <w:rsid w:val="00091C68"/>
    <w:rsid w:val="00092EEA"/>
    <w:rsid w:val="00097034"/>
    <w:rsid w:val="00097E9E"/>
    <w:rsid w:val="000A4405"/>
    <w:rsid w:val="000B06CA"/>
    <w:rsid w:val="000B38CB"/>
    <w:rsid w:val="000B7EBD"/>
    <w:rsid w:val="000C22EA"/>
    <w:rsid w:val="000C33B6"/>
    <w:rsid w:val="000C66CD"/>
    <w:rsid w:val="000D18AB"/>
    <w:rsid w:val="000D52F2"/>
    <w:rsid w:val="000D602D"/>
    <w:rsid w:val="000E028C"/>
    <w:rsid w:val="000E196C"/>
    <w:rsid w:val="000E315A"/>
    <w:rsid w:val="000F25EA"/>
    <w:rsid w:val="000F443B"/>
    <w:rsid w:val="000F4865"/>
    <w:rsid w:val="000F523B"/>
    <w:rsid w:val="000F5E73"/>
    <w:rsid w:val="000F7B32"/>
    <w:rsid w:val="00100A09"/>
    <w:rsid w:val="00101039"/>
    <w:rsid w:val="00102B31"/>
    <w:rsid w:val="00103D50"/>
    <w:rsid w:val="00104A83"/>
    <w:rsid w:val="0011064D"/>
    <w:rsid w:val="00111DB6"/>
    <w:rsid w:val="0011424B"/>
    <w:rsid w:val="001143F7"/>
    <w:rsid w:val="00120E01"/>
    <w:rsid w:val="001229CB"/>
    <w:rsid w:val="001271B6"/>
    <w:rsid w:val="00134232"/>
    <w:rsid w:val="00136D7F"/>
    <w:rsid w:val="00137F6D"/>
    <w:rsid w:val="00141AEB"/>
    <w:rsid w:val="001459AB"/>
    <w:rsid w:val="0014644E"/>
    <w:rsid w:val="00151691"/>
    <w:rsid w:val="00153E4B"/>
    <w:rsid w:val="00154823"/>
    <w:rsid w:val="001568CF"/>
    <w:rsid w:val="00160341"/>
    <w:rsid w:val="00161906"/>
    <w:rsid w:val="00164E92"/>
    <w:rsid w:val="00171E60"/>
    <w:rsid w:val="00175926"/>
    <w:rsid w:val="00183069"/>
    <w:rsid w:val="0018724F"/>
    <w:rsid w:val="001906EF"/>
    <w:rsid w:val="00192005"/>
    <w:rsid w:val="00196B1B"/>
    <w:rsid w:val="00197DCF"/>
    <w:rsid w:val="001A122E"/>
    <w:rsid w:val="001A5800"/>
    <w:rsid w:val="001A5EC8"/>
    <w:rsid w:val="001B0221"/>
    <w:rsid w:val="001B6810"/>
    <w:rsid w:val="001C0A01"/>
    <w:rsid w:val="001C0D05"/>
    <w:rsid w:val="001C1736"/>
    <w:rsid w:val="001C720E"/>
    <w:rsid w:val="001D2733"/>
    <w:rsid w:val="001D4FEA"/>
    <w:rsid w:val="001D5B9E"/>
    <w:rsid w:val="001D60AB"/>
    <w:rsid w:val="001D6746"/>
    <w:rsid w:val="001E31E1"/>
    <w:rsid w:val="001E4315"/>
    <w:rsid w:val="001E641C"/>
    <w:rsid w:val="001F4C9E"/>
    <w:rsid w:val="001F696B"/>
    <w:rsid w:val="00200517"/>
    <w:rsid w:val="00200723"/>
    <w:rsid w:val="00203196"/>
    <w:rsid w:val="002049DF"/>
    <w:rsid w:val="00205DA2"/>
    <w:rsid w:val="00205FC8"/>
    <w:rsid w:val="00207E60"/>
    <w:rsid w:val="00211385"/>
    <w:rsid w:val="00213C18"/>
    <w:rsid w:val="00214BC2"/>
    <w:rsid w:val="0021792A"/>
    <w:rsid w:val="00220A39"/>
    <w:rsid w:val="00220B65"/>
    <w:rsid w:val="00223361"/>
    <w:rsid w:val="0022336B"/>
    <w:rsid w:val="00223586"/>
    <w:rsid w:val="00224108"/>
    <w:rsid w:val="00227D4E"/>
    <w:rsid w:val="00231019"/>
    <w:rsid w:val="00231C9B"/>
    <w:rsid w:val="00232A07"/>
    <w:rsid w:val="00233C3D"/>
    <w:rsid w:val="00235625"/>
    <w:rsid w:val="0023722F"/>
    <w:rsid w:val="00251DC1"/>
    <w:rsid w:val="0025794B"/>
    <w:rsid w:val="002628B4"/>
    <w:rsid w:val="002634E1"/>
    <w:rsid w:val="00263A4E"/>
    <w:rsid w:val="00264C78"/>
    <w:rsid w:val="002662D9"/>
    <w:rsid w:val="0027007F"/>
    <w:rsid w:val="00271D28"/>
    <w:rsid w:val="002720E7"/>
    <w:rsid w:val="002726CB"/>
    <w:rsid w:val="0027486F"/>
    <w:rsid w:val="00280BA3"/>
    <w:rsid w:val="002823CA"/>
    <w:rsid w:val="0028291C"/>
    <w:rsid w:val="00282CAB"/>
    <w:rsid w:val="0028434F"/>
    <w:rsid w:val="002855C1"/>
    <w:rsid w:val="00291B75"/>
    <w:rsid w:val="00295A14"/>
    <w:rsid w:val="00297D1C"/>
    <w:rsid w:val="002A1A6A"/>
    <w:rsid w:val="002A1AF3"/>
    <w:rsid w:val="002A5B6C"/>
    <w:rsid w:val="002A637A"/>
    <w:rsid w:val="002A699C"/>
    <w:rsid w:val="002B1283"/>
    <w:rsid w:val="002B4497"/>
    <w:rsid w:val="002B53D2"/>
    <w:rsid w:val="002B6107"/>
    <w:rsid w:val="002B77CA"/>
    <w:rsid w:val="002C0BE8"/>
    <w:rsid w:val="002C19F0"/>
    <w:rsid w:val="002C25F7"/>
    <w:rsid w:val="002C5FD3"/>
    <w:rsid w:val="002D5544"/>
    <w:rsid w:val="002E0E21"/>
    <w:rsid w:val="002E311B"/>
    <w:rsid w:val="002E4BAD"/>
    <w:rsid w:val="002E57B3"/>
    <w:rsid w:val="002E5A7F"/>
    <w:rsid w:val="002E7548"/>
    <w:rsid w:val="002E799B"/>
    <w:rsid w:val="002F48D7"/>
    <w:rsid w:val="002F5EFF"/>
    <w:rsid w:val="00305CB7"/>
    <w:rsid w:val="00310645"/>
    <w:rsid w:val="00311C99"/>
    <w:rsid w:val="00316E3C"/>
    <w:rsid w:val="00316F0C"/>
    <w:rsid w:val="003240C5"/>
    <w:rsid w:val="00325D78"/>
    <w:rsid w:val="0033001F"/>
    <w:rsid w:val="0033327B"/>
    <w:rsid w:val="00333F09"/>
    <w:rsid w:val="0033528B"/>
    <w:rsid w:val="003413E5"/>
    <w:rsid w:val="00353665"/>
    <w:rsid w:val="003542F9"/>
    <w:rsid w:val="0035522B"/>
    <w:rsid w:val="00355AB7"/>
    <w:rsid w:val="00357BF2"/>
    <w:rsid w:val="00363D17"/>
    <w:rsid w:val="00364313"/>
    <w:rsid w:val="00370063"/>
    <w:rsid w:val="00375F4A"/>
    <w:rsid w:val="00382605"/>
    <w:rsid w:val="003844F8"/>
    <w:rsid w:val="0038479E"/>
    <w:rsid w:val="003933B1"/>
    <w:rsid w:val="003948C1"/>
    <w:rsid w:val="00396794"/>
    <w:rsid w:val="003970F6"/>
    <w:rsid w:val="003A027A"/>
    <w:rsid w:val="003A605F"/>
    <w:rsid w:val="003A6239"/>
    <w:rsid w:val="003B0352"/>
    <w:rsid w:val="003B305D"/>
    <w:rsid w:val="003B346B"/>
    <w:rsid w:val="003B3AAB"/>
    <w:rsid w:val="003B7D92"/>
    <w:rsid w:val="003B7DF9"/>
    <w:rsid w:val="003D0AD5"/>
    <w:rsid w:val="003D0C2C"/>
    <w:rsid w:val="003D3362"/>
    <w:rsid w:val="003D372E"/>
    <w:rsid w:val="003D3C19"/>
    <w:rsid w:val="003D56FC"/>
    <w:rsid w:val="003D6020"/>
    <w:rsid w:val="003E10C5"/>
    <w:rsid w:val="003E5F96"/>
    <w:rsid w:val="003E7C0E"/>
    <w:rsid w:val="003F0F3B"/>
    <w:rsid w:val="003F2D5F"/>
    <w:rsid w:val="003F3542"/>
    <w:rsid w:val="003F3CC0"/>
    <w:rsid w:val="003F5382"/>
    <w:rsid w:val="003F6923"/>
    <w:rsid w:val="003F71A2"/>
    <w:rsid w:val="003F7896"/>
    <w:rsid w:val="004055F6"/>
    <w:rsid w:val="004062FB"/>
    <w:rsid w:val="0040654B"/>
    <w:rsid w:val="00411616"/>
    <w:rsid w:val="00415794"/>
    <w:rsid w:val="004209D1"/>
    <w:rsid w:val="00430504"/>
    <w:rsid w:val="00431E8D"/>
    <w:rsid w:val="00433F79"/>
    <w:rsid w:val="0043410B"/>
    <w:rsid w:val="0043448E"/>
    <w:rsid w:val="004353A3"/>
    <w:rsid w:val="00441FA6"/>
    <w:rsid w:val="0044233E"/>
    <w:rsid w:val="0044455F"/>
    <w:rsid w:val="00444921"/>
    <w:rsid w:val="00450080"/>
    <w:rsid w:val="004503A1"/>
    <w:rsid w:val="00452F08"/>
    <w:rsid w:val="0045414F"/>
    <w:rsid w:val="00454778"/>
    <w:rsid w:val="004556E0"/>
    <w:rsid w:val="004649EC"/>
    <w:rsid w:val="00466DD9"/>
    <w:rsid w:val="0047128C"/>
    <w:rsid w:val="00471FF0"/>
    <w:rsid w:val="004737EA"/>
    <w:rsid w:val="004741FD"/>
    <w:rsid w:val="0047502E"/>
    <w:rsid w:val="00482CF1"/>
    <w:rsid w:val="00486059"/>
    <w:rsid w:val="00486410"/>
    <w:rsid w:val="0048663F"/>
    <w:rsid w:val="00490D52"/>
    <w:rsid w:val="00492C3E"/>
    <w:rsid w:val="00493258"/>
    <w:rsid w:val="00496F7F"/>
    <w:rsid w:val="004A4F07"/>
    <w:rsid w:val="004A6161"/>
    <w:rsid w:val="004B3B83"/>
    <w:rsid w:val="004B4983"/>
    <w:rsid w:val="004B6323"/>
    <w:rsid w:val="004B7868"/>
    <w:rsid w:val="004C3956"/>
    <w:rsid w:val="004C57AC"/>
    <w:rsid w:val="004D038A"/>
    <w:rsid w:val="004D1FBD"/>
    <w:rsid w:val="004D335C"/>
    <w:rsid w:val="004E38BF"/>
    <w:rsid w:val="004E4B4C"/>
    <w:rsid w:val="004E4FDE"/>
    <w:rsid w:val="004F06CE"/>
    <w:rsid w:val="004F42FA"/>
    <w:rsid w:val="00500D04"/>
    <w:rsid w:val="00506931"/>
    <w:rsid w:val="00507973"/>
    <w:rsid w:val="00510206"/>
    <w:rsid w:val="0051126C"/>
    <w:rsid w:val="00511FC4"/>
    <w:rsid w:val="005151A3"/>
    <w:rsid w:val="00516BDD"/>
    <w:rsid w:val="00520B3A"/>
    <w:rsid w:val="00520F5F"/>
    <w:rsid w:val="005216BC"/>
    <w:rsid w:val="0052352C"/>
    <w:rsid w:val="0052523B"/>
    <w:rsid w:val="005274D9"/>
    <w:rsid w:val="005302C4"/>
    <w:rsid w:val="005342D1"/>
    <w:rsid w:val="00534780"/>
    <w:rsid w:val="005365DF"/>
    <w:rsid w:val="00542669"/>
    <w:rsid w:val="00542F04"/>
    <w:rsid w:val="00544377"/>
    <w:rsid w:val="00544765"/>
    <w:rsid w:val="00546144"/>
    <w:rsid w:val="00546D06"/>
    <w:rsid w:val="00547103"/>
    <w:rsid w:val="0055102F"/>
    <w:rsid w:val="00554C15"/>
    <w:rsid w:val="00573351"/>
    <w:rsid w:val="00573ACC"/>
    <w:rsid w:val="0057421E"/>
    <w:rsid w:val="00576E54"/>
    <w:rsid w:val="00577F90"/>
    <w:rsid w:val="00582DF6"/>
    <w:rsid w:val="00582EA2"/>
    <w:rsid w:val="00584772"/>
    <w:rsid w:val="00585927"/>
    <w:rsid w:val="00587E36"/>
    <w:rsid w:val="005920D9"/>
    <w:rsid w:val="00592E38"/>
    <w:rsid w:val="00593DAE"/>
    <w:rsid w:val="00593F99"/>
    <w:rsid w:val="005A0116"/>
    <w:rsid w:val="005A1518"/>
    <w:rsid w:val="005A4A16"/>
    <w:rsid w:val="005B190C"/>
    <w:rsid w:val="005B3378"/>
    <w:rsid w:val="005B5607"/>
    <w:rsid w:val="005B7307"/>
    <w:rsid w:val="005B77E6"/>
    <w:rsid w:val="005B7B79"/>
    <w:rsid w:val="005C14E5"/>
    <w:rsid w:val="005C7C01"/>
    <w:rsid w:val="005D4477"/>
    <w:rsid w:val="005D51C5"/>
    <w:rsid w:val="005D55D6"/>
    <w:rsid w:val="005D5B2D"/>
    <w:rsid w:val="005E2E25"/>
    <w:rsid w:val="005E3F7E"/>
    <w:rsid w:val="005F0140"/>
    <w:rsid w:val="005F11D1"/>
    <w:rsid w:val="005F2AD7"/>
    <w:rsid w:val="005F40F8"/>
    <w:rsid w:val="00604A71"/>
    <w:rsid w:val="0060511B"/>
    <w:rsid w:val="00605192"/>
    <w:rsid w:val="006052EC"/>
    <w:rsid w:val="00605FD2"/>
    <w:rsid w:val="0060711B"/>
    <w:rsid w:val="00611C11"/>
    <w:rsid w:val="00611C84"/>
    <w:rsid w:val="0061415A"/>
    <w:rsid w:val="00614456"/>
    <w:rsid w:val="00615AC3"/>
    <w:rsid w:val="00621D98"/>
    <w:rsid w:val="0062291B"/>
    <w:rsid w:val="00622AFD"/>
    <w:rsid w:val="00623855"/>
    <w:rsid w:val="00623ABD"/>
    <w:rsid w:val="00625436"/>
    <w:rsid w:val="00625F6C"/>
    <w:rsid w:val="0062763B"/>
    <w:rsid w:val="0062788C"/>
    <w:rsid w:val="0063634D"/>
    <w:rsid w:val="00637551"/>
    <w:rsid w:val="00641F55"/>
    <w:rsid w:val="0064363A"/>
    <w:rsid w:val="00644AD6"/>
    <w:rsid w:val="00645CFC"/>
    <w:rsid w:val="00646890"/>
    <w:rsid w:val="00651384"/>
    <w:rsid w:val="00664380"/>
    <w:rsid w:val="00666681"/>
    <w:rsid w:val="00670CDD"/>
    <w:rsid w:val="00680BB8"/>
    <w:rsid w:val="0068374D"/>
    <w:rsid w:val="0069133E"/>
    <w:rsid w:val="0069368F"/>
    <w:rsid w:val="006958AC"/>
    <w:rsid w:val="00696602"/>
    <w:rsid w:val="006A131A"/>
    <w:rsid w:val="006A21B1"/>
    <w:rsid w:val="006B10AA"/>
    <w:rsid w:val="006B118F"/>
    <w:rsid w:val="006B1703"/>
    <w:rsid w:val="006B18E8"/>
    <w:rsid w:val="006B34F7"/>
    <w:rsid w:val="006B4BBC"/>
    <w:rsid w:val="006C3720"/>
    <w:rsid w:val="006D1106"/>
    <w:rsid w:val="006D6533"/>
    <w:rsid w:val="006D76AA"/>
    <w:rsid w:val="006D76E7"/>
    <w:rsid w:val="006E04E7"/>
    <w:rsid w:val="006E1103"/>
    <w:rsid w:val="006E1581"/>
    <w:rsid w:val="006E3E4D"/>
    <w:rsid w:val="006E45FB"/>
    <w:rsid w:val="006E4F04"/>
    <w:rsid w:val="006E651E"/>
    <w:rsid w:val="006F0C8A"/>
    <w:rsid w:val="006F4B04"/>
    <w:rsid w:val="006F5866"/>
    <w:rsid w:val="006F6919"/>
    <w:rsid w:val="006F71D6"/>
    <w:rsid w:val="007001CD"/>
    <w:rsid w:val="007006C9"/>
    <w:rsid w:val="007034B9"/>
    <w:rsid w:val="0070473F"/>
    <w:rsid w:val="007052EA"/>
    <w:rsid w:val="00705E56"/>
    <w:rsid w:val="00705EC5"/>
    <w:rsid w:val="0071324D"/>
    <w:rsid w:val="00713391"/>
    <w:rsid w:val="0071544F"/>
    <w:rsid w:val="00717F7C"/>
    <w:rsid w:val="007214D9"/>
    <w:rsid w:val="00724F59"/>
    <w:rsid w:val="00725DCD"/>
    <w:rsid w:val="00731806"/>
    <w:rsid w:val="00731BE1"/>
    <w:rsid w:val="00732432"/>
    <w:rsid w:val="00732658"/>
    <w:rsid w:val="00732AE5"/>
    <w:rsid w:val="00736B73"/>
    <w:rsid w:val="00740E64"/>
    <w:rsid w:val="00745FE2"/>
    <w:rsid w:val="00754524"/>
    <w:rsid w:val="00754AA2"/>
    <w:rsid w:val="00754CA5"/>
    <w:rsid w:val="00755597"/>
    <w:rsid w:val="00757D8F"/>
    <w:rsid w:val="007619F3"/>
    <w:rsid w:val="0076563D"/>
    <w:rsid w:val="00766A58"/>
    <w:rsid w:val="00767616"/>
    <w:rsid w:val="00771B71"/>
    <w:rsid w:val="00774860"/>
    <w:rsid w:val="0077718E"/>
    <w:rsid w:val="0079387B"/>
    <w:rsid w:val="00793924"/>
    <w:rsid w:val="00794EEB"/>
    <w:rsid w:val="00794F6B"/>
    <w:rsid w:val="00795D1C"/>
    <w:rsid w:val="0079784F"/>
    <w:rsid w:val="007A1B0C"/>
    <w:rsid w:val="007A68A1"/>
    <w:rsid w:val="007A7C0A"/>
    <w:rsid w:val="007B08D6"/>
    <w:rsid w:val="007B5B26"/>
    <w:rsid w:val="007C2DAF"/>
    <w:rsid w:val="007C3ED1"/>
    <w:rsid w:val="007C6214"/>
    <w:rsid w:val="007C68A5"/>
    <w:rsid w:val="007D3191"/>
    <w:rsid w:val="007D6609"/>
    <w:rsid w:val="007E06C6"/>
    <w:rsid w:val="007E2B92"/>
    <w:rsid w:val="007E5727"/>
    <w:rsid w:val="007E64F5"/>
    <w:rsid w:val="007E79E6"/>
    <w:rsid w:val="007F1206"/>
    <w:rsid w:val="007F1AC4"/>
    <w:rsid w:val="00800031"/>
    <w:rsid w:val="008009E3"/>
    <w:rsid w:val="008041EE"/>
    <w:rsid w:val="00811148"/>
    <w:rsid w:val="00822F4D"/>
    <w:rsid w:val="008244FF"/>
    <w:rsid w:val="00826FA2"/>
    <w:rsid w:val="0083104F"/>
    <w:rsid w:val="00832FFC"/>
    <w:rsid w:val="008378D5"/>
    <w:rsid w:val="008441D5"/>
    <w:rsid w:val="00845FA7"/>
    <w:rsid w:val="00850CF1"/>
    <w:rsid w:val="00851C64"/>
    <w:rsid w:val="008530C9"/>
    <w:rsid w:val="0085664F"/>
    <w:rsid w:val="00865210"/>
    <w:rsid w:val="00865F44"/>
    <w:rsid w:val="00867E3F"/>
    <w:rsid w:val="00871137"/>
    <w:rsid w:val="00872571"/>
    <w:rsid w:val="00874F6A"/>
    <w:rsid w:val="008772B0"/>
    <w:rsid w:val="008773DF"/>
    <w:rsid w:val="00881BC7"/>
    <w:rsid w:val="00881F97"/>
    <w:rsid w:val="00882E67"/>
    <w:rsid w:val="00886B33"/>
    <w:rsid w:val="0088714D"/>
    <w:rsid w:val="00891A7B"/>
    <w:rsid w:val="0089727C"/>
    <w:rsid w:val="008A7DAD"/>
    <w:rsid w:val="008B1FBF"/>
    <w:rsid w:val="008B6545"/>
    <w:rsid w:val="008B70AA"/>
    <w:rsid w:val="008C1985"/>
    <w:rsid w:val="008C60E5"/>
    <w:rsid w:val="008D309A"/>
    <w:rsid w:val="008D5803"/>
    <w:rsid w:val="008E2CCE"/>
    <w:rsid w:val="008E4B04"/>
    <w:rsid w:val="008E650E"/>
    <w:rsid w:val="008E7824"/>
    <w:rsid w:val="008F3B35"/>
    <w:rsid w:val="008F6563"/>
    <w:rsid w:val="008F7137"/>
    <w:rsid w:val="009025AB"/>
    <w:rsid w:val="00905298"/>
    <w:rsid w:val="00911CC8"/>
    <w:rsid w:val="0091441D"/>
    <w:rsid w:val="009259A1"/>
    <w:rsid w:val="00926446"/>
    <w:rsid w:val="00927520"/>
    <w:rsid w:val="009302A4"/>
    <w:rsid w:val="00930EF5"/>
    <w:rsid w:val="00945E37"/>
    <w:rsid w:val="00946EA4"/>
    <w:rsid w:val="00951FDC"/>
    <w:rsid w:val="00952830"/>
    <w:rsid w:val="00956C1B"/>
    <w:rsid w:val="00962654"/>
    <w:rsid w:val="00964176"/>
    <w:rsid w:val="009654DD"/>
    <w:rsid w:val="00966B7B"/>
    <w:rsid w:val="00967B52"/>
    <w:rsid w:val="0097042A"/>
    <w:rsid w:val="00980809"/>
    <w:rsid w:val="009867D2"/>
    <w:rsid w:val="00992387"/>
    <w:rsid w:val="00992855"/>
    <w:rsid w:val="0099798A"/>
    <w:rsid w:val="009A06E6"/>
    <w:rsid w:val="009A192F"/>
    <w:rsid w:val="009B0BC7"/>
    <w:rsid w:val="009B22F3"/>
    <w:rsid w:val="009B4355"/>
    <w:rsid w:val="009C0431"/>
    <w:rsid w:val="009C0AEF"/>
    <w:rsid w:val="009C127F"/>
    <w:rsid w:val="009C1B27"/>
    <w:rsid w:val="009C2116"/>
    <w:rsid w:val="009C35F9"/>
    <w:rsid w:val="009C6A3B"/>
    <w:rsid w:val="009C7D44"/>
    <w:rsid w:val="009D0451"/>
    <w:rsid w:val="009D24C1"/>
    <w:rsid w:val="009D266A"/>
    <w:rsid w:val="009D6219"/>
    <w:rsid w:val="009D70E5"/>
    <w:rsid w:val="009E312D"/>
    <w:rsid w:val="009E5508"/>
    <w:rsid w:val="009E5959"/>
    <w:rsid w:val="009E6658"/>
    <w:rsid w:val="009E6A68"/>
    <w:rsid w:val="009F34E1"/>
    <w:rsid w:val="009F6EC3"/>
    <w:rsid w:val="009F7056"/>
    <w:rsid w:val="00A075C6"/>
    <w:rsid w:val="00A129F2"/>
    <w:rsid w:val="00A173A1"/>
    <w:rsid w:val="00A21D9E"/>
    <w:rsid w:val="00A22534"/>
    <w:rsid w:val="00A24980"/>
    <w:rsid w:val="00A24AE3"/>
    <w:rsid w:val="00A2669E"/>
    <w:rsid w:val="00A26A2A"/>
    <w:rsid w:val="00A30014"/>
    <w:rsid w:val="00A3066C"/>
    <w:rsid w:val="00A332E9"/>
    <w:rsid w:val="00A34154"/>
    <w:rsid w:val="00A35739"/>
    <w:rsid w:val="00A369A5"/>
    <w:rsid w:val="00A415AE"/>
    <w:rsid w:val="00A416EE"/>
    <w:rsid w:val="00A458F8"/>
    <w:rsid w:val="00A45A95"/>
    <w:rsid w:val="00A53B46"/>
    <w:rsid w:val="00A569B7"/>
    <w:rsid w:val="00A57110"/>
    <w:rsid w:val="00A57FE2"/>
    <w:rsid w:val="00A64566"/>
    <w:rsid w:val="00A67355"/>
    <w:rsid w:val="00A702F9"/>
    <w:rsid w:val="00A74326"/>
    <w:rsid w:val="00A765BE"/>
    <w:rsid w:val="00A774F7"/>
    <w:rsid w:val="00A77DAB"/>
    <w:rsid w:val="00A81EB7"/>
    <w:rsid w:val="00A82862"/>
    <w:rsid w:val="00A82F21"/>
    <w:rsid w:val="00A865A1"/>
    <w:rsid w:val="00A87572"/>
    <w:rsid w:val="00A87FFA"/>
    <w:rsid w:val="00A930CA"/>
    <w:rsid w:val="00A9513D"/>
    <w:rsid w:val="00A96CB0"/>
    <w:rsid w:val="00AA0F41"/>
    <w:rsid w:val="00AA47DD"/>
    <w:rsid w:val="00AA4C57"/>
    <w:rsid w:val="00AA687D"/>
    <w:rsid w:val="00AB7FE2"/>
    <w:rsid w:val="00AC0CCF"/>
    <w:rsid w:val="00AD0BDF"/>
    <w:rsid w:val="00AD2F0C"/>
    <w:rsid w:val="00AD63FA"/>
    <w:rsid w:val="00AE11E6"/>
    <w:rsid w:val="00AE2F3E"/>
    <w:rsid w:val="00AE3CEE"/>
    <w:rsid w:val="00AE6265"/>
    <w:rsid w:val="00AF00C7"/>
    <w:rsid w:val="00AF0D39"/>
    <w:rsid w:val="00AF1637"/>
    <w:rsid w:val="00AF1B40"/>
    <w:rsid w:val="00AF4CBA"/>
    <w:rsid w:val="00AF69B8"/>
    <w:rsid w:val="00AF709D"/>
    <w:rsid w:val="00B0317F"/>
    <w:rsid w:val="00B047E8"/>
    <w:rsid w:val="00B06A27"/>
    <w:rsid w:val="00B10EFF"/>
    <w:rsid w:val="00B12A05"/>
    <w:rsid w:val="00B12BDB"/>
    <w:rsid w:val="00B13A9E"/>
    <w:rsid w:val="00B2306C"/>
    <w:rsid w:val="00B23585"/>
    <w:rsid w:val="00B25C9F"/>
    <w:rsid w:val="00B260F2"/>
    <w:rsid w:val="00B34E50"/>
    <w:rsid w:val="00B36B3B"/>
    <w:rsid w:val="00B40323"/>
    <w:rsid w:val="00B42771"/>
    <w:rsid w:val="00B43998"/>
    <w:rsid w:val="00B471AB"/>
    <w:rsid w:val="00B52485"/>
    <w:rsid w:val="00B530F2"/>
    <w:rsid w:val="00B5311D"/>
    <w:rsid w:val="00B55629"/>
    <w:rsid w:val="00B56F6B"/>
    <w:rsid w:val="00B618F0"/>
    <w:rsid w:val="00B6322B"/>
    <w:rsid w:val="00B64461"/>
    <w:rsid w:val="00B6730C"/>
    <w:rsid w:val="00B72A9E"/>
    <w:rsid w:val="00B72AE8"/>
    <w:rsid w:val="00B8155D"/>
    <w:rsid w:val="00B858AA"/>
    <w:rsid w:val="00B92776"/>
    <w:rsid w:val="00B92978"/>
    <w:rsid w:val="00B92A2F"/>
    <w:rsid w:val="00B94045"/>
    <w:rsid w:val="00B972E7"/>
    <w:rsid w:val="00BA056E"/>
    <w:rsid w:val="00BA4D3A"/>
    <w:rsid w:val="00BA6AB3"/>
    <w:rsid w:val="00BA6C68"/>
    <w:rsid w:val="00BB1EEE"/>
    <w:rsid w:val="00BB22B2"/>
    <w:rsid w:val="00BB5AE6"/>
    <w:rsid w:val="00BB6D88"/>
    <w:rsid w:val="00BC0F5C"/>
    <w:rsid w:val="00BC4D7A"/>
    <w:rsid w:val="00BC5DB0"/>
    <w:rsid w:val="00BC72E8"/>
    <w:rsid w:val="00BE212E"/>
    <w:rsid w:val="00BE3029"/>
    <w:rsid w:val="00BE5196"/>
    <w:rsid w:val="00BE5A17"/>
    <w:rsid w:val="00BF10FC"/>
    <w:rsid w:val="00BF4069"/>
    <w:rsid w:val="00C0024D"/>
    <w:rsid w:val="00C072C9"/>
    <w:rsid w:val="00C1511C"/>
    <w:rsid w:val="00C1728C"/>
    <w:rsid w:val="00C22AB9"/>
    <w:rsid w:val="00C31185"/>
    <w:rsid w:val="00C3232B"/>
    <w:rsid w:val="00C326D8"/>
    <w:rsid w:val="00C36BD4"/>
    <w:rsid w:val="00C40A5C"/>
    <w:rsid w:val="00C44317"/>
    <w:rsid w:val="00C448A5"/>
    <w:rsid w:val="00C4560F"/>
    <w:rsid w:val="00C4788D"/>
    <w:rsid w:val="00C47E86"/>
    <w:rsid w:val="00C51856"/>
    <w:rsid w:val="00C51B94"/>
    <w:rsid w:val="00C51CBB"/>
    <w:rsid w:val="00C5296B"/>
    <w:rsid w:val="00C54651"/>
    <w:rsid w:val="00C63A86"/>
    <w:rsid w:val="00C6477C"/>
    <w:rsid w:val="00C64DDD"/>
    <w:rsid w:val="00C673B2"/>
    <w:rsid w:val="00C70751"/>
    <w:rsid w:val="00C740F3"/>
    <w:rsid w:val="00C75009"/>
    <w:rsid w:val="00C7500E"/>
    <w:rsid w:val="00C752D2"/>
    <w:rsid w:val="00C8080D"/>
    <w:rsid w:val="00C81077"/>
    <w:rsid w:val="00C84C80"/>
    <w:rsid w:val="00C853F9"/>
    <w:rsid w:val="00C87BED"/>
    <w:rsid w:val="00C91BA6"/>
    <w:rsid w:val="00C91D4D"/>
    <w:rsid w:val="00C92CC6"/>
    <w:rsid w:val="00C935D5"/>
    <w:rsid w:val="00C96C8D"/>
    <w:rsid w:val="00C97D75"/>
    <w:rsid w:val="00CA09A4"/>
    <w:rsid w:val="00CA32FE"/>
    <w:rsid w:val="00CB0054"/>
    <w:rsid w:val="00CB0258"/>
    <w:rsid w:val="00CB0F6F"/>
    <w:rsid w:val="00CB402D"/>
    <w:rsid w:val="00CB4089"/>
    <w:rsid w:val="00CB5FE0"/>
    <w:rsid w:val="00CB68DB"/>
    <w:rsid w:val="00CC397B"/>
    <w:rsid w:val="00CD1B64"/>
    <w:rsid w:val="00CD3680"/>
    <w:rsid w:val="00CE121B"/>
    <w:rsid w:val="00CE3B21"/>
    <w:rsid w:val="00CE726C"/>
    <w:rsid w:val="00CE75E5"/>
    <w:rsid w:val="00CF0ABB"/>
    <w:rsid w:val="00CF3991"/>
    <w:rsid w:val="00CF487B"/>
    <w:rsid w:val="00CF49A5"/>
    <w:rsid w:val="00CF6C90"/>
    <w:rsid w:val="00D0230F"/>
    <w:rsid w:val="00D04557"/>
    <w:rsid w:val="00D0696B"/>
    <w:rsid w:val="00D075C0"/>
    <w:rsid w:val="00D11903"/>
    <w:rsid w:val="00D1432C"/>
    <w:rsid w:val="00D148C7"/>
    <w:rsid w:val="00D21534"/>
    <w:rsid w:val="00D21931"/>
    <w:rsid w:val="00D235FE"/>
    <w:rsid w:val="00D23BA1"/>
    <w:rsid w:val="00D24C33"/>
    <w:rsid w:val="00D32D74"/>
    <w:rsid w:val="00D34DFE"/>
    <w:rsid w:val="00D36648"/>
    <w:rsid w:val="00D42898"/>
    <w:rsid w:val="00D4372A"/>
    <w:rsid w:val="00D5652C"/>
    <w:rsid w:val="00D57CD2"/>
    <w:rsid w:val="00D635DA"/>
    <w:rsid w:val="00D655C3"/>
    <w:rsid w:val="00D65C2B"/>
    <w:rsid w:val="00D72A7B"/>
    <w:rsid w:val="00D74C4A"/>
    <w:rsid w:val="00D77BBB"/>
    <w:rsid w:val="00D820D7"/>
    <w:rsid w:val="00D8390A"/>
    <w:rsid w:val="00D841F9"/>
    <w:rsid w:val="00D865A0"/>
    <w:rsid w:val="00D876A2"/>
    <w:rsid w:val="00D925A4"/>
    <w:rsid w:val="00D941D2"/>
    <w:rsid w:val="00D942A0"/>
    <w:rsid w:val="00D95499"/>
    <w:rsid w:val="00DA0744"/>
    <w:rsid w:val="00DA1B0B"/>
    <w:rsid w:val="00DA4F74"/>
    <w:rsid w:val="00DA68C5"/>
    <w:rsid w:val="00DA7FD4"/>
    <w:rsid w:val="00DB1A42"/>
    <w:rsid w:val="00DB6BA9"/>
    <w:rsid w:val="00DC11EA"/>
    <w:rsid w:val="00DC3229"/>
    <w:rsid w:val="00DC7FCF"/>
    <w:rsid w:val="00DD0714"/>
    <w:rsid w:val="00DD22A2"/>
    <w:rsid w:val="00DD253E"/>
    <w:rsid w:val="00DD5E65"/>
    <w:rsid w:val="00DE092E"/>
    <w:rsid w:val="00DE3707"/>
    <w:rsid w:val="00DE5E6A"/>
    <w:rsid w:val="00DE7A3E"/>
    <w:rsid w:val="00DF03C0"/>
    <w:rsid w:val="00DF0534"/>
    <w:rsid w:val="00DF260E"/>
    <w:rsid w:val="00DF5B4D"/>
    <w:rsid w:val="00DF697A"/>
    <w:rsid w:val="00DF7ADC"/>
    <w:rsid w:val="00E00977"/>
    <w:rsid w:val="00E011D4"/>
    <w:rsid w:val="00E020FE"/>
    <w:rsid w:val="00E02FFB"/>
    <w:rsid w:val="00E10497"/>
    <w:rsid w:val="00E10C28"/>
    <w:rsid w:val="00E1458C"/>
    <w:rsid w:val="00E20434"/>
    <w:rsid w:val="00E23D66"/>
    <w:rsid w:val="00E259BA"/>
    <w:rsid w:val="00E2748C"/>
    <w:rsid w:val="00E274AD"/>
    <w:rsid w:val="00E31B62"/>
    <w:rsid w:val="00E349D7"/>
    <w:rsid w:val="00E42962"/>
    <w:rsid w:val="00E457FE"/>
    <w:rsid w:val="00E4599D"/>
    <w:rsid w:val="00E46FB6"/>
    <w:rsid w:val="00E5716B"/>
    <w:rsid w:val="00E62D36"/>
    <w:rsid w:val="00E7311D"/>
    <w:rsid w:val="00E85116"/>
    <w:rsid w:val="00E8794E"/>
    <w:rsid w:val="00E910F6"/>
    <w:rsid w:val="00E9198C"/>
    <w:rsid w:val="00EA37B6"/>
    <w:rsid w:val="00EB3E0A"/>
    <w:rsid w:val="00EB5DB5"/>
    <w:rsid w:val="00EB698A"/>
    <w:rsid w:val="00EB7627"/>
    <w:rsid w:val="00EC47B0"/>
    <w:rsid w:val="00EC4A7F"/>
    <w:rsid w:val="00EC73FB"/>
    <w:rsid w:val="00ED19B4"/>
    <w:rsid w:val="00ED5BB9"/>
    <w:rsid w:val="00ED64A7"/>
    <w:rsid w:val="00EE00C2"/>
    <w:rsid w:val="00EE1269"/>
    <w:rsid w:val="00EE6A51"/>
    <w:rsid w:val="00EE6B8F"/>
    <w:rsid w:val="00EE6C3A"/>
    <w:rsid w:val="00EE786E"/>
    <w:rsid w:val="00EF0817"/>
    <w:rsid w:val="00EF12F6"/>
    <w:rsid w:val="00EF1F63"/>
    <w:rsid w:val="00EF34B0"/>
    <w:rsid w:val="00EF509E"/>
    <w:rsid w:val="00F0192F"/>
    <w:rsid w:val="00F038BD"/>
    <w:rsid w:val="00F06F64"/>
    <w:rsid w:val="00F07508"/>
    <w:rsid w:val="00F10EAE"/>
    <w:rsid w:val="00F10FBF"/>
    <w:rsid w:val="00F16F53"/>
    <w:rsid w:val="00F17E8D"/>
    <w:rsid w:val="00F17FB7"/>
    <w:rsid w:val="00F20257"/>
    <w:rsid w:val="00F2735A"/>
    <w:rsid w:val="00F30438"/>
    <w:rsid w:val="00F30C3A"/>
    <w:rsid w:val="00F32A0F"/>
    <w:rsid w:val="00F32F9B"/>
    <w:rsid w:val="00F34CA2"/>
    <w:rsid w:val="00F34DF7"/>
    <w:rsid w:val="00F41D54"/>
    <w:rsid w:val="00F44230"/>
    <w:rsid w:val="00F54F61"/>
    <w:rsid w:val="00F57C41"/>
    <w:rsid w:val="00F6087C"/>
    <w:rsid w:val="00F616AE"/>
    <w:rsid w:val="00F652C6"/>
    <w:rsid w:val="00F67AD9"/>
    <w:rsid w:val="00F70247"/>
    <w:rsid w:val="00F76612"/>
    <w:rsid w:val="00F80299"/>
    <w:rsid w:val="00F8149A"/>
    <w:rsid w:val="00F82A7A"/>
    <w:rsid w:val="00F86E8C"/>
    <w:rsid w:val="00F87780"/>
    <w:rsid w:val="00F925B3"/>
    <w:rsid w:val="00F93DEC"/>
    <w:rsid w:val="00F93E76"/>
    <w:rsid w:val="00F95E07"/>
    <w:rsid w:val="00FA0045"/>
    <w:rsid w:val="00FA0667"/>
    <w:rsid w:val="00FA3FAC"/>
    <w:rsid w:val="00FA54E0"/>
    <w:rsid w:val="00FA5FF6"/>
    <w:rsid w:val="00FB1030"/>
    <w:rsid w:val="00FB132D"/>
    <w:rsid w:val="00FB1D91"/>
    <w:rsid w:val="00FB4300"/>
    <w:rsid w:val="00FC0198"/>
    <w:rsid w:val="00FC5E46"/>
    <w:rsid w:val="00FC61FA"/>
    <w:rsid w:val="00FD0A62"/>
    <w:rsid w:val="00FD136E"/>
    <w:rsid w:val="00FD3AC1"/>
    <w:rsid w:val="00FD456E"/>
    <w:rsid w:val="00FE29FE"/>
    <w:rsid w:val="00FE5B1B"/>
    <w:rsid w:val="00FF120F"/>
    <w:rsid w:val="00FF2D41"/>
    <w:rsid w:val="00FF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6B"/>
    <w:rPr>
      <w:rFonts w:ascii="Arial" w:hAnsi="Arial"/>
      <w:color w:val="365F91"/>
      <w:sz w:val="20"/>
    </w:rPr>
  </w:style>
  <w:style w:type="paragraph" w:styleId="Heading1">
    <w:name w:val="heading 1"/>
    <w:basedOn w:val="StyleFormText14ptBoldTeal"/>
    <w:next w:val="Normal"/>
    <w:link w:val="Heading1Char"/>
    <w:qFormat/>
    <w:rsid w:val="007052EA"/>
    <w:pPr>
      <w:spacing w:line="276" w:lineRule="auto"/>
      <w:jc w:val="both"/>
      <w:outlineLvl w:val="0"/>
    </w:pPr>
    <w:rPr>
      <w:color w:val="943634" w:themeColor="accent2" w:themeShade="BF"/>
      <w:szCs w:val="18"/>
    </w:rPr>
  </w:style>
  <w:style w:type="paragraph" w:styleId="Heading2">
    <w:name w:val="heading 2"/>
    <w:basedOn w:val="StyleFormText14ptBoldTeal"/>
    <w:next w:val="Normal"/>
    <w:link w:val="Heading2Char"/>
    <w:qFormat/>
    <w:rsid w:val="007052EA"/>
    <w:pPr>
      <w:spacing w:line="276" w:lineRule="auto"/>
      <w:jc w:val="both"/>
      <w:outlineLvl w:val="1"/>
    </w:pPr>
    <w:rPr>
      <w:color w:val="C00000"/>
      <w:sz w:val="22"/>
      <w:szCs w:val="18"/>
    </w:rPr>
  </w:style>
  <w:style w:type="paragraph" w:styleId="Heading3">
    <w:name w:val="heading 3"/>
    <w:basedOn w:val="Normal"/>
    <w:next w:val="Normal"/>
    <w:link w:val="Heading3Char"/>
    <w:uiPriority w:val="9"/>
    <w:unhideWhenUsed/>
    <w:qFormat/>
    <w:rsid w:val="00D215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5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0C5"/>
  </w:style>
  <w:style w:type="paragraph" w:styleId="Footer">
    <w:name w:val="footer"/>
    <w:basedOn w:val="Normal"/>
    <w:link w:val="FooterChar"/>
    <w:uiPriority w:val="99"/>
    <w:unhideWhenUsed/>
    <w:rsid w:val="00324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0C5"/>
  </w:style>
  <w:style w:type="paragraph" w:styleId="BalloonText">
    <w:name w:val="Balloon Text"/>
    <w:basedOn w:val="Normal"/>
    <w:link w:val="BalloonTextChar"/>
    <w:uiPriority w:val="99"/>
    <w:semiHidden/>
    <w:unhideWhenUsed/>
    <w:rsid w:val="0032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0C5"/>
    <w:rPr>
      <w:rFonts w:ascii="Tahoma" w:hAnsi="Tahoma" w:cs="Tahoma"/>
      <w:sz w:val="16"/>
      <w:szCs w:val="16"/>
    </w:rPr>
  </w:style>
  <w:style w:type="character" w:customStyle="1" w:styleId="Heading1Char">
    <w:name w:val="Heading 1 Char"/>
    <w:basedOn w:val="DefaultParagraphFont"/>
    <w:link w:val="Heading1"/>
    <w:rsid w:val="007052EA"/>
    <w:rPr>
      <w:rFonts w:ascii="Arial" w:eastAsia="Times New Roman" w:hAnsi="Arial" w:cs="Arial"/>
      <w:b/>
      <w:bCs/>
      <w:color w:val="943634" w:themeColor="accent2" w:themeShade="BF"/>
      <w:sz w:val="28"/>
      <w:szCs w:val="18"/>
    </w:rPr>
  </w:style>
  <w:style w:type="character" w:customStyle="1" w:styleId="Heading2Char">
    <w:name w:val="Heading 2 Char"/>
    <w:basedOn w:val="DefaultParagraphFont"/>
    <w:link w:val="Heading2"/>
    <w:rsid w:val="007052EA"/>
    <w:rPr>
      <w:rFonts w:ascii="Arial" w:eastAsia="Times New Roman" w:hAnsi="Arial" w:cs="Arial"/>
      <w:b/>
      <w:bCs/>
      <w:color w:val="C00000"/>
      <w:szCs w:val="18"/>
    </w:rPr>
  </w:style>
  <w:style w:type="paragraph" w:styleId="BodyText">
    <w:name w:val="Body Text"/>
    <w:basedOn w:val="Normal"/>
    <w:link w:val="BodyTextChar"/>
    <w:rsid w:val="00542669"/>
    <w:pPr>
      <w:spacing w:after="120" w:line="240" w:lineRule="auto"/>
      <w:ind w:right="68"/>
      <w:jc w:val="both"/>
    </w:pPr>
    <w:rPr>
      <w:rFonts w:eastAsia="Times New Roman" w:cs="Arial"/>
      <w:snapToGrid w:val="0"/>
      <w:kern w:val="28"/>
      <w:sz w:val="16"/>
      <w:szCs w:val="16"/>
    </w:rPr>
  </w:style>
  <w:style w:type="character" w:customStyle="1" w:styleId="BodyTextChar">
    <w:name w:val="Body Text Char"/>
    <w:basedOn w:val="DefaultParagraphFont"/>
    <w:link w:val="BodyText"/>
    <w:rsid w:val="00542669"/>
    <w:rPr>
      <w:rFonts w:ascii="Arial" w:eastAsia="Times New Roman" w:hAnsi="Arial" w:cs="Arial"/>
      <w:snapToGrid w:val="0"/>
      <w:kern w:val="28"/>
      <w:sz w:val="16"/>
      <w:szCs w:val="16"/>
      <w:lang w:eastAsia="en-AU"/>
    </w:rPr>
  </w:style>
  <w:style w:type="paragraph" w:customStyle="1" w:styleId="NormalArial">
    <w:name w:val="Normal Arial"/>
    <w:basedOn w:val="Normal"/>
    <w:rsid w:val="00363D17"/>
    <w:pPr>
      <w:spacing w:before="120" w:after="0" w:line="240" w:lineRule="auto"/>
    </w:pPr>
    <w:rPr>
      <w:rFonts w:eastAsia="Times New Roman" w:cs="Arial"/>
      <w:snapToGrid w:val="0"/>
      <w:szCs w:val="20"/>
    </w:rPr>
  </w:style>
  <w:style w:type="paragraph" w:customStyle="1" w:styleId="Default">
    <w:name w:val="Default"/>
    <w:rsid w:val="0011064D"/>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D52F2"/>
    <w:pPr>
      <w:ind w:left="720"/>
      <w:contextualSpacing/>
    </w:pPr>
  </w:style>
  <w:style w:type="table" w:styleId="TableGrid">
    <w:name w:val="Table Grid"/>
    <w:basedOn w:val="TableNormal"/>
    <w:uiPriority w:val="59"/>
    <w:rsid w:val="00CE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7C62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7C62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31">
    <w:name w:val="Medium Grid 31"/>
    <w:basedOn w:val="TableNormal"/>
    <w:uiPriority w:val="69"/>
    <w:rsid w:val="007C62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7C62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yleFormText14ptBoldTeal">
    <w:name w:val="Style Form Text + 14 pt Bold Teal"/>
    <w:basedOn w:val="Normal"/>
    <w:rsid w:val="00BA6AB3"/>
    <w:pPr>
      <w:autoSpaceDE w:val="0"/>
      <w:autoSpaceDN w:val="0"/>
      <w:adjustRightInd w:val="0"/>
      <w:spacing w:after="0" w:line="280" w:lineRule="atLeast"/>
    </w:pPr>
    <w:rPr>
      <w:rFonts w:eastAsia="Times New Roman" w:cs="Arial"/>
      <w:b/>
      <w:bCs/>
      <w:color w:val="0099CC"/>
      <w:sz w:val="28"/>
    </w:rPr>
  </w:style>
  <w:style w:type="paragraph" w:customStyle="1" w:styleId="FormText">
    <w:name w:val="Form Text"/>
    <w:basedOn w:val="Normal"/>
    <w:rsid w:val="00F44230"/>
    <w:pPr>
      <w:autoSpaceDE w:val="0"/>
      <w:autoSpaceDN w:val="0"/>
      <w:adjustRightInd w:val="0"/>
      <w:spacing w:after="0" w:line="280" w:lineRule="atLeast"/>
    </w:pPr>
    <w:rPr>
      <w:rFonts w:eastAsia="Times New Roman" w:cs="Arial"/>
      <w:iCs/>
    </w:rPr>
  </w:style>
  <w:style w:type="character" w:styleId="Hyperlink">
    <w:name w:val="Hyperlink"/>
    <w:basedOn w:val="DefaultParagraphFont"/>
    <w:rsid w:val="00E62D36"/>
    <w:rPr>
      <w:color w:val="0000FF"/>
      <w:u w:val="single"/>
    </w:rPr>
  </w:style>
  <w:style w:type="character" w:styleId="PlaceholderText">
    <w:name w:val="Placeholder Text"/>
    <w:basedOn w:val="DefaultParagraphFont"/>
    <w:uiPriority w:val="99"/>
    <w:semiHidden/>
    <w:rsid w:val="002E5A7F"/>
    <w:rPr>
      <w:color w:val="808080"/>
    </w:rPr>
  </w:style>
  <w:style w:type="paragraph" w:customStyle="1" w:styleId="SubTitle">
    <w:name w:val="Sub Title"/>
    <w:basedOn w:val="Normal"/>
    <w:autoRedefine/>
    <w:semiHidden/>
    <w:rsid w:val="003E5F96"/>
    <w:pPr>
      <w:spacing w:before="240" w:after="0"/>
      <w:jc w:val="both"/>
    </w:pPr>
    <w:rPr>
      <w:rFonts w:eastAsia="Times New Roman" w:cs="Arial"/>
      <w:szCs w:val="20"/>
      <w:lang w:val="en-US"/>
    </w:rPr>
  </w:style>
  <w:style w:type="paragraph" w:styleId="NoSpacing">
    <w:name w:val="No Spacing"/>
    <w:uiPriority w:val="1"/>
    <w:qFormat/>
    <w:rsid w:val="007052EA"/>
    <w:pPr>
      <w:spacing w:after="0" w:line="240" w:lineRule="auto"/>
    </w:pPr>
    <w:rPr>
      <w:rFonts w:ascii="Arial" w:hAnsi="Arial"/>
      <w:color w:val="365F91"/>
      <w:sz w:val="20"/>
    </w:rPr>
  </w:style>
  <w:style w:type="character" w:customStyle="1" w:styleId="Heading3Char">
    <w:name w:val="Heading 3 Char"/>
    <w:basedOn w:val="DefaultParagraphFont"/>
    <w:link w:val="Heading3"/>
    <w:uiPriority w:val="9"/>
    <w:rsid w:val="00D215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1534"/>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310645"/>
    <w:pPr>
      <w:spacing w:after="0" w:line="240" w:lineRule="auto"/>
    </w:pPr>
    <w:rPr>
      <w:szCs w:val="20"/>
    </w:rPr>
  </w:style>
  <w:style w:type="character" w:customStyle="1" w:styleId="EndnoteTextChar">
    <w:name w:val="Endnote Text Char"/>
    <w:basedOn w:val="DefaultParagraphFont"/>
    <w:link w:val="EndnoteText"/>
    <w:uiPriority w:val="99"/>
    <w:semiHidden/>
    <w:rsid w:val="00310645"/>
    <w:rPr>
      <w:sz w:val="20"/>
      <w:szCs w:val="20"/>
    </w:rPr>
  </w:style>
  <w:style w:type="character" w:styleId="EndnoteReference">
    <w:name w:val="endnote reference"/>
    <w:basedOn w:val="DefaultParagraphFont"/>
    <w:uiPriority w:val="99"/>
    <w:semiHidden/>
    <w:unhideWhenUsed/>
    <w:rsid w:val="00310645"/>
    <w:rPr>
      <w:vertAlign w:val="superscript"/>
    </w:rPr>
  </w:style>
  <w:style w:type="paragraph" w:styleId="FootnoteText">
    <w:name w:val="footnote text"/>
    <w:basedOn w:val="Normal"/>
    <w:link w:val="FootnoteTextChar"/>
    <w:uiPriority w:val="99"/>
    <w:semiHidden/>
    <w:unhideWhenUsed/>
    <w:rsid w:val="00310645"/>
    <w:pPr>
      <w:spacing w:after="0" w:line="240" w:lineRule="auto"/>
    </w:pPr>
    <w:rPr>
      <w:szCs w:val="20"/>
    </w:rPr>
  </w:style>
  <w:style w:type="character" w:customStyle="1" w:styleId="FootnoteTextChar">
    <w:name w:val="Footnote Text Char"/>
    <w:basedOn w:val="DefaultParagraphFont"/>
    <w:link w:val="FootnoteText"/>
    <w:uiPriority w:val="99"/>
    <w:semiHidden/>
    <w:rsid w:val="00310645"/>
    <w:rPr>
      <w:sz w:val="20"/>
      <w:szCs w:val="20"/>
    </w:rPr>
  </w:style>
  <w:style w:type="character" w:styleId="FootnoteReference">
    <w:name w:val="footnote reference"/>
    <w:basedOn w:val="DefaultParagraphFont"/>
    <w:uiPriority w:val="99"/>
    <w:semiHidden/>
    <w:unhideWhenUsed/>
    <w:rsid w:val="00310645"/>
    <w:rPr>
      <w:vertAlign w:val="superscript"/>
    </w:rPr>
  </w:style>
  <w:style w:type="paragraph" w:styleId="BodyText3">
    <w:name w:val="Body Text 3"/>
    <w:basedOn w:val="Normal"/>
    <w:link w:val="BodyText3Char"/>
    <w:uiPriority w:val="99"/>
    <w:unhideWhenUsed/>
    <w:rsid w:val="00310645"/>
    <w:pPr>
      <w:spacing w:after="120"/>
    </w:pPr>
    <w:rPr>
      <w:sz w:val="16"/>
      <w:szCs w:val="16"/>
    </w:rPr>
  </w:style>
  <w:style w:type="character" w:customStyle="1" w:styleId="BodyText3Char">
    <w:name w:val="Body Text 3 Char"/>
    <w:basedOn w:val="DefaultParagraphFont"/>
    <w:link w:val="BodyText3"/>
    <w:uiPriority w:val="99"/>
    <w:rsid w:val="00310645"/>
    <w:rPr>
      <w:sz w:val="16"/>
      <w:szCs w:val="16"/>
    </w:rPr>
  </w:style>
  <w:style w:type="character" w:customStyle="1" w:styleId="PolicyNameChar">
    <w:name w:val="Policy Name Char"/>
    <w:link w:val="PolicyName"/>
    <w:rsid w:val="00024D57"/>
    <w:rPr>
      <w:rFonts w:ascii="Arial" w:eastAsia="Times New Roman" w:hAnsi="Arial"/>
      <w:b/>
      <w:color w:val="008080"/>
      <w:sz w:val="32"/>
    </w:rPr>
  </w:style>
  <w:style w:type="paragraph" w:customStyle="1" w:styleId="PolicyName">
    <w:name w:val="Policy Name"/>
    <w:basedOn w:val="Normal"/>
    <w:next w:val="Normal"/>
    <w:link w:val="PolicyNameChar"/>
    <w:rsid w:val="00024D57"/>
    <w:pPr>
      <w:tabs>
        <w:tab w:val="right" w:pos="9044"/>
      </w:tabs>
      <w:spacing w:after="120"/>
    </w:pPr>
    <w:rPr>
      <w:rFonts w:eastAsia="Times New Roman"/>
      <w:b/>
      <w:color w:val="00808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6B"/>
    <w:rPr>
      <w:rFonts w:ascii="Arial" w:hAnsi="Arial"/>
      <w:color w:val="365F91"/>
      <w:sz w:val="20"/>
    </w:rPr>
  </w:style>
  <w:style w:type="paragraph" w:styleId="Heading1">
    <w:name w:val="heading 1"/>
    <w:basedOn w:val="StyleFormText14ptBoldTeal"/>
    <w:next w:val="Normal"/>
    <w:link w:val="Heading1Char"/>
    <w:qFormat/>
    <w:rsid w:val="007052EA"/>
    <w:pPr>
      <w:spacing w:line="276" w:lineRule="auto"/>
      <w:jc w:val="both"/>
      <w:outlineLvl w:val="0"/>
    </w:pPr>
    <w:rPr>
      <w:color w:val="943634" w:themeColor="accent2" w:themeShade="BF"/>
      <w:szCs w:val="18"/>
    </w:rPr>
  </w:style>
  <w:style w:type="paragraph" w:styleId="Heading2">
    <w:name w:val="heading 2"/>
    <w:basedOn w:val="StyleFormText14ptBoldTeal"/>
    <w:next w:val="Normal"/>
    <w:link w:val="Heading2Char"/>
    <w:qFormat/>
    <w:rsid w:val="007052EA"/>
    <w:pPr>
      <w:spacing w:line="276" w:lineRule="auto"/>
      <w:jc w:val="both"/>
      <w:outlineLvl w:val="1"/>
    </w:pPr>
    <w:rPr>
      <w:color w:val="C00000"/>
      <w:sz w:val="22"/>
      <w:szCs w:val="18"/>
    </w:rPr>
  </w:style>
  <w:style w:type="paragraph" w:styleId="Heading3">
    <w:name w:val="heading 3"/>
    <w:basedOn w:val="Normal"/>
    <w:next w:val="Normal"/>
    <w:link w:val="Heading3Char"/>
    <w:uiPriority w:val="9"/>
    <w:unhideWhenUsed/>
    <w:qFormat/>
    <w:rsid w:val="00D2153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15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0C5"/>
  </w:style>
  <w:style w:type="paragraph" w:styleId="Footer">
    <w:name w:val="footer"/>
    <w:basedOn w:val="Normal"/>
    <w:link w:val="FooterChar"/>
    <w:uiPriority w:val="99"/>
    <w:unhideWhenUsed/>
    <w:rsid w:val="00324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0C5"/>
  </w:style>
  <w:style w:type="paragraph" w:styleId="BalloonText">
    <w:name w:val="Balloon Text"/>
    <w:basedOn w:val="Normal"/>
    <w:link w:val="BalloonTextChar"/>
    <w:uiPriority w:val="99"/>
    <w:semiHidden/>
    <w:unhideWhenUsed/>
    <w:rsid w:val="0032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0C5"/>
    <w:rPr>
      <w:rFonts w:ascii="Tahoma" w:hAnsi="Tahoma" w:cs="Tahoma"/>
      <w:sz w:val="16"/>
      <w:szCs w:val="16"/>
    </w:rPr>
  </w:style>
  <w:style w:type="character" w:customStyle="1" w:styleId="Heading1Char">
    <w:name w:val="Heading 1 Char"/>
    <w:basedOn w:val="DefaultParagraphFont"/>
    <w:link w:val="Heading1"/>
    <w:rsid w:val="007052EA"/>
    <w:rPr>
      <w:rFonts w:ascii="Arial" w:eastAsia="Times New Roman" w:hAnsi="Arial" w:cs="Arial"/>
      <w:b/>
      <w:bCs/>
      <w:color w:val="943634" w:themeColor="accent2" w:themeShade="BF"/>
      <w:sz w:val="28"/>
      <w:szCs w:val="18"/>
    </w:rPr>
  </w:style>
  <w:style w:type="character" w:customStyle="1" w:styleId="Heading2Char">
    <w:name w:val="Heading 2 Char"/>
    <w:basedOn w:val="DefaultParagraphFont"/>
    <w:link w:val="Heading2"/>
    <w:rsid w:val="007052EA"/>
    <w:rPr>
      <w:rFonts w:ascii="Arial" w:eastAsia="Times New Roman" w:hAnsi="Arial" w:cs="Arial"/>
      <w:b/>
      <w:bCs/>
      <w:color w:val="C00000"/>
      <w:szCs w:val="18"/>
    </w:rPr>
  </w:style>
  <w:style w:type="paragraph" w:styleId="BodyText">
    <w:name w:val="Body Text"/>
    <w:basedOn w:val="Normal"/>
    <w:link w:val="BodyTextChar"/>
    <w:rsid w:val="00542669"/>
    <w:pPr>
      <w:spacing w:after="120" w:line="240" w:lineRule="auto"/>
      <w:ind w:right="68"/>
      <w:jc w:val="both"/>
    </w:pPr>
    <w:rPr>
      <w:rFonts w:eastAsia="Times New Roman" w:cs="Arial"/>
      <w:snapToGrid w:val="0"/>
      <w:kern w:val="28"/>
      <w:sz w:val="16"/>
      <w:szCs w:val="16"/>
    </w:rPr>
  </w:style>
  <w:style w:type="character" w:customStyle="1" w:styleId="BodyTextChar">
    <w:name w:val="Body Text Char"/>
    <w:basedOn w:val="DefaultParagraphFont"/>
    <w:link w:val="BodyText"/>
    <w:rsid w:val="00542669"/>
    <w:rPr>
      <w:rFonts w:ascii="Arial" w:eastAsia="Times New Roman" w:hAnsi="Arial" w:cs="Arial"/>
      <w:snapToGrid w:val="0"/>
      <w:kern w:val="28"/>
      <w:sz w:val="16"/>
      <w:szCs w:val="16"/>
      <w:lang w:eastAsia="en-AU"/>
    </w:rPr>
  </w:style>
  <w:style w:type="paragraph" w:customStyle="1" w:styleId="NormalArial">
    <w:name w:val="Normal Arial"/>
    <w:basedOn w:val="Normal"/>
    <w:rsid w:val="00363D17"/>
    <w:pPr>
      <w:spacing w:before="120" w:after="0" w:line="240" w:lineRule="auto"/>
    </w:pPr>
    <w:rPr>
      <w:rFonts w:eastAsia="Times New Roman" w:cs="Arial"/>
      <w:snapToGrid w:val="0"/>
      <w:szCs w:val="20"/>
    </w:rPr>
  </w:style>
  <w:style w:type="paragraph" w:customStyle="1" w:styleId="Default">
    <w:name w:val="Default"/>
    <w:rsid w:val="0011064D"/>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D52F2"/>
    <w:pPr>
      <w:ind w:left="720"/>
      <w:contextualSpacing/>
    </w:pPr>
  </w:style>
  <w:style w:type="table" w:styleId="TableGrid">
    <w:name w:val="Table Grid"/>
    <w:basedOn w:val="TableNormal"/>
    <w:uiPriority w:val="59"/>
    <w:rsid w:val="00CE3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7C62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7C62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31">
    <w:name w:val="Medium Grid 31"/>
    <w:basedOn w:val="TableNormal"/>
    <w:uiPriority w:val="69"/>
    <w:rsid w:val="007C62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7C62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StyleFormText14ptBoldTeal">
    <w:name w:val="Style Form Text + 14 pt Bold Teal"/>
    <w:basedOn w:val="Normal"/>
    <w:rsid w:val="00BA6AB3"/>
    <w:pPr>
      <w:autoSpaceDE w:val="0"/>
      <w:autoSpaceDN w:val="0"/>
      <w:adjustRightInd w:val="0"/>
      <w:spacing w:after="0" w:line="280" w:lineRule="atLeast"/>
    </w:pPr>
    <w:rPr>
      <w:rFonts w:eastAsia="Times New Roman" w:cs="Arial"/>
      <w:b/>
      <w:bCs/>
      <w:color w:val="0099CC"/>
      <w:sz w:val="28"/>
    </w:rPr>
  </w:style>
  <w:style w:type="paragraph" w:customStyle="1" w:styleId="FormText">
    <w:name w:val="Form Text"/>
    <w:basedOn w:val="Normal"/>
    <w:rsid w:val="00F44230"/>
    <w:pPr>
      <w:autoSpaceDE w:val="0"/>
      <w:autoSpaceDN w:val="0"/>
      <w:adjustRightInd w:val="0"/>
      <w:spacing w:after="0" w:line="280" w:lineRule="atLeast"/>
    </w:pPr>
    <w:rPr>
      <w:rFonts w:eastAsia="Times New Roman" w:cs="Arial"/>
      <w:iCs/>
    </w:rPr>
  </w:style>
  <w:style w:type="character" w:styleId="Hyperlink">
    <w:name w:val="Hyperlink"/>
    <w:basedOn w:val="DefaultParagraphFont"/>
    <w:rsid w:val="00E62D36"/>
    <w:rPr>
      <w:color w:val="0000FF"/>
      <w:u w:val="single"/>
    </w:rPr>
  </w:style>
  <w:style w:type="character" w:styleId="PlaceholderText">
    <w:name w:val="Placeholder Text"/>
    <w:basedOn w:val="DefaultParagraphFont"/>
    <w:uiPriority w:val="99"/>
    <w:semiHidden/>
    <w:rsid w:val="002E5A7F"/>
    <w:rPr>
      <w:color w:val="808080"/>
    </w:rPr>
  </w:style>
  <w:style w:type="paragraph" w:customStyle="1" w:styleId="SubTitle">
    <w:name w:val="Sub Title"/>
    <w:basedOn w:val="Normal"/>
    <w:autoRedefine/>
    <w:semiHidden/>
    <w:rsid w:val="003E5F96"/>
    <w:pPr>
      <w:spacing w:before="240" w:after="0"/>
      <w:jc w:val="both"/>
    </w:pPr>
    <w:rPr>
      <w:rFonts w:eastAsia="Times New Roman" w:cs="Arial"/>
      <w:szCs w:val="20"/>
      <w:lang w:val="en-US"/>
    </w:rPr>
  </w:style>
  <w:style w:type="paragraph" w:styleId="NoSpacing">
    <w:name w:val="No Spacing"/>
    <w:uiPriority w:val="1"/>
    <w:qFormat/>
    <w:rsid w:val="007052EA"/>
    <w:pPr>
      <w:spacing w:after="0" w:line="240" w:lineRule="auto"/>
    </w:pPr>
    <w:rPr>
      <w:rFonts w:ascii="Arial" w:hAnsi="Arial"/>
      <w:color w:val="365F91"/>
      <w:sz w:val="20"/>
    </w:rPr>
  </w:style>
  <w:style w:type="character" w:customStyle="1" w:styleId="Heading3Char">
    <w:name w:val="Heading 3 Char"/>
    <w:basedOn w:val="DefaultParagraphFont"/>
    <w:link w:val="Heading3"/>
    <w:uiPriority w:val="9"/>
    <w:rsid w:val="00D215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21534"/>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310645"/>
    <w:pPr>
      <w:spacing w:after="0" w:line="240" w:lineRule="auto"/>
    </w:pPr>
    <w:rPr>
      <w:szCs w:val="20"/>
    </w:rPr>
  </w:style>
  <w:style w:type="character" w:customStyle="1" w:styleId="EndnoteTextChar">
    <w:name w:val="Endnote Text Char"/>
    <w:basedOn w:val="DefaultParagraphFont"/>
    <w:link w:val="EndnoteText"/>
    <w:uiPriority w:val="99"/>
    <w:semiHidden/>
    <w:rsid w:val="00310645"/>
    <w:rPr>
      <w:sz w:val="20"/>
      <w:szCs w:val="20"/>
    </w:rPr>
  </w:style>
  <w:style w:type="character" w:styleId="EndnoteReference">
    <w:name w:val="endnote reference"/>
    <w:basedOn w:val="DefaultParagraphFont"/>
    <w:uiPriority w:val="99"/>
    <w:semiHidden/>
    <w:unhideWhenUsed/>
    <w:rsid w:val="00310645"/>
    <w:rPr>
      <w:vertAlign w:val="superscript"/>
    </w:rPr>
  </w:style>
  <w:style w:type="paragraph" w:styleId="FootnoteText">
    <w:name w:val="footnote text"/>
    <w:basedOn w:val="Normal"/>
    <w:link w:val="FootnoteTextChar"/>
    <w:uiPriority w:val="99"/>
    <w:semiHidden/>
    <w:unhideWhenUsed/>
    <w:rsid w:val="00310645"/>
    <w:pPr>
      <w:spacing w:after="0" w:line="240" w:lineRule="auto"/>
    </w:pPr>
    <w:rPr>
      <w:szCs w:val="20"/>
    </w:rPr>
  </w:style>
  <w:style w:type="character" w:customStyle="1" w:styleId="FootnoteTextChar">
    <w:name w:val="Footnote Text Char"/>
    <w:basedOn w:val="DefaultParagraphFont"/>
    <w:link w:val="FootnoteText"/>
    <w:uiPriority w:val="99"/>
    <w:semiHidden/>
    <w:rsid w:val="00310645"/>
    <w:rPr>
      <w:sz w:val="20"/>
      <w:szCs w:val="20"/>
    </w:rPr>
  </w:style>
  <w:style w:type="character" w:styleId="FootnoteReference">
    <w:name w:val="footnote reference"/>
    <w:basedOn w:val="DefaultParagraphFont"/>
    <w:uiPriority w:val="99"/>
    <w:semiHidden/>
    <w:unhideWhenUsed/>
    <w:rsid w:val="00310645"/>
    <w:rPr>
      <w:vertAlign w:val="superscript"/>
    </w:rPr>
  </w:style>
  <w:style w:type="paragraph" w:styleId="BodyText3">
    <w:name w:val="Body Text 3"/>
    <w:basedOn w:val="Normal"/>
    <w:link w:val="BodyText3Char"/>
    <w:uiPriority w:val="99"/>
    <w:unhideWhenUsed/>
    <w:rsid w:val="00310645"/>
    <w:pPr>
      <w:spacing w:after="120"/>
    </w:pPr>
    <w:rPr>
      <w:sz w:val="16"/>
      <w:szCs w:val="16"/>
    </w:rPr>
  </w:style>
  <w:style w:type="character" w:customStyle="1" w:styleId="BodyText3Char">
    <w:name w:val="Body Text 3 Char"/>
    <w:basedOn w:val="DefaultParagraphFont"/>
    <w:link w:val="BodyText3"/>
    <w:uiPriority w:val="99"/>
    <w:rsid w:val="00310645"/>
    <w:rPr>
      <w:sz w:val="16"/>
      <w:szCs w:val="16"/>
    </w:rPr>
  </w:style>
  <w:style w:type="character" w:customStyle="1" w:styleId="PolicyNameChar">
    <w:name w:val="Policy Name Char"/>
    <w:link w:val="PolicyName"/>
    <w:rsid w:val="00024D57"/>
    <w:rPr>
      <w:rFonts w:ascii="Arial" w:eastAsia="Times New Roman" w:hAnsi="Arial"/>
      <w:b/>
      <w:color w:val="008080"/>
      <w:sz w:val="32"/>
    </w:rPr>
  </w:style>
  <w:style w:type="paragraph" w:customStyle="1" w:styleId="PolicyName">
    <w:name w:val="Policy Name"/>
    <w:basedOn w:val="Normal"/>
    <w:next w:val="Normal"/>
    <w:link w:val="PolicyNameChar"/>
    <w:rsid w:val="00024D57"/>
    <w:pPr>
      <w:tabs>
        <w:tab w:val="right" w:pos="9044"/>
      </w:tabs>
      <w:spacing w:after="120"/>
    </w:pPr>
    <w:rPr>
      <w:rFonts w:eastAsia="Times New Roman"/>
      <w:b/>
      <w:color w:val="00808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632">
      <w:bodyDiv w:val="1"/>
      <w:marLeft w:val="0"/>
      <w:marRight w:val="0"/>
      <w:marTop w:val="0"/>
      <w:marBottom w:val="0"/>
      <w:divBdr>
        <w:top w:val="none" w:sz="0" w:space="0" w:color="auto"/>
        <w:left w:val="none" w:sz="0" w:space="0" w:color="auto"/>
        <w:bottom w:val="none" w:sz="0" w:space="0" w:color="auto"/>
        <w:right w:val="none" w:sz="0" w:space="0" w:color="auto"/>
      </w:divBdr>
    </w:div>
    <w:div w:id="134838252">
      <w:bodyDiv w:val="1"/>
      <w:marLeft w:val="0"/>
      <w:marRight w:val="0"/>
      <w:marTop w:val="0"/>
      <w:marBottom w:val="0"/>
      <w:divBdr>
        <w:top w:val="none" w:sz="0" w:space="0" w:color="auto"/>
        <w:left w:val="none" w:sz="0" w:space="0" w:color="auto"/>
        <w:bottom w:val="none" w:sz="0" w:space="0" w:color="auto"/>
        <w:right w:val="none" w:sz="0" w:space="0" w:color="auto"/>
      </w:divBdr>
    </w:div>
    <w:div w:id="138032860">
      <w:bodyDiv w:val="1"/>
      <w:marLeft w:val="0"/>
      <w:marRight w:val="0"/>
      <w:marTop w:val="0"/>
      <w:marBottom w:val="0"/>
      <w:divBdr>
        <w:top w:val="none" w:sz="0" w:space="0" w:color="auto"/>
        <w:left w:val="none" w:sz="0" w:space="0" w:color="auto"/>
        <w:bottom w:val="none" w:sz="0" w:space="0" w:color="auto"/>
        <w:right w:val="none" w:sz="0" w:space="0" w:color="auto"/>
      </w:divBdr>
    </w:div>
    <w:div w:id="283846608">
      <w:bodyDiv w:val="1"/>
      <w:marLeft w:val="0"/>
      <w:marRight w:val="0"/>
      <w:marTop w:val="0"/>
      <w:marBottom w:val="0"/>
      <w:divBdr>
        <w:top w:val="none" w:sz="0" w:space="0" w:color="auto"/>
        <w:left w:val="none" w:sz="0" w:space="0" w:color="auto"/>
        <w:bottom w:val="none" w:sz="0" w:space="0" w:color="auto"/>
        <w:right w:val="none" w:sz="0" w:space="0" w:color="auto"/>
      </w:divBdr>
    </w:div>
    <w:div w:id="607585633">
      <w:bodyDiv w:val="1"/>
      <w:marLeft w:val="0"/>
      <w:marRight w:val="0"/>
      <w:marTop w:val="0"/>
      <w:marBottom w:val="0"/>
      <w:divBdr>
        <w:top w:val="none" w:sz="0" w:space="0" w:color="auto"/>
        <w:left w:val="none" w:sz="0" w:space="0" w:color="auto"/>
        <w:bottom w:val="none" w:sz="0" w:space="0" w:color="auto"/>
        <w:right w:val="none" w:sz="0" w:space="0" w:color="auto"/>
      </w:divBdr>
    </w:div>
    <w:div w:id="931549631">
      <w:bodyDiv w:val="1"/>
      <w:marLeft w:val="0"/>
      <w:marRight w:val="0"/>
      <w:marTop w:val="0"/>
      <w:marBottom w:val="0"/>
      <w:divBdr>
        <w:top w:val="none" w:sz="0" w:space="0" w:color="auto"/>
        <w:left w:val="none" w:sz="0" w:space="0" w:color="auto"/>
        <w:bottom w:val="none" w:sz="0" w:space="0" w:color="auto"/>
        <w:right w:val="none" w:sz="0" w:space="0" w:color="auto"/>
      </w:divBdr>
      <w:divsChild>
        <w:div w:id="1967270386">
          <w:marLeft w:val="0"/>
          <w:marRight w:val="0"/>
          <w:marTop w:val="0"/>
          <w:marBottom w:val="0"/>
          <w:divBdr>
            <w:top w:val="none" w:sz="0" w:space="0" w:color="auto"/>
            <w:left w:val="none" w:sz="0" w:space="0" w:color="auto"/>
            <w:bottom w:val="none" w:sz="0" w:space="0" w:color="auto"/>
            <w:right w:val="none" w:sz="0" w:space="0" w:color="auto"/>
          </w:divBdr>
          <w:divsChild>
            <w:div w:id="520360350">
              <w:marLeft w:val="0"/>
              <w:marRight w:val="0"/>
              <w:marTop w:val="0"/>
              <w:marBottom w:val="0"/>
              <w:divBdr>
                <w:top w:val="none" w:sz="0" w:space="0" w:color="auto"/>
                <w:left w:val="none" w:sz="0" w:space="0" w:color="auto"/>
                <w:bottom w:val="none" w:sz="0" w:space="0" w:color="auto"/>
                <w:right w:val="none" w:sz="0" w:space="0" w:color="auto"/>
              </w:divBdr>
              <w:divsChild>
                <w:div w:id="898050145">
                  <w:marLeft w:val="0"/>
                  <w:marRight w:val="327"/>
                  <w:marTop w:val="168"/>
                  <w:marBottom w:val="0"/>
                  <w:divBdr>
                    <w:top w:val="none" w:sz="0" w:space="0" w:color="auto"/>
                    <w:left w:val="double" w:sz="2" w:space="14" w:color="EA661D"/>
                    <w:bottom w:val="none" w:sz="0" w:space="0" w:color="auto"/>
                    <w:right w:val="none" w:sz="0" w:space="0" w:color="auto"/>
                  </w:divBdr>
                </w:div>
              </w:divsChild>
            </w:div>
          </w:divsChild>
        </w:div>
      </w:divsChild>
    </w:div>
    <w:div w:id="1304770333">
      <w:bodyDiv w:val="1"/>
      <w:marLeft w:val="0"/>
      <w:marRight w:val="0"/>
      <w:marTop w:val="0"/>
      <w:marBottom w:val="0"/>
      <w:divBdr>
        <w:top w:val="none" w:sz="0" w:space="0" w:color="auto"/>
        <w:left w:val="none" w:sz="0" w:space="0" w:color="auto"/>
        <w:bottom w:val="none" w:sz="0" w:space="0" w:color="auto"/>
        <w:right w:val="none" w:sz="0" w:space="0" w:color="auto"/>
      </w:divBdr>
    </w:div>
    <w:div w:id="1573806906">
      <w:bodyDiv w:val="1"/>
      <w:marLeft w:val="0"/>
      <w:marRight w:val="0"/>
      <w:marTop w:val="0"/>
      <w:marBottom w:val="0"/>
      <w:divBdr>
        <w:top w:val="none" w:sz="0" w:space="0" w:color="auto"/>
        <w:left w:val="none" w:sz="0" w:space="0" w:color="auto"/>
        <w:bottom w:val="none" w:sz="0" w:space="0" w:color="auto"/>
        <w:right w:val="none" w:sz="0" w:space="0" w:color="auto"/>
      </w:divBdr>
    </w:div>
    <w:div w:id="1579823289">
      <w:bodyDiv w:val="1"/>
      <w:marLeft w:val="0"/>
      <w:marRight w:val="0"/>
      <w:marTop w:val="0"/>
      <w:marBottom w:val="0"/>
      <w:divBdr>
        <w:top w:val="none" w:sz="0" w:space="0" w:color="auto"/>
        <w:left w:val="none" w:sz="0" w:space="0" w:color="auto"/>
        <w:bottom w:val="none" w:sz="0" w:space="0" w:color="auto"/>
        <w:right w:val="none" w:sz="0" w:space="0" w:color="auto"/>
      </w:divBdr>
    </w:div>
    <w:div w:id="18076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0.emf"/><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8e3188d-fccf-4e87-a6b6-2e446be4517c">2AXQX2YYQNYC-318-127</_dlc_DocId>
    <_dlc_DocIdUrl xmlns="28e3188d-fccf-4e87-a6b6-2e446be4517c">
      <Url>http://www.dob.nt.gov.au/business/economics/key-statistics/_layouts/DocIdRedir.aspx?ID=2AXQX2YYQNYC-318-127</Url>
      <Description>2AXQX2YYQNYC-318-127</Description>
    </_dlc_DocIdUrl>
    <Sub_x0020_Category xmlns="28e3188d-fccf-4e87-a6b6-2e446be4517c" xsi:nil="true"/>
    <Document_x0020_Size xmlns="28e3188d-fccf-4e87-a6b6-2e446be4517c">(docx 244 kb)</Document_x0020_Size>
  </documentManagement>
</p:properties>
</file>

<file path=customXml/item4.xml><?xml version="1.0" encoding="utf-8"?>
<ct:contentTypeSchema xmlns:ct="http://schemas.microsoft.com/office/2006/metadata/contentType" xmlns:ma="http://schemas.microsoft.com/office/2006/metadata/properties/metaAttributes" ct:_="" ma:_="" ma:contentTypeName="Accessible Documents" ma:contentTypeID="0x010100EBDD23E1FA8D2B4AAF4AA2F166A197FF0058C4CF95F3608A4D8B6D61590637593C" ma:contentTypeVersion="14" ma:contentTypeDescription="Content Type for storing accessible documents" ma:contentTypeScope="" ma:versionID="caea45078021ed850ca399f6f417f02a">
  <xsd:schema xmlns:xsd="http://www.w3.org/2001/XMLSchema" xmlns:xs="http://www.w3.org/2001/XMLSchema" xmlns:p="http://schemas.microsoft.com/office/2006/metadata/properties" xmlns:ns1="http://schemas.microsoft.com/sharepoint/v3" xmlns:ns2="28e3188d-fccf-4e87-a6b6-2e446be4517c" targetNamespace="http://schemas.microsoft.com/office/2006/metadata/properties" ma:root="true" ma:fieldsID="bdd7179b414c1608a6384206e79d296b" ns1:_="" ns2:_="">
    <xsd:import namespace="http://schemas.microsoft.com/sharepoint/v3"/>
    <xsd:import namespace="28e3188d-fccf-4e87-a6b6-2e446be4517c"/>
    <xsd:element name="properties">
      <xsd:complexType>
        <xsd:sequence>
          <xsd:element name="documentManagement">
            <xsd:complexType>
              <xsd:all>
                <xsd:element ref="ns2:Document_x0020_Size" minOccurs="0"/>
                <xsd:element ref="ns2:Sub_x0020_Category"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Document_x0020_Size" ma:index="2" nillable="true" ma:displayName="Document Size" ma:internalName="Document_x0020_Size" ma:readOnly="false">
      <xsd:simpleType>
        <xsd:restriction base="dms:Text">
          <xsd:maxLength value="255"/>
        </xsd:restriction>
      </xsd:simpleType>
    </xsd:element>
    <xsd:element name="Sub_x0020_Category" ma:index="4" nillable="true" ma:displayName="Sub Category" ma:internalName="Sub_x0020_Category">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E80A-C5EF-4438-8512-276FF6E54D8E}">
  <ds:schemaRefs>
    <ds:schemaRef ds:uri="http://schemas.microsoft.com/sharepoint/v3/contenttype/forms"/>
  </ds:schemaRefs>
</ds:datastoreItem>
</file>

<file path=customXml/itemProps2.xml><?xml version="1.0" encoding="utf-8"?>
<ds:datastoreItem xmlns:ds="http://schemas.openxmlformats.org/officeDocument/2006/customXml" ds:itemID="{EFA03B74-AEEE-46E4-A1E4-12E1A01A5BB9}">
  <ds:schemaRefs>
    <ds:schemaRef ds:uri="http://schemas.microsoft.com/sharepoint/events"/>
  </ds:schemaRefs>
</ds:datastoreItem>
</file>

<file path=customXml/itemProps3.xml><?xml version="1.0" encoding="utf-8"?>
<ds:datastoreItem xmlns:ds="http://schemas.openxmlformats.org/officeDocument/2006/customXml" ds:itemID="{CE46E313-61BA-43CE-BA1D-226D24646693}">
  <ds:schemaRefs>
    <ds:schemaRef ds:uri="http://schemas.microsoft.com/office/2006/metadata/properties"/>
    <ds:schemaRef ds:uri="http://schemas.microsoft.com/office/infopath/2007/PartnerControls"/>
    <ds:schemaRef ds:uri="http://schemas.microsoft.com/sharepoint/v3"/>
    <ds:schemaRef ds:uri="28e3188d-fccf-4e87-a6b6-2e446be4517c"/>
  </ds:schemaRefs>
</ds:datastoreItem>
</file>

<file path=customXml/itemProps4.xml><?xml version="1.0" encoding="utf-8"?>
<ds:datastoreItem xmlns:ds="http://schemas.openxmlformats.org/officeDocument/2006/customXml" ds:itemID="{4CDBC3DB-822F-4363-A4E8-25049072F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7F136-0F1F-4367-B340-FE6A9822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Business Count NT - June 2015</vt:lpstr>
    </vt:vector>
  </TitlesOfParts>
  <Company>NTG</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Count NT - June 2015</dc:title>
  <dc:creator>Kieran Brockman</dc:creator>
  <cp:lastModifiedBy>Marlene Woods</cp:lastModifiedBy>
  <cp:revision>15</cp:revision>
  <cp:lastPrinted>2015-06-15T01:03:00Z</cp:lastPrinted>
  <dcterms:created xsi:type="dcterms:W3CDTF">2016-03-15T01:44:00Z</dcterms:created>
  <dcterms:modified xsi:type="dcterms:W3CDTF">2016-03-15T05:09:00Z</dcterms:modified>
  <cp:category>Count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0x010100EBDD23E1FA8D2B4AAF4AA2F166A197FF0058C4CF95F3608A4D8B6D61590637593C</vt:lpwstr>
  </property>
  <property fmtid="{D5CDD505-2E9C-101B-9397-08002B2CF9AE}" pid="3" name="_dlc_DocIdItemGuid">
    <vt:lpwstr>e48f3aba-bf87-4625-adf1-e2f603c19f12</vt:lpwstr>
  </property>
</Properties>
</file>