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7E" w:rsidRDefault="00E33B7E" w:rsidP="00F86A0D">
      <w:pPr>
        <w:pStyle w:val="Heading1"/>
        <w:spacing w:before="120" w:after="120"/>
        <w:rPr>
          <w:noProof/>
          <w:lang w:eastAsia="en-AU"/>
        </w:rPr>
      </w:pPr>
      <w:bookmarkStart w:id="0" w:name="_GoBack"/>
      <w:bookmarkEnd w:id="0"/>
      <w:r>
        <w:rPr>
          <w:noProof/>
          <w:lang w:eastAsia="en-AU"/>
        </w:rPr>
        <w:t xml:space="preserve">Key points </w:t>
      </w:r>
    </w:p>
    <w:p w:rsidR="00E33B7E" w:rsidRDefault="00AD11BC" w:rsidP="0058290D">
      <w:pPr>
        <w:pStyle w:val="ListParagraph"/>
        <w:numPr>
          <w:ilvl w:val="0"/>
          <w:numId w:val="48"/>
        </w:numPr>
        <w:spacing w:after="60"/>
        <w:ind w:left="714" w:hanging="357"/>
        <w:rPr>
          <w:lang w:eastAsia="en-AU"/>
        </w:rPr>
      </w:pPr>
      <w:r>
        <w:rPr>
          <w:lang w:eastAsia="en-AU"/>
        </w:rPr>
        <w:t>Territory-</w:t>
      </w:r>
      <w:r w:rsidR="00C858A7">
        <w:rPr>
          <w:lang w:eastAsia="en-AU"/>
        </w:rPr>
        <w:t>wide business confidence was +76</w:t>
      </w:r>
      <w:r w:rsidR="00DA7FD9">
        <w:rPr>
          <w:lang w:eastAsia="en-AU"/>
        </w:rPr>
        <w:t xml:space="preserve"> per cent</w:t>
      </w:r>
      <w:r w:rsidR="00E33B7E">
        <w:rPr>
          <w:lang w:eastAsia="en-AU"/>
        </w:rPr>
        <w:t xml:space="preserve"> in the September quarter 2022, in</w:t>
      </w:r>
      <w:r>
        <w:rPr>
          <w:lang w:eastAsia="en-AU"/>
        </w:rPr>
        <w:t>creasing by 4</w:t>
      </w:r>
      <w:r w:rsidR="00AE65D6">
        <w:rPr>
          <w:lang w:eastAsia="en-AU"/>
        </w:rPr>
        <w:t xml:space="preserve"> percentage point</w:t>
      </w:r>
      <w:r w:rsidR="00C858A7">
        <w:rPr>
          <w:lang w:eastAsia="en-AU"/>
        </w:rPr>
        <w:t>s</w:t>
      </w:r>
      <w:r w:rsidR="00AE65D6">
        <w:rPr>
          <w:lang w:eastAsia="en-AU"/>
        </w:rPr>
        <w:t xml:space="preserve"> </w:t>
      </w:r>
      <w:r w:rsidR="007509C4">
        <w:rPr>
          <w:lang w:eastAsia="en-AU"/>
        </w:rPr>
        <w:t xml:space="preserve">on </w:t>
      </w:r>
      <w:r w:rsidR="00AE65D6">
        <w:rPr>
          <w:lang w:eastAsia="en-AU"/>
        </w:rPr>
        <w:t xml:space="preserve">the previous quarter. </w:t>
      </w:r>
    </w:p>
    <w:p w:rsidR="00956AE7" w:rsidRDefault="00956AE7" w:rsidP="00956AE7">
      <w:pPr>
        <w:pStyle w:val="ListParagraph"/>
        <w:numPr>
          <w:ilvl w:val="0"/>
          <w:numId w:val="48"/>
        </w:numPr>
        <w:spacing w:after="60"/>
        <w:ind w:left="714" w:hanging="357"/>
        <w:rPr>
          <w:lang w:eastAsia="en-AU"/>
        </w:rPr>
      </w:pPr>
      <w:r>
        <w:rPr>
          <w:lang w:eastAsia="en-AU"/>
        </w:rPr>
        <w:t xml:space="preserve">62 per cent of Territory businesses noted their performance is better this year compared to last year, representing a 2 percentage point increase from the previous quarter. </w:t>
      </w:r>
    </w:p>
    <w:p w:rsidR="00E33B7E" w:rsidRDefault="00F86A0D" w:rsidP="0058290D">
      <w:pPr>
        <w:pStyle w:val="ListParagraph"/>
        <w:numPr>
          <w:ilvl w:val="0"/>
          <w:numId w:val="48"/>
        </w:numPr>
        <w:spacing w:after="60"/>
        <w:ind w:left="714" w:hanging="357"/>
        <w:rPr>
          <w:lang w:eastAsia="en-AU"/>
        </w:rPr>
      </w:pPr>
      <w:r>
        <w:rPr>
          <w:lang w:eastAsia="en-AU"/>
        </w:rPr>
        <w:t>The most commonly cited reason</w:t>
      </w:r>
      <w:r w:rsidR="00DC5EB5">
        <w:rPr>
          <w:lang w:eastAsia="en-AU"/>
        </w:rPr>
        <w:t>s</w:t>
      </w:r>
      <w:r>
        <w:rPr>
          <w:lang w:eastAsia="en-AU"/>
        </w:rPr>
        <w:t xml:space="preserve"> for confidence this quarter </w:t>
      </w:r>
      <w:r w:rsidR="00DC5EB5">
        <w:rPr>
          <w:lang w:eastAsia="en-AU"/>
        </w:rPr>
        <w:t xml:space="preserve">were </w:t>
      </w:r>
      <w:r>
        <w:rPr>
          <w:lang w:eastAsia="en-AU"/>
        </w:rPr>
        <w:t>‘strong customer re</w:t>
      </w:r>
      <w:r w:rsidR="008E7CB1">
        <w:rPr>
          <w:lang w:eastAsia="en-AU"/>
        </w:rPr>
        <w:t xml:space="preserve">lations’, ‘business opportunity’ and ‘strong market position’.  </w:t>
      </w:r>
    </w:p>
    <w:p w:rsidR="00F86A0D" w:rsidRDefault="00F86A0D" w:rsidP="00AE3159">
      <w:pPr>
        <w:pStyle w:val="ListParagraph"/>
        <w:numPr>
          <w:ilvl w:val="0"/>
          <w:numId w:val="48"/>
        </w:numPr>
        <w:spacing w:after="60"/>
        <w:ind w:left="714" w:hanging="357"/>
        <w:rPr>
          <w:lang w:eastAsia="en-AU"/>
        </w:rPr>
      </w:pPr>
      <w:r>
        <w:rPr>
          <w:lang w:eastAsia="en-AU"/>
        </w:rPr>
        <w:t xml:space="preserve">The most commonly cited reason for being worried this quarter was </w:t>
      </w:r>
      <w:r w:rsidR="00867C62">
        <w:rPr>
          <w:lang w:eastAsia="en-AU"/>
        </w:rPr>
        <w:t>‘lack of</w:t>
      </w:r>
      <w:r w:rsidR="00AE65D6">
        <w:rPr>
          <w:lang w:eastAsia="en-AU"/>
        </w:rPr>
        <w:t xml:space="preserve"> suitably sk</w:t>
      </w:r>
      <w:r>
        <w:rPr>
          <w:lang w:eastAsia="en-AU"/>
        </w:rPr>
        <w:t xml:space="preserve">illed workers’, reflecting the Territory’s low unemployment rate and high number of job vacancies. </w:t>
      </w:r>
    </w:p>
    <w:p w:rsidR="00F1601A" w:rsidRDefault="007509C4" w:rsidP="002F2CA1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 xml:space="preserve">NT </w:t>
      </w:r>
      <w:r w:rsidR="00F1601A">
        <w:rPr>
          <w:noProof/>
          <w:lang w:eastAsia="en-AU"/>
        </w:rPr>
        <w:t>b</w:t>
      </w:r>
      <w:r w:rsidR="00F1601A" w:rsidRPr="00C858A7">
        <w:rPr>
          <w:noProof/>
          <w:color w:val="002060"/>
          <w:lang w:eastAsia="en-AU"/>
        </w:rPr>
        <w:t>usiness</w:t>
      </w:r>
      <w:r w:rsidR="00F1601A">
        <w:rPr>
          <w:noProof/>
          <w:lang w:eastAsia="en-AU"/>
        </w:rPr>
        <w:t xml:space="preserve">es </w:t>
      </w:r>
      <w:r w:rsidR="00F83801">
        <w:rPr>
          <w:noProof/>
          <w:lang w:eastAsia="en-AU"/>
        </w:rPr>
        <w:t xml:space="preserve">were confident about their prospects this quarter </w:t>
      </w:r>
    </w:p>
    <w:p w:rsidR="00F83801" w:rsidRDefault="00F83801" w:rsidP="00F83801">
      <w:r>
        <w:t xml:space="preserve">The business confidence index measures responses to the question </w:t>
      </w:r>
      <w:r w:rsidRPr="002F2CA1">
        <w:rPr>
          <w:i/>
        </w:rPr>
        <w:t>‘How confident are you about your business prospects over the next 12 months?</w:t>
      </w:r>
      <w:r>
        <w:t>’ The Territory-wide b</w:t>
      </w:r>
      <w:r w:rsidR="00C858A7">
        <w:t>usiness confidence index was +76</w:t>
      </w:r>
      <w:r w:rsidR="00DA7FD9">
        <w:t xml:space="preserve"> per cent</w:t>
      </w:r>
      <w:r w:rsidR="00073D8A">
        <w:t xml:space="preserve"> for</w:t>
      </w:r>
      <w:r>
        <w:t xml:space="preserve"> the September quarter 2022, </w:t>
      </w:r>
      <w:r w:rsidR="00867C62">
        <w:t xml:space="preserve">a 3 percentage point increase </w:t>
      </w:r>
      <w:r w:rsidR="007509C4">
        <w:t xml:space="preserve">on </w:t>
      </w:r>
      <w:r w:rsidR="00867C62">
        <w:t xml:space="preserve">the previous quarter. </w:t>
      </w:r>
      <w:r w:rsidR="007509C4">
        <w:t>The change reflected a greater share of businesses who were ‘</w:t>
      </w:r>
      <w:r w:rsidR="00867C62">
        <w:t>extremely confident</w:t>
      </w:r>
      <w:r w:rsidR="007509C4">
        <w:t>’</w:t>
      </w:r>
      <w:r w:rsidR="00073D8A">
        <w:t xml:space="preserve"> about their prospects</w:t>
      </w:r>
      <w:r w:rsidR="00867C62">
        <w:t xml:space="preserve"> </w:t>
      </w:r>
      <w:r w:rsidR="00F86A0D">
        <w:t xml:space="preserve">(Figure </w:t>
      </w:r>
      <w:r w:rsidR="00F805D4">
        <w:t>1</w:t>
      </w:r>
      <w:r>
        <w:t>).</w:t>
      </w:r>
    </w:p>
    <w:p w:rsidR="0058290D" w:rsidRDefault="0058290D" w:rsidP="008E7CB1">
      <w:pPr>
        <w:pStyle w:val="Caption"/>
        <w:keepNext/>
        <w:spacing w:after="120"/>
      </w:pPr>
      <w:r>
        <w:t>Table 1: Business confidence index</w:t>
      </w:r>
    </w:p>
    <w:tbl>
      <w:tblPr>
        <w:tblStyle w:val="NTGtable"/>
        <w:tblW w:w="10404" w:type="dxa"/>
        <w:jc w:val="center"/>
        <w:tblLook w:val="04A0" w:firstRow="1" w:lastRow="0" w:firstColumn="1" w:lastColumn="0" w:noHBand="0" w:noVBand="1"/>
      </w:tblPr>
      <w:tblGrid>
        <w:gridCol w:w="2600"/>
        <w:gridCol w:w="2600"/>
        <w:gridCol w:w="2450"/>
        <w:gridCol w:w="152"/>
        <w:gridCol w:w="2602"/>
      </w:tblGrid>
      <w:tr w:rsidR="0058290D" w:rsidRPr="001B03F9" w:rsidTr="00AD1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0" w:type="dxa"/>
            <w:vAlign w:val="bottom"/>
          </w:tcPr>
          <w:p w:rsidR="0058290D" w:rsidRPr="001B03F9" w:rsidRDefault="0058290D" w:rsidP="00026D9E">
            <w:pPr>
              <w:jc w:val="center"/>
              <w:rPr>
                <w:rFonts w:cs="Calibri"/>
                <w:color w:val="FFFFFF" w:themeColor="background1"/>
                <w:sz w:val="20"/>
              </w:rPr>
            </w:pPr>
          </w:p>
        </w:tc>
        <w:tc>
          <w:tcPr>
            <w:tcW w:w="2600" w:type="dxa"/>
            <w:vAlign w:val="center"/>
          </w:tcPr>
          <w:p w:rsidR="0058290D" w:rsidRPr="00AD11BC" w:rsidRDefault="0058290D" w:rsidP="00026D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</w:pPr>
            <w:r w:rsidRPr="00AD11BC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Sep Qtr 2022</w:t>
            </w:r>
          </w:p>
        </w:tc>
        <w:tc>
          <w:tcPr>
            <w:tcW w:w="2450" w:type="dxa"/>
            <w:vAlign w:val="center"/>
          </w:tcPr>
          <w:p w:rsidR="0058290D" w:rsidRPr="00AD11BC" w:rsidRDefault="0058290D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</w:rPr>
            </w:pPr>
            <w:r w:rsidRPr="00AD11BC">
              <w:rPr>
                <w:rFonts w:asciiTheme="minorHAnsi" w:eastAsia="Times New Roman" w:hAnsiTheme="minorHAnsi" w:cs="Calibri"/>
                <w:color w:val="FFFFFF" w:themeColor="background1"/>
              </w:rPr>
              <w:t>Quarterly change</w:t>
            </w:r>
          </w:p>
        </w:tc>
        <w:tc>
          <w:tcPr>
            <w:tcW w:w="2754" w:type="dxa"/>
            <w:gridSpan w:val="2"/>
            <w:vAlign w:val="center"/>
          </w:tcPr>
          <w:p w:rsidR="0058290D" w:rsidRPr="00AD11BC" w:rsidRDefault="0058290D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</w:rPr>
            </w:pPr>
            <w:r w:rsidRPr="00AD11BC">
              <w:rPr>
                <w:rFonts w:asciiTheme="minorHAnsi" w:eastAsia="Times New Roman" w:hAnsiTheme="minorHAnsi" w:cs="Calibri"/>
                <w:color w:val="FFFFFF" w:themeColor="background1"/>
              </w:rPr>
              <w:t>Through the year change</w:t>
            </w:r>
          </w:p>
        </w:tc>
      </w:tr>
      <w:tr w:rsidR="00AD11BC" w:rsidRPr="001B03F9" w:rsidTr="00582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:rsidR="00AD11BC" w:rsidRPr="00AD11BC" w:rsidRDefault="00AD11BC" w:rsidP="00AD11BC">
            <w:pPr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2600" w:type="dxa"/>
            <w:vAlign w:val="bottom"/>
          </w:tcPr>
          <w:p w:rsidR="00AD11BC" w:rsidRPr="00AD11BC" w:rsidRDefault="00AD11BC" w:rsidP="00AD1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81%</w:t>
            </w:r>
          </w:p>
        </w:tc>
        <w:tc>
          <w:tcPr>
            <w:tcW w:w="2602" w:type="dxa"/>
            <w:gridSpan w:val="2"/>
            <w:vAlign w:val="bottom"/>
          </w:tcPr>
          <w:p w:rsidR="00AD11BC" w:rsidRPr="00AD11BC" w:rsidRDefault="00AD11BC" w:rsidP="00AD1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+3ppt</w:t>
            </w:r>
          </w:p>
        </w:tc>
        <w:tc>
          <w:tcPr>
            <w:tcW w:w="2602" w:type="dxa"/>
            <w:vAlign w:val="bottom"/>
          </w:tcPr>
          <w:p w:rsidR="00AD11BC" w:rsidRPr="00AD11BC" w:rsidRDefault="00AD11BC" w:rsidP="00AD1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+2ppt</w:t>
            </w:r>
          </w:p>
        </w:tc>
      </w:tr>
      <w:tr w:rsidR="00AD11BC" w:rsidRPr="001B03F9" w:rsidTr="00582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:rsidR="00AD11BC" w:rsidRPr="00AD11BC" w:rsidRDefault="00AD11BC" w:rsidP="00AD11BC">
            <w:pPr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2600" w:type="dxa"/>
            <w:vAlign w:val="bottom"/>
          </w:tcPr>
          <w:p w:rsidR="00AD11BC" w:rsidRPr="00AD11BC" w:rsidRDefault="00AD11BC" w:rsidP="00AD11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5%</w:t>
            </w:r>
          </w:p>
        </w:tc>
        <w:tc>
          <w:tcPr>
            <w:tcW w:w="2602" w:type="dxa"/>
            <w:gridSpan w:val="2"/>
            <w:vAlign w:val="bottom"/>
          </w:tcPr>
          <w:p w:rsidR="00AD11BC" w:rsidRPr="00AD11BC" w:rsidRDefault="00AD11BC" w:rsidP="00AD11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-1ppt</w:t>
            </w:r>
          </w:p>
        </w:tc>
        <w:tc>
          <w:tcPr>
            <w:tcW w:w="2602" w:type="dxa"/>
            <w:vAlign w:val="bottom"/>
          </w:tcPr>
          <w:p w:rsidR="00AD11BC" w:rsidRPr="00AD11BC" w:rsidRDefault="00AD11BC" w:rsidP="00AD11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-2ppt</w:t>
            </w:r>
          </w:p>
        </w:tc>
      </w:tr>
      <w:tr w:rsidR="00AD11BC" w:rsidRPr="001B03F9" w:rsidTr="00582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:rsidR="00AD11BC" w:rsidRPr="00AD11BC" w:rsidRDefault="00AD11BC" w:rsidP="00AD11BC">
            <w:pPr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2600" w:type="dxa"/>
            <w:vAlign w:val="bottom"/>
          </w:tcPr>
          <w:p w:rsidR="00AD11BC" w:rsidRPr="00AD11BC" w:rsidRDefault="00AD11BC" w:rsidP="00AD1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76%</w:t>
            </w:r>
          </w:p>
        </w:tc>
        <w:tc>
          <w:tcPr>
            <w:tcW w:w="2602" w:type="dxa"/>
            <w:gridSpan w:val="2"/>
            <w:vAlign w:val="bottom"/>
          </w:tcPr>
          <w:p w:rsidR="00AD11BC" w:rsidRPr="00AD11BC" w:rsidRDefault="00AD11BC" w:rsidP="00AD1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+4ppt</w:t>
            </w:r>
          </w:p>
        </w:tc>
        <w:tc>
          <w:tcPr>
            <w:tcW w:w="2602" w:type="dxa"/>
            <w:vAlign w:val="bottom"/>
          </w:tcPr>
          <w:p w:rsidR="00AD11BC" w:rsidRPr="00AD11BC" w:rsidRDefault="00AD11BC" w:rsidP="00AD1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+4ppt</w:t>
            </w:r>
          </w:p>
        </w:tc>
      </w:tr>
    </w:tbl>
    <w:p w:rsidR="0058290D" w:rsidRDefault="00F86A0D" w:rsidP="008E7CB1">
      <w:pPr>
        <w:pStyle w:val="Caption"/>
        <w:keepNext/>
        <w:spacing w:before="120"/>
      </w:pPr>
      <w:r>
        <w:t>Figure 1: Response</w:t>
      </w:r>
      <w:r w:rsidR="00DC5EB5">
        <w:t>s</w:t>
      </w:r>
      <w:r>
        <w:t xml:space="preserve"> to</w:t>
      </w:r>
      <w:r w:rsidR="007509C4">
        <w:t xml:space="preserve"> the</w:t>
      </w:r>
      <w:r>
        <w:t xml:space="preserve"> business confidence </w:t>
      </w:r>
      <w:r w:rsidR="00DC5EB5">
        <w:t>question</w:t>
      </w:r>
      <w:r w:rsidR="00AD11BC">
        <w:t xml:space="preserve"> and change from previous quarter </w:t>
      </w:r>
    </w:p>
    <w:tbl>
      <w:tblPr>
        <w:tblStyle w:val="NTGtable"/>
        <w:tblW w:w="10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452"/>
        <w:gridCol w:w="3452"/>
        <w:gridCol w:w="3452"/>
      </w:tblGrid>
      <w:tr w:rsidR="00EF102E" w:rsidTr="00AD11BC">
        <w:trPr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F83801" w:rsidRDefault="00AD11BC" w:rsidP="0058290D">
            <w:pPr>
              <w:jc w:val="center"/>
            </w:pPr>
            <w:r w:rsidRPr="00AD11BC">
              <w:rPr>
                <w:noProof/>
              </w:rPr>
              <w:drawing>
                <wp:inline distT="0" distB="0" distL="0" distR="0">
                  <wp:extent cx="1454150" cy="133926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90" cy="134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:rsidR="00F83801" w:rsidRDefault="00EF102E" w:rsidP="005829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102E">
              <w:rPr>
                <w:noProof/>
              </w:rPr>
              <w:drawing>
                <wp:inline distT="0" distB="0" distL="0" distR="0">
                  <wp:extent cx="1193800" cy="1384701"/>
                  <wp:effectExtent l="0" t="0" r="635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80" cy="139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:rsidR="00F83801" w:rsidRDefault="00AD11BC" w:rsidP="005829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1BC">
              <w:rPr>
                <w:noProof/>
              </w:rPr>
              <w:drawing>
                <wp:inline distT="0" distB="0" distL="0" distR="0">
                  <wp:extent cx="1431115" cy="1320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640" cy="133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2E" w:rsidTr="00AD11BC">
        <w:trPr>
          <w:trHeight w:val="2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F83801" w:rsidRDefault="00AD11BC" w:rsidP="0058290D">
            <w:pPr>
              <w:jc w:val="center"/>
            </w:pPr>
            <w:r w:rsidRPr="00AD11BC">
              <w:rPr>
                <w:noProof/>
              </w:rPr>
              <w:drawing>
                <wp:inline distT="0" distB="0" distL="0" distR="0">
                  <wp:extent cx="1492250" cy="1377221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296" cy="139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:rsidR="00F83801" w:rsidRDefault="00AD11BC" w:rsidP="005829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1BC">
              <w:rPr>
                <w:noProof/>
              </w:rPr>
              <w:drawing>
                <wp:inline distT="0" distB="0" distL="0" distR="0">
                  <wp:extent cx="1435100" cy="1324477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866" cy="133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:rsidR="00F83801" w:rsidRDefault="00AD11BC" w:rsidP="00AD11BC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1BC">
              <w:rPr>
                <w:noProof/>
              </w:rPr>
              <w:drawing>
                <wp:inline distT="0" distB="0" distL="0" distR="0">
                  <wp:extent cx="1447800" cy="1336198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79" cy="1349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1BC" w:rsidRPr="00663EC8" w:rsidRDefault="00AD11BC">
      <w:pPr>
        <w:pStyle w:val="Caption"/>
        <w:rPr>
          <w:sz w:val="18"/>
        </w:rPr>
      </w:pPr>
      <w:r w:rsidRPr="00663EC8">
        <w:rPr>
          <w:sz w:val="18"/>
        </w:rPr>
        <w:t xml:space="preserve">Note: Individual categories may not add to the net balance figure due to rounding. </w:t>
      </w:r>
    </w:p>
    <w:p w:rsidR="0058290D" w:rsidRDefault="0058290D" w:rsidP="0058290D">
      <w:pPr>
        <w:pStyle w:val="Heading1"/>
      </w:pPr>
      <w:r>
        <w:lastRenderedPageBreak/>
        <w:t>Business confidence remains above long term trend levels</w:t>
      </w:r>
    </w:p>
    <w:p w:rsidR="00F83801" w:rsidRDefault="00DC5EB5" w:rsidP="00F83801">
      <w:r>
        <w:t xml:space="preserve">After falling </w:t>
      </w:r>
      <w:r w:rsidR="00AD11BC">
        <w:t xml:space="preserve">during </w:t>
      </w:r>
      <w:r>
        <w:t>the Omicron outbreak</w:t>
      </w:r>
      <w:r w:rsidR="00AD11BC">
        <w:t xml:space="preserve"> </w:t>
      </w:r>
      <w:r w:rsidR="00663EC8">
        <w:t>(</w:t>
      </w:r>
      <w:r w:rsidR="00AD11BC">
        <w:t>December quarter 2021</w:t>
      </w:r>
      <w:r w:rsidR="00663EC8">
        <w:t>–March quarter 2022)</w:t>
      </w:r>
      <w:r>
        <w:t>, business confidence has recovered over the past two quarters to sit well above pre-pandemic levels (Graph 1). O</w:t>
      </w:r>
      <w:r w:rsidR="00956AE7">
        <w:t xml:space="preserve">ver the year </w:t>
      </w:r>
      <w:r>
        <w:t>to date</w:t>
      </w:r>
      <w:r w:rsidR="00956AE7">
        <w:t xml:space="preserve">, </w:t>
      </w:r>
      <w:r w:rsidR="007509C4">
        <w:t xml:space="preserve">the </w:t>
      </w:r>
      <w:r>
        <w:t xml:space="preserve">average </w:t>
      </w:r>
      <w:r w:rsidR="00956AE7">
        <w:t>business confidence</w:t>
      </w:r>
      <w:r>
        <w:t xml:space="preserve"> level</w:t>
      </w:r>
      <w:r w:rsidR="00956AE7">
        <w:t xml:space="preserve"> </w:t>
      </w:r>
      <w:r w:rsidR="007509C4">
        <w:t>sits</w:t>
      </w:r>
      <w:r w:rsidR="00956AE7">
        <w:t xml:space="preserve"> slightly above </w:t>
      </w:r>
      <w:r w:rsidR="007509C4">
        <w:t xml:space="preserve">the </w:t>
      </w:r>
      <w:r w:rsidR="00956AE7">
        <w:t xml:space="preserve">2021 </w:t>
      </w:r>
      <w:r w:rsidR="007509C4">
        <w:t xml:space="preserve">average </w:t>
      </w:r>
      <w:r w:rsidR="00956AE7">
        <w:t xml:space="preserve">(Graph </w:t>
      </w:r>
      <w:r>
        <w:t>2</w:t>
      </w:r>
      <w:r w:rsidR="00956AE7">
        <w:t xml:space="preserve">). </w:t>
      </w:r>
    </w:p>
    <w:p w:rsidR="00F83801" w:rsidRDefault="00F83801" w:rsidP="00F83801">
      <w:pPr>
        <w:pStyle w:val="Caption"/>
        <w:keepNext/>
        <w:jc w:val="center"/>
      </w:pPr>
      <w:r>
        <w:t xml:space="preserve">Graph </w:t>
      </w:r>
      <w:fldSimple w:instr=" SEQ Graph \* ARABIC ">
        <w:r w:rsidR="00263282">
          <w:rPr>
            <w:noProof/>
          </w:rPr>
          <w:t>1</w:t>
        </w:r>
      </w:fldSimple>
    </w:p>
    <w:p w:rsidR="00F83801" w:rsidRDefault="00AD11BC" w:rsidP="00F83801">
      <w:pPr>
        <w:jc w:val="center"/>
      </w:pPr>
      <w:r w:rsidRPr="00AD11BC">
        <w:rPr>
          <w:noProof/>
          <w:lang w:eastAsia="en-AU"/>
        </w:rPr>
        <w:drawing>
          <wp:inline distT="0" distB="0" distL="0" distR="0">
            <wp:extent cx="4508500" cy="2933462"/>
            <wp:effectExtent l="0" t="0" r="635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991" cy="294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01" w:rsidRDefault="00F83801" w:rsidP="00956AE7">
      <w:pPr>
        <w:pStyle w:val="Caption"/>
        <w:keepNext/>
        <w:jc w:val="center"/>
        <w:rPr>
          <w:noProof/>
        </w:rPr>
      </w:pPr>
      <w:r>
        <w:t xml:space="preserve">Graph </w:t>
      </w:r>
      <w:fldSimple w:instr=" SEQ Graph \* ARABIC ">
        <w:r w:rsidR="00263282">
          <w:rPr>
            <w:noProof/>
          </w:rPr>
          <w:t>2</w:t>
        </w:r>
      </w:fldSimple>
    </w:p>
    <w:p w:rsidR="00DC5EB5" w:rsidRPr="00DC5EB5" w:rsidRDefault="00EF102E" w:rsidP="00DC5EB5">
      <w:pPr>
        <w:jc w:val="center"/>
      </w:pPr>
      <w:r w:rsidRPr="00EF102E">
        <w:rPr>
          <w:noProof/>
          <w:lang w:eastAsia="en-AU"/>
        </w:rPr>
        <w:drawing>
          <wp:inline distT="0" distB="0" distL="0" distR="0">
            <wp:extent cx="4413250" cy="3343046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149" cy="334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D9" w:rsidRDefault="00DA7FD9" w:rsidP="00F83801">
      <w:pPr>
        <w:jc w:val="center"/>
      </w:pPr>
    </w:p>
    <w:p w:rsidR="00F83801" w:rsidRPr="00F83801" w:rsidRDefault="00DA7FD9" w:rsidP="00F83801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Businesses </w:t>
      </w:r>
      <w:r w:rsidR="00F83801">
        <w:rPr>
          <w:lang w:eastAsia="en-AU"/>
        </w:rPr>
        <w:t>performed better this year compared to last year</w:t>
      </w:r>
    </w:p>
    <w:p w:rsidR="00F1601A" w:rsidRDefault="00F1601A" w:rsidP="00F1601A">
      <w:r>
        <w:t>When asked ‘</w:t>
      </w:r>
      <w:r w:rsidRPr="00210689">
        <w:rPr>
          <w:i/>
        </w:rPr>
        <w:t>How is your business performing this year compared to last year?</w:t>
      </w:r>
      <w:r w:rsidR="00DA7FD9">
        <w:t>’ 62</w:t>
      </w:r>
      <w:r>
        <w:t xml:space="preserve"> per cent of businesses responded ‘better’</w:t>
      </w:r>
      <w:r w:rsidR="004D26B0">
        <w:t xml:space="preserve"> in the September quarter 2022</w:t>
      </w:r>
      <w:r>
        <w:t xml:space="preserve">. </w:t>
      </w:r>
      <w:r w:rsidR="00DA7FD9">
        <w:t>This represents a 2 percentage point increase</w:t>
      </w:r>
      <w:r w:rsidR="004D26B0">
        <w:t xml:space="preserve"> from </w:t>
      </w:r>
      <w:r w:rsidR="00D92D9E">
        <w:t xml:space="preserve">the June quarter 2022 (Table </w:t>
      </w:r>
      <w:r w:rsidR="00F805D4">
        <w:t>2</w:t>
      </w:r>
      <w:r w:rsidR="00CF2DDB">
        <w:t>) and remains above</w:t>
      </w:r>
      <w:r w:rsidR="007509C4">
        <w:t xml:space="preserve"> the</w:t>
      </w:r>
      <w:r w:rsidR="000B7FF7">
        <w:t xml:space="preserve"> long term</w:t>
      </w:r>
      <w:r w:rsidR="00CF2DDB">
        <w:t xml:space="preserve"> </w:t>
      </w:r>
      <w:r w:rsidR="007509C4">
        <w:t>average</w:t>
      </w:r>
      <w:r w:rsidR="00CF2DDB">
        <w:t>.</w:t>
      </w:r>
    </w:p>
    <w:p w:rsidR="00DA7FD9" w:rsidRDefault="00DA7FD9" w:rsidP="00DA7FD9">
      <w:pPr>
        <w:pStyle w:val="Caption"/>
        <w:keepNext/>
      </w:pPr>
      <w:r>
        <w:t xml:space="preserve">Table 2: Business performance </w:t>
      </w:r>
      <w:r w:rsidR="00663EC8">
        <w:t>compared to last year</w:t>
      </w:r>
    </w:p>
    <w:tbl>
      <w:tblPr>
        <w:tblStyle w:val="NTGtable"/>
        <w:tblW w:w="10354" w:type="dxa"/>
        <w:tblLook w:val="04A0" w:firstRow="1" w:lastRow="0" w:firstColumn="1" w:lastColumn="0" w:noHBand="0" w:noVBand="1"/>
      </w:tblPr>
      <w:tblGrid>
        <w:gridCol w:w="2588"/>
        <w:gridCol w:w="2588"/>
        <w:gridCol w:w="2589"/>
        <w:gridCol w:w="2589"/>
      </w:tblGrid>
      <w:tr w:rsidR="00DA7FD9" w:rsidTr="00026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8" w:type="dxa"/>
          </w:tcPr>
          <w:p w:rsidR="00DA7FD9" w:rsidRDefault="00DA7FD9" w:rsidP="00026D9E"/>
        </w:tc>
        <w:tc>
          <w:tcPr>
            <w:tcW w:w="2588" w:type="dxa"/>
            <w:vAlign w:val="center"/>
          </w:tcPr>
          <w:p w:rsidR="00DA7FD9" w:rsidRPr="00E03E5D" w:rsidRDefault="00DA7FD9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Sep Qtr 2022</w:t>
            </w:r>
          </w:p>
        </w:tc>
        <w:tc>
          <w:tcPr>
            <w:tcW w:w="2589" w:type="dxa"/>
            <w:vAlign w:val="center"/>
          </w:tcPr>
          <w:p w:rsidR="00DA7FD9" w:rsidRPr="00E03E5D" w:rsidRDefault="00DA7FD9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Quarterly change</w:t>
            </w:r>
          </w:p>
        </w:tc>
        <w:tc>
          <w:tcPr>
            <w:tcW w:w="2589" w:type="dxa"/>
            <w:vAlign w:val="center"/>
          </w:tcPr>
          <w:p w:rsidR="00DA7FD9" w:rsidRPr="00E03E5D" w:rsidRDefault="00DA7FD9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Through the year change</w:t>
            </w:r>
          </w:p>
        </w:tc>
      </w:tr>
      <w:tr w:rsidR="00DA7FD9" w:rsidTr="0002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:rsidR="00DA7FD9" w:rsidRDefault="00DA7FD9" w:rsidP="00026D9E">
            <w:r>
              <w:t>Better</w:t>
            </w:r>
          </w:p>
        </w:tc>
        <w:tc>
          <w:tcPr>
            <w:tcW w:w="2588" w:type="dxa"/>
            <w:vAlign w:val="bottom"/>
          </w:tcPr>
          <w:p w:rsidR="00DA7FD9" w:rsidRPr="000A7A5C" w:rsidRDefault="00DA7FD9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62%</w:t>
            </w:r>
          </w:p>
        </w:tc>
        <w:tc>
          <w:tcPr>
            <w:tcW w:w="2589" w:type="dxa"/>
            <w:vAlign w:val="bottom"/>
          </w:tcPr>
          <w:p w:rsidR="00DA7FD9" w:rsidRPr="000A7A5C" w:rsidRDefault="00DA7FD9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2ppt</w:t>
            </w:r>
          </w:p>
        </w:tc>
        <w:tc>
          <w:tcPr>
            <w:tcW w:w="2589" w:type="dxa"/>
            <w:vAlign w:val="bottom"/>
          </w:tcPr>
          <w:p w:rsidR="00DA7FD9" w:rsidRPr="000A7A5C" w:rsidRDefault="00DA7FD9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-3ppt</w:t>
            </w:r>
          </w:p>
        </w:tc>
      </w:tr>
      <w:tr w:rsidR="00DA7FD9" w:rsidTr="00026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:rsidR="00DA7FD9" w:rsidRDefault="00DA7FD9" w:rsidP="00026D9E">
            <w:r>
              <w:t>Same</w:t>
            </w:r>
          </w:p>
        </w:tc>
        <w:tc>
          <w:tcPr>
            <w:tcW w:w="2588" w:type="dxa"/>
            <w:vAlign w:val="bottom"/>
          </w:tcPr>
          <w:p w:rsidR="00DA7FD9" w:rsidRPr="000A7A5C" w:rsidRDefault="00DA7FD9" w:rsidP="00026D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30%</w:t>
            </w:r>
          </w:p>
        </w:tc>
        <w:tc>
          <w:tcPr>
            <w:tcW w:w="2589" w:type="dxa"/>
            <w:vAlign w:val="bottom"/>
          </w:tcPr>
          <w:p w:rsidR="00DA7FD9" w:rsidRPr="000A7A5C" w:rsidRDefault="00DA7FD9" w:rsidP="00026D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2ppt</w:t>
            </w:r>
          </w:p>
        </w:tc>
        <w:tc>
          <w:tcPr>
            <w:tcW w:w="2589" w:type="dxa"/>
            <w:vAlign w:val="bottom"/>
          </w:tcPr>
          <w:p w:rsidR="00DA7FD9" w:rsidRPr="000A7A5C" w:rsidRDefault="00DA7FD9" w:rsidP="00026D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7ppt</w:t>
            </w:r>
          </w:p>
        </w:tc>
      </w:tr>
      <w:tr w:rsidR="00DA7FD9" w:rsidTr="0002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:rsidR="00DA7FD9" w:rsidRDefault="00DA7FD9" w:rsidP="00026D9E">
            <w:r>
              <w:t>Worse</w:t>
            </w:r>
          </w:p>
        </w:tc>
        <w:tc>
          <w:tcPr>
            <w:tcW w:w="2588" w:type="dxa"/>
            <w:vAlign w:val="bottom"/>
          </w:tcPr>
          <w:p w:rsidR="00DA7FD9" w:rsidRPr="000A7A5C" w:rsidRDefault="00DA7FD9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7%</w:t>
            </w:r>
          </w:p>
        </w:tc>
        <w:tc>
          <w:tcPr>
            <w:tcW w:w="2589" w:type="dxa"/>
            <w:vAlign w:val="bottom"/>
          </w:tcPr>
          <w:p w:rsidR="00DA7FD9" w:rsidRPr="000A7A5C" w:rsidRDefault="00DA7FD9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-4ppt</w:t>
            </w:r>
          </w:p>
        </w:tc>
        <w:tc>
          <w:tcPr>
            <w:tcW w:w="2589" w:type="dxa"/>
            <w:vAlign w:val="bottom"/>
          </w:tcPr>
          <w:p w:rsidR="00DA7FD9" w:rsidRPr="000A7A5C" w:rsidRDefault="00DA7FD9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-3ppt</w:t>
            </w:r>
          </w:p>
        </w:tc>
      </w:tr>
    </w:tbl>
    <w:p w:rsidR="007509C4" w:rsidRDefault="007509C4" w:rsidP="009F5C54">
      <w:pPr>
        <w:pStyle w:val="Caption"/>
        <w:keepNext/>
        <w:spacing w:before="120"/>
      </w:pPr>
      <w:r>
        <w:t>Figure 2: Responses to the business performance question</w:t>
      </w:r>
      <w:r w:rsidR="000B7FF7">
        <w:t xml:space="preserve"> and quarterly change </w:t>
      </w:r>
    </w:p>
    <w:tbl>
      <w:tblPr>
        <w:tblStyle w:val="NTGtab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35"/>
        <w:gridCol w:w="3407"/>
        <w:gridCol w:w="3476"/>
      </w:tblGrid>
      <w:tr w:rsidR="000B7FF7" w:rsidTr="0066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:rsidR="00F1601A" w:rsidRDefault="000B7FF7" w:rsidP="00F1601A">
            <w:pPr>
              <w:jc w:val="center"/>
            </w:pPr>
            <w:r w:rsidRPr="000B7FF7">
              <w:rPr>
                <w:noProof/>
              </w:rPr>
              <w:drawing>
                <wp:inline distT="0" distB="0" distL="0" distR="0">
                  <wp:extent cx="2147446" cy="1657350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012" cy="166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:rsidR="00F1601A" w:rsidRDefault="000B7FF7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7FF7">
              <w:rPr>
                <w:noProof/>
              </w:rPr>
              <w:drawing>
                <wp:inline distT="0" distB="0" distL="0" distR="0">
                  <wp:extent cx="2130991" cy="1644650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50" cy="165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:rsidR="00F1601A" w:rsidRDefault="000B7FF7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7FF7">
              <w:rPr>
                <w:noProof/>
              </w:rPr>
              <w:drawing>
                <wp:inline distT="0" distB="0" distL="0" distR="0">
                  <wp:extent cx="2180357" cy="16827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739" cy="168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3EC8" w:rsidRPr="00663EC8" w:rsidRDefault="00663EC8" w:rsidP="00663EC8">
      <w:pPr>
        <w:pStyle w:val="Caption"/>
        <w:rPr>
          <w:sz w:val="18"/>
        </w:rPr>
      </w:pPr>
      <w:r w:rsidRPr="00663EC8">
        <w:rPr>
          <w:sz w:val="18"/>
        </w:rPr>
        <w:t xml:space="preserve">Note: Individual categories may not </w:t>
      </w:r>
      <w:r>
        <w:rPr>
          <w:sz w:val="18"/>
        </w:rPr>
        <w:t>sum to 100</w:t>
      </w:r>
      <w:r w:rsidRPr="00663EC8">
        <w:rPr>
          <w:sz w:val="18"/>
        </w:rPr>
        <w:t xml:space="preserve"> due to rounding. </w:t>
      </w:r>
    </w:p>
    <w:p w:rsidR="00DA7FD9" w:rsidRDefault="00DA7FD9" w:rsidP="00DA7FD9">
      <w:r>
        <w:t>Further, the number of businesses stating</w:t>
      </w:r>
      <w:r w:rsidR="007509C4">
        <w:t xml:space="preserve"> that</w:t>
      </w:r>
      <w:r>
        <w:t xml:space="preserve"> their performance</w:t>
      </w:r>
      <w:r w:rsidR="00DC5EB5">
        <w:t xml:space="preserve"> this year </w:t>
      </w:r>
      <w:r w:rsidR="007509C4">
        <w:t>has been</w:t>
      </w:r>
      <w:r w:rsidR="00DC5EB5">
        <w:t xml:space="preserve"> worse than last year</w:t>
      </w:r>
      <w:r>
        <w:t xml:space="preserve"> </w:t>
      </w:r>
      <w:r w:rsidR="00DC5EB5">
        <w:t xml:space="preserve">decreased </w:t>
      </w:r>
      <w:r>
        <w:t xml:space="preserve">by 4 percentage points </w:t>
      </w:r>
      <w:r w:rsidR="003C29F6">
        <w:t>to its lowest recorded level</w:t>
      </w:r>
      <w:r w:rsidR="00CF2DDB">
        <w:t xml:space="preserve"> (Graph 3)</w:t>
      </w:r>
      <w:r>
        <w:t xml:space="preserve">. </w:t>
      </w:r>
      <w:r>
        <w:rPr>
          <w:noProof/>
          <w:lang w:eastAsia="en-AU"/>
        </w:rPr>
        <w:t xml:space="preserve"> </w:t>
      </w:r>
    </w:p>
    <w:p w:rsidR="00F83801" w:rsidRDefault="00F83801" w:rsidP="00F83801">
      <w:pPr>
        <w:pStyle w:val="Caption"/>
        <w:keepNext/>
        <w:jc w:val="center"/>
      </w:pPr>
      <w:r>
        <w:t xml:space="preserve">Graph </w:t>
      </w:r>
      <w:fldSimple w:instr=" SEQ Graph \* ARABIC ">
        <w:r w:rsidR="00263282">
          <w:rPr>
            <w:noProof/>
          </w:rPr>
          <w:t>3</w:t>
        </w:r>
      </w:fldSimple>
    </w:p>
    <w:p w:rsidR="00F83801" w:rsidRDefault="000B7FF7" w:rsidP="00F83801">
      <w:pPr>
        <w:jc w:val="center"/>
      </w:pPr>
      <w:r w:rsidRPr="000B7FF7">
        <w:rPr>
          <w:noProof/>
          <w:lang w:eastAsia="en-AU"/>
        </w:rPr>
        <w:drawing>
          <wp:inline distT="0" distB="0" distL="0" distR="0">
            <wp:extent cx="4851400" cy="3138212"/>
            <wp:effectExtent l="0" t="0" r="635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861" cy="31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02" w:rsidRDefault="003628E2" w:rsidP="00795C02">
      <w:pPr>
        <w:pStyle w:val="Heading1"/>
      </w:pPr>
      <w:r>
        <w:lastRenderedPageBreak/>
        <w:t>Conf</w:t>
      </w:r>
      <w:r w:rsidR="00A10AF4">
        <w:t>idence was</w:t>
      </w:r>
      <w:r>
        <w:t xml:space="preserve"> </w:t>
      </w:r>
      <w:r w:rsidR="00DA3594">
        <w:t>driven by strong customer relations and business opportunities</w:t>
      </w:r>
      <w:r w:rsidR="00D23559">
        <w:t>…</w:t>
      </w:r>
      <w:r w:rsidR="00DA3594">
        <w:t xml:space="preserve">  </w:t>
      </w:r>
      <w:r w:rsidR="00795C02">
        <w:t xml:space="preserve">  </w:t>
      </w:r>
    </w:p>
    <w:p w:rsidR="00026D9E" w:rsidRDefault="00E25168" w:rsidP="00DA3594">
      <w:r>
        <w:t>The most commonly cited</w:t>
      </w:r>
      <w:r w:rsidR="00795C02">
        <w:t xml:space="preserve"> reason</w:t>
      </w:r>
      <w:r w:rsidR="003C29F6">
        <w:t>s</w:t>
      </w:r>
      <w:r w:rsidR="00795C02">
        <w:t xml:space="preserve"> for business confidence </w:t>
      </w:r>
      <w:r w:rsidR="003C29F6">
        <w:t xml:space="preserve">were </w:t>
      </w:r>
      <w:r w:rsidR="00795C02">
        <w:t>‘strong customer relations’</w:t>
      </w:r>
      <w:r w:rsidR="003C29F6">
        <w:t>,</w:t>
      </w:r>
      <w:r w:rsidR="00795C02">
        <w:t xml:space="preserve"> </w:t>
      </w:r>
      <w:r w:rsidR="00DA3594">
        <w:t xml:space="preserve">‘business opportunity’ and </w:t>
      </w:r>
      <w:r w:rsidR="00CF2DDB">
        <w:t xml:space="preserve">a </w:t>
      </w:r>
      <w:r w:rsidR="00DA3594">
        <w:t>‘</w:t>
      </w:r>
      <w:r w:rsidR="002C095F">
        <w:t>strong market position’ (Graph 5</w:t>
      </w:r>
      <w:r w:rsidR="00DA3594">
        <w:t xml:space="preserve">). </w:t>
      </w:r>
      <w:r w:rsidR="00437A29">
        <w:t>There was a slight increase in the number of businesses reporting ‘favourable business environment’ as a reason for confidence this quarter.</w:t>
      </w:r>
    </w:p>
    <w:p w:rsidR="00026D9E" w:rsidRDefault="00026D9E" w:rsidP="00026D9E">
      <w:pPr>
        <w:pStyle w:val="Caption"/>
        <w:keepNext/>
        <w:jc w:val="center"/>
      </w:pPr>
      <w:r>
        <w:t>Graph 5</w:t>
      </w:r>
    </w:p>
    <w:p w:rsidR="00F11563" w:rsidRDefault="000B7FF7" w:rsidP="00026D9E">
      <w:pPr>
        <w:jc w:val="center"/>
      </w:pPr>
      <w:r w:rsidRPr="000B7FF7">
        <w:rPr>
          <w:noProof/>
          <w:lang w:eastAsia="en-AU"/>
        </w:rPr>
        <w:drawing>
          <wp:inline distT="0" distB="0" distL="0" distR="0">
            <wp:extent cx="3524250" cy="272956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252" cy="273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63" w:rsidRDefault="00A92A30" w:rsidP="00F11563">
      <w:r>
        <w:t>Business conditions in the Territory have</w:t>
      </w:r>
      <w:r w:rsidR="00F11563">
        <w:t xml:space="preserve"> been supported by strong increases in overall demand </w:t>
      </w:r>
      <w:r>
        <w:t xml:space="preserve">over the past year </w:t>
      </w:r>
      <w:r w:rsidR="00F11563">
        <w:t xml:space="preserve">(Graph 6). </w:t>
      </w:r>
      <w:r>
        <w:t xml:space="preserve">Economic activity in the Territory has </w:t>
      </w:r>
      <w:r w:rsidR="003C29F6">
        <w:t xml:space="preserve">grown strongly </w:t>
      </w:r>
      <w:r>
        <w:t xml:space="preserve">and </w:t>
      </w:r>
      <w:r w:rsidR="00FF4C6C">
        <w:t xml:space="preserve">business </w:t>
      </w:r>
      <w:r>
        <w:t>sales revenue is at record levels</w:t>
      </w:r>
      <w:r w:rsidR="00026D9E">
        <w:t xml:space="preserve"> (Graph 7)</w:t>
      </w:r>
      <w:r>
        <w:t xml:space="preserve">. </w:t>
      </w:r>
      <w:r w:rsidR="003C29F6">
        <w:t xml:space="preserve">Reflecting these strong </w:t>
      </w:r>
      <w:r w:rsidR="007509C4">
        <w:t xml:space="preserve">economic </w:t>
      </w:r>
      <w:r w:rsidR="003C29F6">
        <w:t>outcomes, 16 per cent of businesses cited ‘strong local economy’ as a reason for confidence, while only 1 per cent of businesses reported ‘weak local economy’ as a reason for being worried.</w:t>
      </w:r>
    </w:p>
    <w:p w:rsidR="00E1221E" w:rsidRDefault="00E1221E" w:rsidP="00E1221E">
      <w:r>
        <w:t xml:space="preserve">There was a slight increase in the proportion of businesses citing ‘increased public works’ as a reason for confidence this quarter when compared to this time last year. </w:t>
      </w:r>
    </w:p>
    <w:tbl>
      <w:tblPr>
        <w:tblStyle w:val="NTGtable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214"/>
        <w:gridCol w:w="5214"/>
      </w:tblGrid>
      <w:tr w:rsidR="00E1221E" w:rsidTr="00E12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4" w:type="dxa"/>
          </w:tcPr>
          <w:p w:rsidR="00E1221E" w:rsidRDefault="00E1221E" w:rsidP="00E1221E">
            <w:pPr>
              <w:pStyle w:val="Caption"/>
              <w:keepNext/>
              <w:jc w:val="center"/>
            </w:pPr>
            <w:r>
              <w:t xml:space="preserve">Graph </w:t>
            </w:r>
            <w:fldSimple w:instr=" SEQ Graph \* ARABIC ">
              <w:r w:rsidR="00263282">
                <w:rPr>
                  <w:noProof/>
                </w:rPr>
                <w:t>4</w:t>
              </w:r>
            </w:fldSimple>
          </w:p>
          <w:p w:rsidR="00E1221E" w:rsidRDefault="00E1221E" w:rsidP="00E1221E">
            <w:pPr>
              <w:jc w:val="center"/>
            </w:pPr>
            <w:r w:rsidRPr="00E1221E">
              <w:rPr>
                <w:noProof/>
              </w:rPr>
              <w:drawing>
                <wp:inline distT="0" distB="0" distL="0" distR="0">
                  <wp:extent cx="3022600" cy="2330450"/>
                  <wp:effectExtent l="0" t="0" r="635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630" cy="234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4" w:type="dxa"/>
          </w:tcPr>
          <w:p w:rsidR="00E1221E" w:rsidRDefault="00E1221E" w:rsidP="00E1221E">
            <w:pPr>
              <w:pStyle w:val="Caption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Graph </w:t>
            </w:r>
            <w:fldSimple w:instr=" SEQ Graph \* ARABIC ">
              <w:r w:rsidR="00263282">
                <w:rPr>
                  <w:noProof/>
                </w:rPr>
                <w:t>5</w:t>
              </w:r>
            </w:fldSimple>
          </w:p>
          <w:p w:rsidR="00E1221E" w:rsidRDefault="00E1221E" w:rsidP="00E122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221E">
              <w:rPr>
                <w:noProof/>
              </w:rPr>
              <w:drawing>
                <wp:inline distT="0" distB="0" distL="0" distR="0">
                  <wp:extent cx="2990215" cy="2330450"/>
                  <wp:effectExtent l="0" t="0" r="63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377" cy="235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21E" w:rsidRDefault="00E1221E" w:rsidP="00E1221E"/>
    <w:p w:rsidR="0074744B" w:rsidRDefault="00D23559" w:rsidP="00D23559">
      <w:pPr>
        <w:pStyle w:val="Heading1"/>
      </w:pPr>
      <w:r>
        <w:lastRenderedPageBreak/>
        <w:t>…</w:t>
      </w:r>
      <w:r w:rsidR="003C29F6">
        <w:t xml:space="preserve">but </w:t>
      </w:r>
      <w:r w:rsidR="00210689">
        <w:t>businesses were</w:t>
      </w:r>
      <w:r w:rsidR="003628E2">
        <w:t xml:space="preserve"> concerned</w:t>
      </w:r>
      <w:r>
        <w:t xml:space="preserve"> about filling vacancies</w:t>
      </w:r>
      <w:r w:rsidR="00786BD8">
        <w:t xml:space="preserve"> and rising costs</w:t>
      </w:r>
      <w:r>
        <w:t xml:space="preserve"> </w:t>
      </w:r>
    </w:p>
    <w:p w:rsidR="003426E5" w:rsidRDefault="00AE3159" w:rsidP="00196A54">
      <w:r>
        <w:t xml:space="preserve">As in recent quarters, businesses were most likely to cite ‘lack of suitably skilled workers’ as a reason to be worried (Graph 8). </w:t>
      </w:r>
      <w:r w:rsidR="00D23559">
        <w:t>The</w:t>
      </w:r>
      <w:r w:rsidR="005E5B3F">
        <w:t xml:space="preserve">re are </w:t>
      </w:r>
      <w:r w:rsidR="00786BD8">
        <w:t xml:space="preserve">currently more job vacancies in the Territory than there </w:t>
      </w:r>
      <w:r w:rsidR="00026D9E">
        <w:t xml:space="preserve">are unemployed people </w:t>
      </w:r>
      <w:r>
        <w:t>and</w:t>
      </w:r>
      <w:r w:rsidR="00A92A30">
        <w:t xml:space="preserve"> T</w:t>
      </w:r>
      <w:r w:rsidR="00786BD8">
        <w:t>erritory businesses are struggling to fill these positions</w:t>
      </w:r>
      <w:r w:rsidR="00663EC8">
        <w:t xml:space="preserve"> (Graph 9)</w:t>
      </w:r>
      <w:r w:rsidR="000C36BB">
        <w:t xml:space="preserve">. </w:t>
      </w:r>
    </w:p>
    <w:p w:rsidR="00026D9E" w:rsidRDefault="00026D9E" w:rsidP="00026D9E">
      <w:pPr>
        <w:pStyle w:val="Caption"/>
        <w:keepNext/>
        <w:jc w:val="center"/>
      </w:pPr>
      <w:r>
        <w:t>Graph 8</w:t>
      </w:r>
    </w:p>
    <w:p w:rsidR="003426E5" w:rsidRDefault="00E1221E" w:rsidP="00026D9E">
      <w:pPr>
        <w:jc w:val="center"/>
      </w:pPr>
      <w:r w:rsidRPr="00E1221E">
        <w:rPr>
          <w:noProof/>
          <w:lang w:eastAsia="en-AU"/>
        </w:rPr>
        <w:drawing>
          <wp:inline distT="0" distB="0" distL="0" distR="0">
            <wp:extent cx="3486150" cy="2550529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872" cy="25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AC" w:rsidRDefault="00AE3159" w:rsidP="00795C02">
      <w:r>
        <w:t>The share of businesses reporting</w:t>
      </w:r>
      <w:r w:rsidR="008E7CB1">
        <w:t xml:space="preserve"> ‘increasing business costs’</w:t>
      </w:r>
      <w:r>
        <w:t xml:space="preserve"> as a rea</w:t>
      </w:r>
      <w:r w:rsidR="00663EC8">
        <w:t>son to be worried declined by 2 </w:t>
      </w:r>
      <w:r>
        <w:t>percentage points this quarter, but remains the second most commonly cited concern for businesses</w:t>
      </w:r>
      <w:r w:rsidR="008E7CB1">
        <w:t>.</w:t>
      </w:r>
      <w:r>
        <w:t xml:space="preserve"> Input price inflation has been high and broad-based throughout 2022</w:t>
      </w:r>
      <w:r w:rsidR="00172681">
        <w:t xml:space="preserve">, increasing the </w:t>
      </w:r>
      <w:r w:rsidR="000F6C12">
        <w:t>cost</w:t>
      </w:r>
      <w:r w:rsidR="00172681">
        <w:t xml:space="preserve"> </w:t>
      </w:r>
      <w:r w:rsidR="000F6C12">
        <w:t xml:space="preserve">of doing business. </w:t>
      </w:r>
      <w:r>
        <w:t>Although strong price growth is yet to subside, hig</w:t>
      </w:r>
      <w:r w:rsidR="00E1221E">
        <w:t>h consumer price inflation suggests</w:t>
      </w:r>
      <w:r>
        <w:t xml:space="preserve"> that many businesses have been able to pass on input price increases to consumers (Graph 10). </w:t>
      </w:r>
      <w:r w:rsidR="009C009A">
        <w:t xml:space="preserve">Further, </w:t>
      </w:r>
      <w:r w:rsidR="00172681">
        <w:t xml:space="preserve">increasing interest rates may be providing businesses with some confidence </w:t>
      </w:r>
      <w:r>
        <w:t xml:space="preserve">that </w:t>
      </w:r>
      <w:r w:rsidR="009C009A">
        <w:t>inflationary pressures</w:t>
      </w:r>
      <w:r>
        <w:t xml:space="preserve"> will dissipate</w:t>
      </w:r>
      <w:r w:rsidR="00172681">
        <w:t xml:space="preserve"> in the future.</w:t>
      </w:r>
    </w:p>
    <w:tbl>
      <w:tblPr>
        <w:tblStyle w:val="NTG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154"/>
        <w:gridCol w:w="5154"/>
      </w:tblGrid>
      <w:tr w:rsidR="00026D9E" w:rsidTr="0002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:rsidR="00026D9E" w:rsidRDefault="00026D9E" w:rsidP="00026D9E">
            <w:pPr>
              <w:pStyle w:val="Caption"/>
              <w:keepNext/>
              <w:jc w:val="center"/>
            </w:pPr>
            <w:r>
              <w:t>Graph 9</w:t>
            </w:r>
          </w:p>
          <w:p w:rsidR="00026D9E" w:rsidRDefault="00B341F0" w:rsidP="00795C02">
            <w:r w:rsidRPr="00B341F0">
              <w:rPr>
                <w:noProof/>
              </w:rPr>
              <w:drawing>
                <wp:inline distT="0" distB="0" distL="0" distR="0">
                  <wp:extent cx="2841585" cy="2238043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920" cy="224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:rsidR="00026D9E" w:rsidRDefault="00026D9E" w:rsidP="00026D9E">
            <w:pPr>
              <w:pStyle w:val="Caption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Graph 10</w:t>
            </w:r>
          </w:p>
          <w:p w:rsidR="00026D9E" w:rsidRDefault="00B341F0" w:rsidP="0079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1F0">
              <w:rPr>
                <w:noProof/>
              </w:rPr>
              <w:drawing>
                <wp:inline distT="0" distB="0" distL="0" distR="0">
                  <wp:extent cx="2916820" cy="2290684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051" cy="230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4F2" w:rsidRDefault="00AA64F2" w:rsidP="00AE7254"/>
    <w:p w:rsidR="00795C02" w:rsidRDefault="00B50ACE" w:rsidP="003310BE">
      <w:pPr>
        <w:pStyle w:val="Heading1"/>
      </w:pPr>
      <w:r>
        <w:lastRenderedPageBreak/>
        <w:t>B</w:t>
      </w:r>
      <w:r w:rsidR="003310BE">
        <w:t xml:space="preserve">usiness </w:t>
      </w:r>
      <w:r w:rsidR="00F22CCC">
        <w:t>confi</w:t>
      </w:r>
      <w:r w:rsidR="003310BE">
        <w:t xml:space="preserve">dence </w:t>
      </w:r>
      <w:r w:rsidR="00F22CCC">
        <w:t xml:space="preserve">and performance </w:t>
      </w:r>
      <w:r w:rsidR="003310BE">
        <w:t xml:space="preserve">varied among the regions </w:t>
      </w:r>
    </w:p>
    <w:p w:rsidR="00B56C28" w:rsidRDefault="00B56C28" w:rsidP="00F22CCC">
      <w:r>
        <w:t>Business confidence and performance varied among the regions</w:t>
      </w:r>
      <w:r w:rsidR="002F6C4D">
        <w:t xml:space="preserve"> (Table 3</w:t>
      </w:r>
      <w:r w:rsidR="003875FC">
        <w:t>)</w:t>
      </w:r>
      <w:r>
        <w:t>. Business confidence was highest in East Arnhem this quarter with a net balance of +86 per</w:t>
      </w:r>
      <w:r w:rsidR="003875FC">
        <w:t xml:space="preserve"> </w:t>
      </w:r>
      <w:r>
        <w:t>cent, a 12 percentage point increase</w:t>
      </w:r>
      <w:r w:rsidR="003875FC">
        <w:t xml:space="preserve"> from last quarter</w:t>
      </w:r>
      <w:r>
        <w:t xml:space="preserve">. Despite this increase in confidence, </w:t>
      </w:r>
      <w:r w:rsidR="003875FC">
        <w:t>East Arnhem recorded the lowest result for business performance with only 25 per cent of businesses feeling better about their performance this year</w:t>
      </w:r>
      <w:r w:rsidR="003C29F6">
        <w:t xml:space="preserve"> relative to last year</w:t>
      </w:r>
      <w:r w:rsidR="003875FC">
        <w:t xml:space="preserve">. </w:t>
      </w:r>
    </w:p>
    <w:p w:rsidR="003875FC" w:rsidRDefault="003875FC" w:rsidP="00F22CCC">
      <w:r>
        <w:t>Business performance was highest in Katherine with 80 per cent of businesses stating their performance was better this year, this represents a 40 percentage point increase from the previous quarter. Business confidence also improved in Katherine this quarter with a net balance of +77 per cent of businesses feeling confident about the future, inc</w:t>
      </w:r>
      <w:r w:rsidR="007D0D7A">
        <w:t xml:space="preserve">reasing by 6 percentage points from the previous quarter. </w:t>
      </w:r>
    </w:p>
    <w:p w:rsidR="00F22CCC" w:rsidRPr="003B7212" w:rsidRDefault="002F6C4D" w:rsidP="00F22CCC">
      <w:pPr>
        <w:pStyle w:val="Caption"/>
        <w:keepNext/>
      </w:pPr>
      <w:r>
        <w:t>Table 3</w:t>
      </w:r>
      <w:r w:rsidR="00314ED4">
        <w:t xml:space="preserve">: Business confidence and performance by region </w:t>
      </w:r>
      <w:r w:rsidR="007978DE">
        <w:t xml:space="preserve"> </w:t>
      </w:r>
    </w:p>
    <w:tbl>
      <w:tblPr>
        <w:tblStyle w:val="NTGtable"/>
        <w:tblW w:w="10004" w:type="dxa"/>
        <w:tblLook w:val="06A0" w:firstRow="1" w:lastRow="0" w:firstColumn="1" w:lastColumn="0" w:noHBand="1" w:noVBand="1"/>
      </w:tblPr>
      <w:tblGrid>
        <w:gridCol w:w="1413"/>
        <w:gridCol w:w="992"/>
        <w:gridCol w:w="1164"/>
        <w:gridCol w:w="1529"/>
        <w:gridCol w:w="284"/>
        <w:gridCol w:w="992"/>
        <w:gridCol w:w="992"/>
        <w:gridCol w:w="1164"/>
        <w:gridCol w:w="1474"/>
      </w:tblGrid>
      <w:tr w:rsidR="00103546" w:rsidRPr="00103546" w:rsidTr="002D3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98" w:type="dxa"/>
            <w:gridSpan w:val="4"/>
            <w:tcBorders>
              <w:right w:val="nil"/>
            </w:tcBorders>
            <w:noWrap/>
          </w:tcPr>
          <w:p w:rsidR="00103546" w:rsidRPr="00103546" w:rsidRDefault="00103546" w:rsidP="00103546">
            <w:pPr>
              <w:spacing w:after="0"/>
              <w:jc w:val="center"/>
              <w:rPr>
                <w:rFonts w:asciiTheme="minorHAnsi" w:eastAsia="Times New Roman" w:hAnsiTheme="minorHAnsi" w:cs="Calibri"/>
                <w:color w:val="FFFFFF" w:themeColor="background1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FFFFFF" w:themeColor="background1"/>
                <w:szCs w:val="22"/>
              </w:rPr>
              <w:t>Business Confidence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03546" w:rsidRPr="00103546" w:rsidRDefault="00103546" w:rsidP="0010354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color w:val="FFFFFF" w:themeColor="background1"/>
                <w:szCs w:val="22"/>
              </w:rPr>
            </w:pPr>
          </w:p>
        </w:tc>
        <w:tc>
          <w:tcPr>
            <w:tcW w:w="4622" w:type="dxa"/>
            <w:gridSpan w:val="4"/>
            <w:tcBorders>
              <w:left w:val="nil"/>
            </w:tcBorders>
          </w:tcPr>
          <w:p w:rsidR="00103546" w:rsidRPr="00103546" w:rsidRDefault="00103546" w:rsidP="001035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FFFFFF" w:themeColor="background1"/>
                <w:szCs w:val="22"/>
              </w:rPr>
              <w:t>Business Performance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  <w:noWrap/>
            <w:hideMark/>
          </w:tcPr>
          <w:p w:rsidR="00103546" w:rsidRPr="00103546" w:rsidRDefault="00103546" w:rsidP="00103546">
            <w:pPr>
              <w:spacing w:after="0"/>
              <w:rPr>
                <w:rFonts w:asciiTheme="minorHAnsi" w:eastAsia="Times New Roman" w:hAnsiTheme="minorHAnsi" w:cs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Sep Qtr 2022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Quarterly change</w:t>
            </w:r>
          </w:p>
        </w:tc>
        <w:tc>
          <w:tcPr>
            <w:tcW w:w="1529" w:type="dxa"/>
            <w:tcBorders>
              <w:bottom w:val="nil"/>
            </w:tcBorders>
            <w:shd w:val="clear" w:color="auto" w:fill="FFFFFF" w:themeFill="background1"/>
            <w:noWrap/>
            <w:hideMark/>
          </w:tcPr>
          <w:p w:rsidR="00103546" w:rsidRPr="00103546" w:rsidRDefault="00103546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Through the year change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03546" w:rsidRPr="00103546" w:rsidRDefault="00103546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Sep Qtr 2022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Quarterly change</w:t>
            </w:r>
          </w:p>
        </w:tc>
        <w:tc>
          <w:tcPr>
            <w:tcW w:w="1474" w:type="dxa"/>
            <w:shd w:val="clear" w:color="auto" w:fill="FFFFFF" w:themeFill="background1"/>
            <w:noWrap/>
            <w:hideMark/>
          </w:tcPr>
          <w:p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Through the year change</w:t>
            </w:r>
          </w:p>
        </w:tc>
      </w:tr>
      <w:tr w:rsidR="00D05398" w:rsidRPr="00103546" w:rsidTr="002D3CB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Greater Darwin</w:t>
            </w:r>
            <w:r w:rsidR="003875FC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 xml:space="preserve"> (n=134)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4622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Greater Darwin</w:t>
            </w:r>
            <w:r w:rsidR="003875FC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 xml:space="preserve"> (n=135)</w:t>
            </w:r>
          </w:p>
        </w:tc>
      </w:tr>
      <w:tr w:rsidR="002F6C4D" w:rsidRPr="00103546" w:rsidTr="0018260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81%</w:t>
            </w:r>
          </w:p>
        </w:tc>
        <w:tc>
          <w:tcPr>
            <w:tcW w:w="1164" w:type="dxa"/>
            <w:noWrap/>
            <w:vAlign w:val="bottom"/>
            <w:hideMark/>
          </w:tcPr>
          <w:p w:rsidR="002F6C4D" w:rsidRP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2F6C4D">
              <w:rPr>
                <w:rFonts w:asciiTheme="minorHAnsi" w:hAnsiTheme="minorHAnsi" w:cs="Calibri"/>
                <w:color w:val="000000"/>
                <w:szCs w:val="22"/>
              </w:rPr>
              <w:t>+8ppt</w:t>
            </w:r>
          </w:p>
        </w:tc>
        <w:tc>
          <w:tcPr>
            <w:tcW w:w="1529" w:type="dxa"/>
            <w:noWrap/>
            <w:vAlign w:val="bottom"/>
            <w:hideMark/>
          </w:tcPr>
          <w:p w:rsidR="002F6C4D" w:rsidRP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2F6C4D">
              <w:rPr>
                <w:rFonts w:asciiTheme="minorHAnsi" w:hAnsiTheme="minorHAnsi" w:cs="Calibri"/>
                <w:color w:val="000000"/>
                <w:szCs w:val="22"/>
              </w:rPr>
              <w:t>0ppt</w:t>
            </w:r>
          </w:p>
        </w:tc>
        <w:tc>
          <w:tcPr>
            <w:tcW w:w="284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64%</w:t>
            </w:r>
          </w:p>
        </w:tc>
        <w:tc>
          <w:tcPr>
            <w:tcW w:w="116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4ppt</w:t>
            </w:r>
          </w:p>
        </w:tc>
        <w:tc>
          <w:tcPr>
            <w:tcW w:w="147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-1ppt</w:t>
            </w:r>
          </w:p>
        </w:tc>
      </w:tr>
      <w:tr w:rsidR="002F6C4D" w:rsidRPr="00103546" w:rsidTr="0018260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5%</w:t>
            </w:r>
          </w:p>
        </w:tc>
        <w:tc>
          <w:tcPr>
            <w:tcW w:w="1164" w:type="dxa"/>
            <w:noWrap/>
            <w:vAlign w:val="bottom"/>
            <w:hideMark/>
          </w:tcPr>
          <w:p w:rsidR="002F6C4D" w:rsidRP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2F6C4D">
              <w:rPr>
                <w:rFonts w:asciiTheme="minorHAnsi" w:hAnsiTheme="minorHAnsi" w:cs="Calibri"/>
                <w:color w:val="000000"/>
                <w:szCs w:val="22"/>
              </w:rPr>
              <w:t>-1ppt</w:t>
            </w:r>
          </w:p>
        </w:tc>
        <w:tc>
          <w:tcPr>
            <w:tcW w:w="1529" w:type="dxa"/>
            <w:noWrap/>
            <w:vAlign w:val="bottom"/>
            <w:hideMark/>
          </w:tcPr>
          <w:p w:rsidR="002F6C4D" w:rsidRP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2F6C4D">
              <w:rPr>
                <w:rFonts w:asciiTheme="minorHAnsi" w:hAnsiTheme="minorHAnsi" w:cs="Calibri"/>
                <w:color w:val="000000"/>
                <w:szCs w:val="22"/>
              </w:rPr>
              <w:t>0ppt</w:t>
            </w:r>
          </w:p>
        </w:tc>
        <w:tc>
          <w:tcPr>
            <w:tcW w:w="284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29%</w:t>
            </w:r>
          </w:p>
        </w:tc>
        <w:tc>
          <w:tcPr>
            <w:tcW w:w="116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0ppt</w:t>
            </w:r>
          </w:p>
        </w:tc>
        <w:tc>
          <w:tcPr>
            <w:tcW w:w="147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5ppt</w:t>
            </w:r>
          </w:p>
        </w:tc>
      </w:tr>
      <w:tr w:rsidR="002F6C4D" w:rsidRPr="00103546" w:rsidTr="0018260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76%</w:t>
            </w:r>
          </w:p>
        </w:tc>
        <w:tc>
          <w:tcPr>
            <w:tcW w:w="1164" w:type="dxa"/>
            <w:noWrap/>
            <w:vAlign w:val="bottom"/>
            <w:hideMark/>
          </w:tcPr>
          <w:p w:rsidR="002F6C4D" w:rsidRP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2F6C4D">
              <w:rPr>
                <w:rFonts w:asciiTheme="minorHAnsi" w:hAnsiTheme="minorHAnsi" w:cs="Calibri"/>
                <w:color w:val="000000"/>
                <w:szCs w:val="22"/>
              </w:rPr>
              <w:t>+8ppt</w:t>
            </w:r>
          </w:p>
        </w:tc>
        <w:tc>
          <w:tcPr>
            <w:tcW w:w="1529" w:type="dxa"/>
            <w:noWrap/>
            <w:vAlign w:val="bottom"/>
            <w:hideMark/>
          </w:tcPr>
          <w:p w:rsidR="002F6C4D" w:rsidRP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2F6C4D">
              <w:rPr>
                <w:rFonts w:asciiTheme="minorHAnsi" w:hAnsiTheme="minorHAnsi" w:cs="Calibri"/>
                <w:color w:val="000000"/>
                <w:szCs w:val="22"/>
              </w:rPr>
              <w:t>0ppt</w:t>
            </w:r>
          </w:p>
        </w:tc>
        <w:tc>
          <w:tcPr>
            <w:tcW w:w="284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7%</w:t>
            </w:r>
          </w:p>
        </w:tc>
        <w:tc>
          <w:tcPr>
            <w:tcW w:w="116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-4ppt</w:t>
            </w:r>
          </w:p>
        </w:tc>
        <w:tc>
          <w:tcPr>
            <w:tcW w:w="147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-4ppt</w:t>
            </w:r>
          </w:p>
        </w:tc>
      </w:tr>
      <w:tr w:rsidR="00D05398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4"/>
            <w:shd w:val="clear" w:color="auto" w:fill="A6A6A6" w:themeFill="background1" w:themeFillShade="A6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Daly-Tiwi-West Arnhem</w:t>
            </w:r>
            <w:r w:rsidR="003875FC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(n=13)</w:t>
            </w:r>
          </w:p>
        </w:tc>
        <w:tc>
          <w:tcPr>
            <w:tcW w:w="284" w:type="dxa"/>
            <w:shd w:val="clear" w:color="auto" w:fill="FFFFFF" w:themeFill="background1"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2" w:type="dxa"/>
            <w:gridSpan w:val="4"/>
            <w:shd w:val="clear" w:color="auto" w:fill="A6A6A6" w:themeFill="background1" w:themeFillShade="A6"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Daly-Tiwi-West Arnhem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(n=13)</w:t>
            </w:r>
          </w:p>
        </w:tc>
      </w:tr>
      <w:tr w:rsidR="002F6C4D" w:rsidRPr="00103546" w:rsidTr="008D2F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77%</w:t>
            </w:r>
          </w:p>
        </w:tc>
        <w:tc>
          <w:tcPr>
            <w:tcW w:w="1164" w:type="dxa"/>
            <w:noWrap/>
            <w:vAlign w:val="bottom"/>
            <w:hideMark/>
          </w:tcPr>
          <w:p w:rsid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-8ppt</w:t>
            </w:r>
          </w:p>
        </w:tc>
        <w:tc>
          <w:tcPr>
            <w:tcW w:w="1529" w:type="dxa"/>
            <w:noWrap/>
            <w:vAlign w:val="bottom"/>
            <w:hideMark/>
          </w:tcPr>
          <w:p w:rsid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-23ppt</w:t>
            </w:r>
          </w:p>
        </w:tc>
        <w:tc>
          <w:tcPr>
            <w:tcW w:w="284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54%</w:t>
            </w:r>
          </w:p>
        </w:tc>
        <w:tc>
          <w:tcPr>
            <w:tcW w:w="116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9ppt</w:t>
            </w:r>
          </w:p>
        </w:tc>
        <w:tc>
          <w:tcPr>
            <w:tcW w:w="147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-46ppt</w:t>
            </w:r>
          </w:p>
        </w:tc>
      </w:tr>
      <w:tr w:rsidR="002F6C4D" w:rsidRPr="00103546" w:rsidTr="008D2F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23%</w:t>
            </w:r>
          </w:p>
        </w:tc>
        <w:tc>
          <w:tcPr>
            <w:tcW w:w="1164" w:type="dxa"/>
            <w:noWrap/>
            <w:vAlign w:val="bottom"/>
            <w:hideMark/>
          </w:tcPr>
          <w:p w:rsid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+8ppt</w:t>
            </w:r>
          </w:p>
        </w:tc>
        <w:tc>
          <w:tcPr>
            <w:tcW w:w="1529" w:type="dxa"/>
            <w:noWrap/>
            <w:vAlign w:val="bottom"/>
            <w:hideMark/>
          </w:tcPr>
          <w:p w:rsid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+23ppt</w:t>
            </w:r>
          </w:p>
        </w:tc>
        <w:tc>
          <w:tcPr>
            <w:tcW w:w="284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31%</w:t>
            </w:r>
          </w:p>
        </w:tc>
        <w:tc>
          <w:tcPr>
            <w:tcW w:w="116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-10ppt</w:t>
            </w:r>
          </w:p>
        </w:tc>
        <w:tc>
          <w:tcPr>
            <w:tcW w:w="147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31ppt</w:t>
            </w:r>
          </w:p>
        </w:tc>
      </w:tr>
      <w:tr w:rsidR="002F6C4D" w:rsidRPr="00103546" w:rsidTr="008D2F5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54%</w:t>
            </w:r>
          </w:p>
        </w:tc>
        <w:tc>
          <w:tcPr>
            <w:tcW w:w="1164" w:type="dxa"/>
            <w:noWrap/>
            <w:vAlign w:val="bottom"/>
            <w:hideMark/>
          </w:tcPr>
          <w:p w:rsid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-17ppt</w:t>
            </w:r>
          </w:p>
        </w:tc>
        <w:tc>
          <w:tcPr>
            <w:tcW w:w="1529" w:type="dxa"/>
            <w:noWrap/>
            <w:vAlign w:val="bottom"/>
            <w:hideMark/>
          </w:tcPr>
          <w:p w:rsidR="002F6C4D" w:rsidRDefault="002F6C4D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-46ppt</w:t>
            </w:r>
          </w:p>
        </w:tc>
        <w:tc>
          <w:tcPr>
            <w:tcW w:w="284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992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15%</w:t>
            </w:r>
          </w:p>
        </w:tc>
        <w:tc>
          <w:tcPr>
            <w:tcW w:w="116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1ppt</w:t>
            </w:r>
          </w:p>
        </w:tc>
        <w:tc>
          <w:tcPr>
            <w:tcW w:w="1474" w:type="dxa"/>
            <w:noWrap/>
            <w:hideMark/>
          </w:tcPr>
          <w:p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15ppt</w:t>
            </w:r>
          </w:p>
        </w:tc>
      </w:tr>
      <w:tr w:rsidR="00D05398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4"/>
            <w:shd w:val="clear" w:color="auto" w:fill="A6A6A6" w:themeFill="background1" w:themeFillShade="A6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East Arnhem</w:t>
            </w:r>
            <w:r w:rsidR="003875FC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(n=7)</w:t>
            </w:r>
          </w:p>
        </w:tc>
        <w:tc>
          <w:tcPr>
            <w:tcW w:w="284" w:type="dxa"/>
            <w:shd w:val="clear" w:color="auto" w:fill="FFFFFF" w:themeFill="background1"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2" w:type="dxa"/>
            <w:gridSpan w:val="4"/>
            <w:shd w:val="clear" w:color="auto" w:fill="A6A6A6" w:themeFill="background1" w:themeFillShade="A6"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East Arnhem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(n=8)</w:t>
            </w:r>
          </w:p>
        </w:tc>
      </w:tr>
      <w:tr w:rsidR="008A0EC2" w:rsidRPr="00103546" w:rsidTr="00AE315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8A0EC2" w:rsidRPr="00103546" w:rsidRDefault="008A0EC2" w:rsidP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992" w:type="dxa"/>
            <w:noWrap/>
            <w:vAlign w:val="bottom"/>
            <w:hideMark/>
          </w:tcPr>
          <w:p w:rsidR="008A0EC2" w:rsidRPr="008A0EC2" w:rsidRDefault="008A0EC2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86%</w:t>
            </w:r>
          </w:p>
        </w:tc>
        <w:tc>
          <w:tcPr>
            <w:tcW w:w="1164" w:type="dxa"/>
            <w:noWrap/>
            <w:vAlign w:val="bottom"/>
            <w:hideMark/>
          </w:tcPr>
          <w:p w:rsidR="008A0EC2" w:rsidRPr="008A0EC2" w:rsidRDefault="002F6C4D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4ppt</w:t>
            </w:r>
          </w:p>
        </w:tc>
        <w:tc>
          <w:tcPr>
            <w:tcW w:w="1529" w:type="dxa"/>
            <w:noWrap/>
            <w:vAlign w:val="bottom"/>
            <w:hideMark/>
          </w:tcPr>
          <w:p w:rsidR="008A0EC2" w:rsidRPr="008A0EC2" w:rsidRDefault="008A0EC2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0ppt</w:t>
            </w:r>
          </w:p>
        </w:tc>
        <w:tc>
          <w:tcPr>
            <w:tcW w:w="284" w:type="dxa"/>
            <w:noWrap/>
            <w:hideMark/>
          </w:tcPr>
          <w:p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992" w:type="dxa"/>
            <w:noWrap/>
            <w:hideMark/>
          </w:tcPr>
          <w:p w:rsidR="008A0EC2" w:rsidRPr="00103546" w:rsidRDefault="008A0EC2" w:rsidP="008A0E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25%</w:t>
            </w:r>
          </w:p>
        </w:tc>
        <w:tc>
          <w:tcPr>
            <w:tcW w:w="1164" w:type="dxa"/>
            <w:noWrap/>
            <w:vAlign w:val="bottom"/>
            <w:hideMark/>
          </w:tcPr>
          <w:p w:rsidR="008A0EC2" w:rsidRPr="008A0EC2" w:rsidRDefault="008A0EC2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-4ppt</w:t>
            </w:r>
          </w:p>
        </w:tc>
        <w:tc>
          <w:tcPr>
            <w:tcW w:w="1474" w:type="dxa"/>
            <w:noWrap/>
            <w:vAlign w:val="bottom"/>
            <w:hideMark/>
          </w:tcPr>
          <w:p w:rsidR="008A0EC2" w:rsidRPr="008A0EC2" w:rsidRDefault="008A0EC2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-12ppt</w:t>
            </w:r>
          </w:p>
        </w:tc>
      </w:tr>
      <w:tr w:rsidR="008A0EC2" w:rsidRPr="00103546" w:rsidTr="00AE315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8A0EC2" w:rsidRPr="00103546" w:rsidRDefault="008A0EC2" w:rsidP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992" w:type="dxa"/>
            <w:noWrap/>
            <w:vAlign w:val="bottom"/>
            <w:hideMark/>
          </w:tcPr>
          <w:p w:rsidR="008A0EC2" w:rsidRPr="008A0EC2" w:rsidRDefault="008A0EC2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0%</w:t>
            </w:r>
          </w:p>
        </w:tc>
        <w:tc>
          <w:tcPr>
            <w:tcW w:w="1164" w:type="dxa"/>
            <w:noWrap/>
            <w:vAlign w:val="bottom"/>
            <w:hideMark/>
          </w:tcPr>
          <w:p w:rsidR="008A0EC2" w:rsidRPr="008A0EC2" w:rsidRDefault="008A0EC2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-9ppt</w:t>
            </w:r>
          </w:p>
        </w:tc>
        <w:tc>
          <w:tcPr>
            <w:tcW w:w="1529" w:type="dxa"/>
            <w:noWrap/>
            <w:vAlign w:val="bottom"/>
            <w:hideMark/>
          </w:tcPr>
          <w:p w:rsidR="008A0EC2" w:rsidRPr="008A0EC2" w:rsidRDefault="008A0EC2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-3ppt</w:t>
            </w:r>
          </w:p>
        </w:tc>
        <w:tc>
          <w:tcPr>
            <w:tcW w:w="284" w:type="dxa"/>
            <w:noWrap/>
            <w:hideMark/>
          </w:tcPr>
          <w:p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992" w:type="dxa"/>
            <w:noWrap/>
            <w:hideMark/>
          </w:tcPr>
          <w:p w:rsidR="008A0EC2" w:rsidRPr="00103546" w:rsidRDefault="008A0EC2" w:rsidP="008A0E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50%</w:t>
            </w:r>
          </w:p>
        </w:tc>
        <w:tc>
          <w:tcPr>
            <w:tcW w:w="1164" w:type="dxa"/>
            <w:noWrap/>
            <w:vAlign w:val="bottom"/>
            <w:hideMark/>
          </w:tcPr>
          <w:p w:rsidR="008A0EC2" w:rsidRPr="008A0EC2" w:rsidRDefault="002F6C4D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21ppt</w:t>
            </w:r>
          </w:p>
        </w:tc>
        <w:tc>
          <w:tcPr>
            <w:tcW w:w="1474" w:type="dxa"/>
            <w:noWrap/>
            <w:vAlign w:val="bottom"/>
            <w:hideMark/>
          </w:tcPr>
          <w:p w:rsidR="008A0EC2" w:rsidRPr="008A0EC2" w:rsidRDefault="002F6C4D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10ppt</w:t>
            </w:r>
          </w:p>
        </w:tc>
      </w:tr>
      <w:tr w:rsidR="008A0EC2" w:rsidRPr="00103546" w:rsidTr="00AE315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8A0EC2" w:rsidRPr="00103546" w:rsidRDefault="008A0EC2" w:rsidP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992" w:type="dxa"/>
            <w:noWrap/>
            <w:vAlign w:val="bottom"/>
            <w:hideMark/>
          </w:tcPr>
          <w:p w:rsidR="008A0EC2" w:rsidRPr="008A0EC2" w:rsidRDefault="008A0EC2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86%</w:t>
            </w:r>
          </w:p>
        </w:tc>
        <w:tc>
          <w:tcPr>
            <w:tcW w:w="1164" w:type="dxa"/>
            <w:noWrap/>
            <w:vAlign w:val="bottom"/>
            <w:hideMark/>
          </w:tcPr>
          <w:p w:rsidR="008A0EC2" w:rsidRPr="008A0EC2" w:rsidRDefault="002F6C4D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13ppt</w:t>
            </w:r>
          </w:p>
        </w:tc>
        <w:tc>
          <w:tcPr>
            <w:tcW w:w="1529" w:type="dxa"/>
            <w:noWrap/>
            <w:vAlign w:val="bottom"/>
            <w:hideMark/>
          </w:tcPr>
          <w:p w:rsidR="008A0EC2" w:rsidRPr="008A0EC2" w:rsidRDefault="002F6C4D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3ppt</w:t>
            </w:r>
          </w:p>
        </w:tc>
        <w:tc>
          <w:tcPr>
            <w:tcW w:w="284" w:type="dxa"/>
            <w:noWrap/>
            <w:hideMark/>
          </w:tcPr>
          <w:p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992" w:type="dxa"/>
            <w:noWrap/>
            <w:hideMark/>
          </w:tcPr>
          <w:p w:rsidR="008A0EC2" w:rsidRPr="00103546" w:rsidRDefault="008A0EC2" w:rsidP="008A0E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25%</w:t>
            </w:r>
          </w:p>
        </w:tc>
        <w:tc>
          <w:tcPr>
            <w:tcW w:w="1164" w:type="dxa"/>
            <w:noWrap/>
            <w:vAlign w:val="bottom"/>
            <w:hideMark/>
          </w:tcPr>
          <w:p w:rsidR="008A0EC2" w:rsidRPr="008A0EC2" w:rsidRDefault="008A0EC2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-17ppt</w:t>
            </w:r>
          </w:p>
        </w:tc>
        <w:tc>
          <w:tcPr>
            <w:tcW w:w="1474" w:type="dxa"/>
            <w:noWrap/>
            <w:vAlign w:val="bottom"/>
            <w:hideMark/>
          </w:tcPr>
          <w:p w:rsidR="008A0EC2" w:rsidRPr="008A0EC2" w:rsidRDefault="002F6C4D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2ppt</w:t>
            </w:r>
          </w:p>
        </w:tc>
      </w:tr>
      <w:tr w:rsidR="00D05398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4"/>
            <w:shd w:val="clear" w:color="auto" w:fill="A6A6A6" w:themeFill="background1" w:themeFillShade="A6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Katherine</w:t>
            </w:r>
            <w:r w:rsidR="003875FC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>48)</w:t>
            </w:r>
          </w:p>
        </w:tc>
        <w:tc>
          <w:tcPr>
            <w:tcW w:w="284" w:type="dxa"/>
            <w:shd w:val="clear" w:color="auto" w:fill="FFFFFF" w:themeFill="background1"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2" w:type="dxa"/>
            <w:gridSpan w:val="4"/>
            <w:shd w:val="clear" w:color="auto" w:fill="A6A6A6" w:themeFill="background1" w:themeFillShade="A6"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Katherine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(n=49)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79%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-1ppt</w:t>
            </w:r>
          </w:p>
        </w:tc>
        <w:tc>
          <w:tcPr>
            <w:tcW w:w="1529" w:type="dxa"/>
            <w:noWrap/>
            <w:hideMark/>
          </w:tcPr>
          <w:p w:rsidR="00D05398" w:rsidRPr="00103546" w:rsidRDefault="002F6C4D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14ppt</w:t>
            </w:r>
          </w:p>
        </w:tc>
        <w:tc>
          <w:tcPr>
            <w:tcW w:w="284" w:type="dxa"/>
            <w:noWrap/>
            <w:hideMark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80%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2F6C4D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40ppt</w:t>
            </w:r>
          </w:p>
        </w:tc>
        <w:tc>
          <w:tcPr>
            <w:tcW w:w="147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27ppt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-6ppt</w:t>
            </w:r>
          </w:p>
        </w:tc>
        <w:tc>
          <w:tcPr>
            <w:tcW w:w="1529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-27ppt</w:t>
            </w:r>
          </w:p>
        </w:tc>
        <w:tc>
          <w:tcPr>
            <w:tcW w:w="284" w:type="dxa"/>
            <w:noWrap/>
            <w:hideMark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14%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-31ppt</w:t>
            </w:r>
          </w:p>
        </w:tc>
        <w:tc>
          <w:tcPr>
            <w:tcW w:w="147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-21ppt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77%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2F6C4D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6ppt</w:t>
            </w:r>
          </w:p>
        </w:tc>
        <w:tc>
          <w:tcPr>
            <w:tcW w:w="1529" w:type="dxa"/>
            <w:noWrap/>
            <w:hideMark/>
          </w:tcPr>
          <w:p w:rsidR="00D05398" w:rsidRPr="00103546" w:rsidRDefault="002F6C4D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42ppt</w:t>
            </w:r>
          </w:p>
        </w:tc>
        <w:tc>
          <w:tcPr>
            <w:tcW w:w="284" w:type="dxa"/>
            <w:noWrap/>
            <w:hideMark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6%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-8ppt</w:t>
            </w:r>
          </w:p>
        </w:tc>
        <w:tc>
          <w:tcPr>
            <w:tcW w:w="147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-6ppt</w:t>
            </w:r>
          </w:p>
        </w:tc>
      </w:tr>
      <w:tr w:rsidR="00D05398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4"/>
            <w:shd w:val="clear" w:color="auto" w:fill="A6A6A6" w:themeFill="background1" w:themeFillShade="A6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Barkly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(n=6)</w:t>
            </w:r>
          </w:p>
        </w:tc>
        <w:tc>
          <w:tcPr>
            <w:tcW w:w="284" w:type="dxa"/>
            <w:shd w:val="clear" w:color="auto" w:fill="FFFFFF" w:themeFill="background1"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2" w:type="dxa"/>
            <w:gridSpan w:val="4"/>
            <w:shd w:val="clear" w:color="auto" w:fill="A6A6A6" w:themeFill="background1" w:themeFillShade="A6"/>
          </w:tcPr>
          <w:p w:rsidR="00D05398" w:rsidRPr="00103546" w:rsidRDefault="002D3CB1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Barkly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(n=7)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67%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-22ppt</w:t>
            </w:r>
          </w:p>
        </w:tc>
        <w:tc>
          <w:tcPr>
            <w:tcW w:w="1529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n/a</w:t>
            </w:r>
          </w:p>
        </w:tc>
        <w:tc>
          <w:tcPr>
            <w:tcW w:w="284" w:type="dxa"/>
            <w:noWrap/>
            <w:hideMark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57%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2F6C4D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3ppt</w:t>
            </w:r>
          </w:p>
        </w:tc>
        <w:tc>
          <w:tcPr>
            <w:tcW w:w="1474" w:type="dxa"/>
            <w:noWrap/>
            <w:hideMark/>
          </w:tcPr>
          <w:p w:rsidR="00D05398" w:rsidRPr="00103546" w:rsidRDefault="002D3CB1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n/a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0%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0ppt</w:t>
            </w:r>
          </w:p>
        </w:tc>
        <w:tc>
          <w:tcPr>
            <w:tcW w:w="1529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n/a</w:t>
            </w:r>
          </w:p>
        </w:tc>
        <w:tc>
          <w:tcPr>
            <w:tcW w:w="284" w:type="dxa"/>
            <w:noWrap/>
            <w:hideMark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43%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2F6C4D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16ppt</w:t>
            </w:r>
          </w:p>
        </w:tc>
        <w:tc>
          <w:tcPr>
            <w:tcW w:w="1474" w:type="dxa"/>
            <w:noWrap/>
            <w:hideMark/>
          </w:tcPr>
          <w:p w:rsidR="00D05398" w:rsidRPr="00103546" w:rsidRDefault="002D3CB1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n/a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67%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-22ppt</w:t>
            </w:r>
          </w:p>
        </w:tc>
        <w:tc>
          <w:tcPr>
            <w:tcW w:w="1529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n/a</w:t>
            </w:r>
          </w:p>
        </w:tc>
        <w:tc>
          <w:tcPr>
            <w:tcW w:w="284" w:type="dxa"/>
            <w:noWrap/>
            <w:hideMark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0%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-18ppt</w:t>
            </w:r>
          </w:p>
        </w:tc>
        <w:tc>
          <w:tcPr>
            <w:tcW w:w="1474" w:type="dxa"/>
            <w:noWrap/>
            <w:hideMark/>
          </w:tcPr>
          <w:p w:rsidR="00D05398" w:rsidRPr="00103546" w:rsidRDefault="002D3CB1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n/a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4"/>
            <w:shd w:val="clear" w:color="auto" w:fill="A6A6A6" w:themeFill="background1" w:themeFillShade="A6"/>
            <w:noWrap/>
            <w:hideMark/>
          </w:tcPr>
          <w:p w:rsidR="002D3CB1" w:rsidRPr="00103546" w:rsidRDefault="002D3CB1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Alice Springs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(n=191)</w:t>
            </w:r>
          </w:p>
        </w:tc>
        <w:tc>
          <w:tcPr>
            <w:tcW w:w="284" w:type="dxa"/>
            <w:shd w:val="clear" w:color="auto" w:fill="FFFFFF" w:themeFill="background1"/>
          </w:tcPr>
          <w:p w:rsidR="002D3CB1" w:rsidRPr="00103546" w:rsidRDefault="002D3CB1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2" w:type="dxa"/>
            <w:gridSpan w:val="4"/>
            <w:shd w:val="clear" w:color="auto" w:fill="A6A6A6" w:themeFill="background1" w:themeFillShade="A6"/>
          </w:tcPr>
          <w:p w:rsidR="002D3CB1" w:rsidRPr="00103546" w:rsidRDefault="002D3CB1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Alice Springs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(n=191)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87%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2F6C4D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5ppt</w:t>
            </w:r>
          </w:p>
        </w:tc>
        <w:tc>
          <w:tcPr>
            <w:tcW w:w="1529" w:type="dxa"/>
            <w:noWrap/>
            <w:hideMark/>
          </w:tcPr>
          <w:p w:rsidR="00D05398" w:rsidRPr="00103546" w:rsidRDefault="002F6C4D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17ppt</w:t>
            </w:r>
          </w:p>
        </w:tc>
        <w:tc>
          <w:tcPr>
            <w:tcW w:w="284" w:type="dxa"/>
            <w:noWrap/>
            <w:hideMark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53%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-3ppt</w:t>
            </w:r>
          </w:p>
        </w:tc>
        <w:tc>
          <w:tcPr>
            <w:tcW w:w="147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-15ppt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3%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-3ppt</w:t>
            </w:r>
          </w:p>
        </w:tc>
        <w:tc>
          <w:tcPr>
            <w:tcW w:w="1529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-7ppt</w:t>
            </w:r>
          </w:p>
        </w:tc>
        <w:tc>
          <w:tcPr>
            <w:tcW w:w="284" w:type="dxa"/>
            <w:tcBorders>
              <w:bottom w:val="nil"/>
            </w:tcBorders>
            <w:noWrap/>
            <w:hideMark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40%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2F6C4D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10ppt</w:t>
            </w:r>
          </w:p>
        </w:tc>
        <w:tc>
          <w:tcPr>
            <w:tcW w:w="1474" w:type="dxa"/>
            <w:noWrap/>
            <w:hideMark/>
          </w:tcPr>
          <w:p w:rsidR="00D05398" w:rsidRPr="00103546" w:rsidRDefault="002F6C4D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20ppt</w:t>
            </w:r>
          </w:p>
        </w:tc>
      </w:tr>
      <w:tr w:rsidR="002D3CB1" w:rsidRPr="00103546" w:rsidTr="002D3C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85%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2F6C4D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8ppt</w:t>
            </w:r>
          </w:p>
        </w:tc>
        <w:tc>
          <w:tcPr>
            <w:tcW w:w="1529" w:type="dxa"/>
            <w:tcBorders>
              <w:right w:val="single" w:sz="4" w:space="0" w:color="auto"/>
            </w:tcBorders>
            <w:noWrap/>
            <w:hideMark/>
          </w:tcPr>
          <w:p w:rsidR="00D05398" w:rsidRPr="00103546" w:rsidRDefault="002F6C4D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24ppt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noWrap/>
            <w:hideMark/>
          </w:tcPr>
          <w:p w:rsidR="00D05398" w:rsidRPr="00103546" w:rsidRDefault="00D05398" w:rsidP="002D3CB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992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6%</w:t>
            </w:r>
          </w:p>
        </w:tc>
        <w:tc>
          <w:tcPr>
            <w:tcW w:w="116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-7ppt</w:t>
            </w:r>
          </w:p>
        </w:tc>
        <w:tc>
          <w:tcPr>
            <w:tcW w:w="1474" w:type="dxa"/>
            <w:noWrap/>
            <w:hideMark/>
          </w:tcPr>
          <w:p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-5ppt</w:t>
            </w:r>
          </w:p>
        </w:tc>
      </w:tr>
    </w:tbl>
    <w:p w:rsidR="00AA64F2" w:rsidRPr="003875FC" w:rsidRDefault="00B56C28" w:rsidP="003875FC">
      <w:pPr>
        <w:spacing w:before="120"/>
        <w:rPr>
          <w:sz w:val="20"/>
        </w:rPr>
      </w:pPr>
      <w:r w:rsidRPr="00B56C28">
        <w:rPr>
          <w:sz w:val="20"/>
        </w:rPr>
        <w:t xml:space="preserve">Note: Caution should be taken when interpreting these results as the sample size in some regions may be relatively </w:t>
      </w:r>
      <w:r w:rsidR="007D0D7A">
        <w:rPr>
          <w:sz w:val="20"/>
        </w:rPr>
        <w:t>small.</w:t>
      </w:r>
    </w:p>
    <w:p w:rsidR="00FB342B" w:rsidRDefault="003B7212" w:rsidP="003310BE">
      <w:pPr>
        <w:pStyle w:val="Heading1"/>
      </w:pPr>
      <w:r>
        <w:lastRenderedPageBreak/>
        <w:t>B</w:t>
      </w:r>
      <w:r w:rsidR="00F207C5">
        <w:t xml:space="preserve">usiness </w:t>
      </w:r>
      <w:r w:rsidR="00C305AE">
        <w:t>confidence</w:t>
      </w:r>
      <w:r>
        <w:t xml:space="preserve"> </w:t>
      </w:r>
      <w:r w:rsidR="003310BE">
        <w:t xml:space="preserve">varied </w:t>
      </w:r>
      <w:r w:rsidR="007509C4">
        <w:t xml:space="preserve">across </w:t>
      </w:r>
      <w:r w:rsidR="003310BE">
        <w:t xml:space="preserve">industries </w:t>
      </w:r>
    </w:p>
    <w:p w:rsidR="007509C4" w:rsidRDefault="00C305AE" w:rsidP="007509C4">
      <w:r>
        <w:t xml:space="preserve">Business confidence varied among industries, ranging from </w:t>
      </w:r>
      <w:r w:rsidR="007F232C">
        <w:t>a net balance of +</w:t>
      </w:r>
      <w:r>
        <w:t xml:space="preserve">90 per cent </w:t>
      </w:r>
      <w:r w:rsidR="003C29F6">
        <w:t xml:space="preserve">for </w:t>
      </w:r>
      <w:r>
        <w:t xml:space="preserve">businesses </w:t>
      </w:r>
      <w:r w:rsidR="003C29F6">
        <w:t>in the</w:t>
      </w:r>
      <w:r w:rsidR="007F232C">
        <w:t xml:space="preserve"> </w:t>
      </w:r>
      <w:r w:rsidR="003C29F6">
        <w:t>O</w:t>
      </w:r>
      <w:r w:rsidR="007F232C">
        <w:t xml:space="preserve">ther </w:t>
      </w:r>
      <w:r w:rsidR="003C29F6">
        <w:t>S</w:t>
      </w:r>
      <w:r w:rsidR="007F232C">
        <w:t xml:space="preserve">ervices </w:t>
      </w:r>
      <w:r w:rsidR="003C29F6">
        <w:t xml:space="preserve">industry </w:t>
      </w:r>
      <w:r w:rsidR="007F232C">
        <w:t>to +</w:t>
      </w:r>
      <w:r w:rsidR="00C95FA1">
        <w:t>5</w:t>
      </w:r>
      <w:r w:rsidR="00B50ACE">
        <w:t>8 per cent</w:t>
      </w:r>
      <w:r w:rsidR="007F232C">
        <w:t xml:space="preserve"> </w:t>
      </w:r>
      <w:r w:rsidR="00F66FF5">
        <w:t xml:space="preserve">for </w:t>
      </w:r>
      <w:r w:rsidR="00C95FA1">
        <w:t>business</w:t>
      </w:r>
      <w:r w:rsidR="00CD39DF">
        <w:t>es</w:t>
      </w:r>
      <w:r w:rsidR="002F6C4D">
        <w:t xml:space="preserve"> in the H</w:t>
      </w:r>
      <w:r w:rsidR="00C95FA1">
        <w:t>ealth</w:t>
      </w:r>
      <w:r w:rsidR="00CD39DF">
        <w:t xml:space="preserve"> </w:t>
      </w:r>
      <w:r w:rsidR="00C95FA1">
        <w:t>industry</w:t>
      </w:r>
      <w:r w:rsidR="00E15358">
        <w:t xml:space="preserve"> (Graph 11)</w:t>
      </w:r>
      <w:r w:rsidR="00B50ACE">
        <w:t>.</w:t>
      </w:r>
    </w:p>
    <w:p w:rsidR="003310BE" w:rsidRDefault="00CD39DF" w:rsidP="007509C4">
      <w:r>
        <w:t>T</w:t>
      </w:r>
      <w:r w:rsidR="00AD0B5D">
        <w:t>he industries</w:t>
      </w:r>
      <w:r w:rsidR="003310BE">
        <w:t xml:space="preserve"> tha</w:t>
      </w:r>
      <w:r w:rsidR="00E15358">
        <w:t>t reported the largest</w:t>
      </w:r>
      <w:r w:rsidR="003310BE">
        <w:t xml:space="preserve"> in</w:t>
      </w:r>
      <w:r w:rsidR="00E15358">
        <w:t>creases in</w:t>
      </w:r>
      <w:r w:rsidR="003310BE">
        <w:t xml:space="preserve"> business </w:t>
      </w:r>
      <w:r w:rsidR="005371C1">
        <w:t>confidence</w:t>
      </w:r>
      <w:r>
        <w:t xml:space="preserve"> this quarter</w:t>
      </w:r>
      <w:r w:rsidR="005371C1">
        <w:t xml:space="preserve"> were predominantly </w:t>
      </w:r>
      <w:r>
        <w:t xml:space="preserve">consumer-facing </w:t>
      </w:r>
      <w:r w:rsidR="005371C1">
        <w:t>ser</w:t>
      </w:r>
      <w:r w:rsidR="00E15358">
        <w:t>vice industries</w:t>
      </w:r>
      <w:r>
        <w:t>, such as hospitality and arts and recreation services</w:t>
      </w:r>
      <w:r w:rsidR="005371C1">
        <w:t xml:space="preserve">. </w:t>
      </w:r>
      <w:r w:rsidR="007F232C">
        <w:t xml:space="preserve">The removal of </w:t>
      </w:r>
      <w:r>
        <w:t xml:space="preserve">travel and other </w:t>
      </w:r>
      <w:r w:rsidR="007F232C">
        <w:t xml:space="preserve">restrictions </w:t>
      </w:r>
      <w:r>
        <w:t>along with changing attitudes towards COVID-19 have</w:t>
      </w:r>
      <w:r w:rsidR="00E15358">
        <w:t xml:space="preserve"> likely increased confidence for businesses in these industries </w:t>
      </w:r>
      <w:r>
        <w:t>in recent quarters</w:t>
      </w:r>
      <w:r w:rsidR="00E15358">
        <w:t xml:space="preserve">. </w:t>
      </w:r>
    </w:p>
    <w:p w:rsidR="00AD0B5D" w:rsidRDefault="00B673AA" w:rsidP="00AD0B5D">
      <w:pPr>
        <w:pStyle w:val="Caption"/>
        <w:keepNext/>
        <w:jc w:val="center"/>
      </w:pPr>
      <w:r>
        <w:t>Graph 11</w:t>
      </w:r>
    </w:p>
    <w:p w:rsidR="00AD0B5D" w:rsidRDefault="007F232C" w:rsidP="00AD0B5D">
      <w:pPr>
        <w:jc w:val="center"/>
      </w:pPr>
      <w:r w:rsidRPr="007F232C">
        <w:rPr>
          <w:noProof/>
          <w:lang w:eastAsia="en-AU"/>
        </w:rPr>
        <w:drawing>
          <wp:inline distT="0" distB="0" distL="0" distR="0">
            <wp:extent cx="4728258" cy="3223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480" cy="322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E6" w:rsidRDefault="00AF38E6" w:rsidP="00DF6516"/>
    <w:p w:rsidR="002322EB" w:rsidRDefault="002322EB">
      <w:pPr>
        <w:rPr>
          <w:rFonts w:ascii="Lato Semibold" w:eastAsia="Times New Roman" w:hAnsi="Lato Semibold"/>
          <w:color w:val="1F1F5F"/>
          <w:kern w:val="32"/>
          <w:sz w:val="36"/>
          <w:szCs w:val="32"/>
        </w:rPr>
      </w:pPr>
      <w:r>
        <w:br w:type="page"/>
      </w:r>
    </w:p>
    <w:p w:rsidR="003A611C" w:rsidRDefault="003A611C" w:rsidP="003A611C">
      <w:pPr>
        <w:pStyle w:val="Title"/>
      </w:pPr>
      <w:r w:rsidRPr="003A611C">
        <w:rPr>
          <w:color w:val="808080" w:themeColor="background1" w:themeShade="80"/>
        </w:rPr>
        <w:lastRenderedPageBreak/>
        <w:t>Appendix</w:t>
      </w:r>
      <w:r>
        <w:t xml:space="preserve"> </w:t>
      </w:r>
    </w:p>
    <w:p w:rsidR="00F207C5" w:rsidRDefault="00DF6516" w:rsidP="00DF6516">
      <w:pPr>
        <w:pStyle w:val="Heading1"/>
      </w:pPr>
      <w:r>
        <w:t xml:space="preserve">Methodology </w:t>
      </w:r>
    </w:p>
    <w:p w:rsidR="0025534A" w:rsidRDefault="00147302" w:rsidP="00DF6516">
      <w:r>
        <w:t>The Department of Industry, Tourism and Trade conducts a f</w:t>
      </w:r>
      <w:r w:rsidR="00DF6516">
        <w:t>ace-to-face survey of businesses opera</w:t>
      </w:r>
      <w:r w:rsidR="0025534A">
        <w:t>ti</w:t>
      </w:r>
      <w:r>
        <w:t>ng in the Territory</w:t>
      </w:r>
      <w:r w:rsidR="00DF6516">
        <w:t xml:space="preserve"> on a </w:t>
      </w:r>
      <w:r w:rsidR="0025534A">
        <w:t xml:space="preserve">quarterly basis. </w:t>
      </w:r>
      <w:r w:rsidR="00C4525D">
        <w:t>The results</w:t>
      </w:r>
      <w:r w:rsidR="00CB4DCF">
        <w:t xml:space="preserve"> have been used to </w:t>
      </w:r>
      <w:r w:rsidR="003C29F6">
        <w:t xml:space="preserve">construct a </w:t>
      </w:r>
      <w:r w:rsidR="00CB4DCF">
        <w:t xml:space="preserve">business confidence index. </w:t>
      </w:r>
    </w:p>
    <w:p w:rsidR="00CB4DCF" w:rsidRDefault="00CB4DCF" w:rsidP="00CB4DCF">
      <w:r>
        <w:t xml:space="preserve">The business confidence index is calculated as the difference between the </w:t>
      </w:r>
      <w:r w:rsidR="005D50F2">
        <w:t>proportion</w:t>
      </w:r>
      <w:r>
        <w:t xml:space="preserve"> of businesses that are ‘confident about their business prospects for the next 12 months' </w:t>
      </w:r>
      <w:r w:rsidR="003C29F6">
        <w:t xml:space="preserve">and </w:t>
      </w:r>
      <w:r>
        <w:t xml:space="preserve">the proportion of businesses that are ‘worried about their business prospects for the next 12 months’ (net balance approach). </w:t>
      </w:r>
    </w:p>
    <w:p w:rsidR="00CB4DCF" w:rsidRDefault="005D50F2" w:rsidP="00CB4DCF">
      <w:r>
        <w:t xml:space="preserve">The Territory-wide confidence index is weighted to account for the number of businesses in each region. The weighted result provides a more balanced reflection of overall business confidence. </w:t>
      </w:r>
      <w:r w:rsidR="003C29F6">
        <w:t>B</w:t>
      </w:r>
      <w:r w:rsidR="00CB4DCF">
        <w:t>usiness confidence results are</w:t>
      </w:r>
      <w:r>
        <w:t xml:space="preserve"> also presented by region and industry. </w:t>
      </w:r>
    </w:p>
    <w:p w:rsidR="0025534A" w:rsidRDefault="00DF6516" w:rsidP="00DF6516">
      <w:r>
        <w:t>Ther</w:t>
      </w:r>
      <w:r w:rsidR="0025534A">
        <w:t>e are approximately 15 000 operating</w:t>
      </w:r>
      <w:r>
        <w:t xml:space="preserve"> businesses in the Territory.</w:t>
      </w:r>
      <w:r w:rsidR="003C29F6">
        <w:t xml:space="preserve"> F</w:t>
      </w:r>
      <w:r>
        <w:t>or the sampl</w:t>
      </w:r>
      <w:r w:rsidR="0025534A">
        <w:t>e survey to achieve a 95% confi</w:t>
      </w:r>
      <w:r>
        <w:t>dence level with a margin of error of 5%, 375 survey responses a</w:t>
      </w:r>
      <w:r w:rsidR="0025534A">
        <w:t>re required (Table 5).</w:t>
      </w:r>
    </w:p>
    <w:p w:rsidR="0025534A" w:rsidRDefault="0025534A" w:rsidP="0025534A">
      <w:pPr>
        <w:pStyle w:val="Caption"/>
        <w:keepNext/>
      </w:pPr>
      <w:r>
        <w:t>Table 5</w:t>
      </w:r>
      <w:r w:rsidR="00B9612D">
        <w:t>: Survey Numbers</w:t>
      </w:r>
    </w:p>
    <w:tbl>
      <w:tblPr>
        <w:tblStyle w:val="NTGtable"/>
        <w:tblW w:w="10176" w:type="dxa"/>
        <w:tblLook w:val="04A0" w:firstRow="1" w:lastRow="0" w:firstColumn="1" w:lastColumn="0" w:noHBand="0" w:noVBand="1"/>
      </w:tblPr>
      <w:tblGrid>
        <w:gridCol w:w="3256"/>
        <w:gridCol w:w="2478"/>
        <w:gridCol w:w="2357"/>
        <w:gridCol w:w="2085"/>
      </w:tblGrid>
      <w:tr w:rsidR="0025534A" w:rsidRPr="0025534A" w:rsidTr="0068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hideMark/>
          </w:tcPr>
          <w:p w:rsidR="0025534A" w:rsidRPr="0025534A" w:rsidRDefault="0025534A" w:rsidP="0025534A">
            <w:pPr>
              <w:spacing w:after="0"/>
              <w:jc w:val="center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Region</w:t>
            </w:r>
          </w:p>
        </w:tc>
        <w:tc>
          <w:tcPr>
            <w:tcW w:w="2478" w:type="dxa"/>
            <w:hideMark/>
          </w:tcPr>
          <w:p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 xml:space="preserve">Total number of businesses </w:t>
            </w:r>
          </w:p>
        </w:tc>
        <w:tc>
          <w:tcPr>
            <w:tcW w:w="2357" w:type="dxa"/>
            <w:hideMark/>
          </w:tcPr>
          <w:p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Businesses surveyed</w:t>
            </w:r>
          </w:p>
        </w:tc>
        <w:tc>
          <w:tcPr>
            <w:tcW w:w="2085" w:type="dxa"/>
            <w:hideMark/>
          </w:tcPr>
          <w:p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Proportion of total</w:t>
            </w:r>
          </w:p>
        </w:tc>
      </w:tr>
      <w:tr w:rsidR="00B9612D" w:rsidRPr="0025534A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Greater Darwin</w:t>
            </w:r>
          </w:p>
        </w:tc>
        <w:tc>
          <w:tcPr>
            <w:tcW w:w="2478" w:type="dxa"/>
            <w:noWrap/>
            <w:hideMark/>
          </w:tcPr>
          <w:p w:rsidR="00B9612D" w:rsidRPr="002F6C4D" w:rsidRDefault="00B9612D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10885</w:t>
            </w:r>
          </w:p>
        </w:tc>
        <w:tc>
          <w:tcPr>
            <w:tcW w:w="2357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135</w:t>
            </w:r>
          </w:p>
        </w:tc>
        <w:tc>
          <w:tcPr>
            <w:tcW w:w="2085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1.2%</w:t>
            </w:r>
          </w:p>
        </w:tc>
      </w:tr>
      <w:tr w:rsidR="00B9612D" w:rsidRPr="0025534A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Daly-Tiwi-West Arnhem</w:t>
            </w:r>
          </w:p>
        </w:tc>
        <w:tc>
          <w:tcPr>
            <w:tcW w:w="2478" w:type="dxa"/>
            <w:noWrap/>
            <w:hideMark/>
          </w:tcPr>
          <w:p w:rsidR="00B9612D" w:rsidRPr="002F6C4D" w:rsidRDefault="00B9612D" w:rsidP="00B9612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380</w:t>
            </w:r>
          </w:p>
        </w:tc>
        <w:tc>
          <w:tcPr>
            <w:tcW w:w="2357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13</w:t>
            </w:r>
          </w:p>
        </w:tc>
        <w:tc>
          <w:tcPr>
            <w:tcW w:w="2085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3.4%</w:t>
            </w:r>
          </w:p>
        </w:tc>
      </w:tr>
      <w:tr w:rsidR="00B9612D" w:rsidRPr="0025534A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East Arnhem</w:t>
            </w:r>
          </w:p>
        </w:tc>
        <w:tc>
          <w:tcPr>
            <w:tcW w:w="2478" w:type="dxa"/>
            <w:noWrap/>
            <w:hideMark/>
          </w:tcPr>
          <w:p w:rsidR="00B9612D" w:rsidRPr="002F6C4D" w:rsidRDefault="00B9612D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243</w:t>
            </w:r>
          </w:p>
        </w:tc>
        <w:tc>
          <w:tcPr>
            <w:tcW w:w="2357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8</w:t>
            </w:r>
          </w:p>
        </w:tc>
        <w:tc>
          <w:tcPr>
            <w:tcW w:w="2085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3.3%</w:t>
            </w:r>
          </w:p>
        </w:tc>
      </w:tr>
      <w:tr w:rsidR="00B9612D" w:rsidRPr="0025534A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Katherine</w:t>
            </w:r>
          </w:p>
        </w:tc>
        <w:tc>
          <w:tcPr>
            <w:tcW w:w="2478" w:type="dxa"/>
            <w:noWrap/>
            <w:hideMark/>
          </w:tcPr>
          <w:p w:rsidR="00B9612D" w:rsidRPr="002F6C4D" w:rsidRDefault="00B9612D" w:rsidP="00B9612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957</w:t>
            </w:r>
          </w:p>
        </w:tc>
        <w:tc>
          <w:tcPr>
            <w:tcW w:w="2357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49</w:t>
            </w:r>
          </w:p>
        </w:tc>
        <w:tc>
          <w:tcPr>
            <w:tcW w:w="2085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5.1%</w:t>
            </w:r>
          </w:p>
        </w:tc>
      </w:tr>
      <w:tr w:rsidR="00B9612D" w:rsidRPr="0025534A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Barkly</w:t>
            </w:r>
          </w:p>
        </w:tc>
        <w:tc>
          <w:tcPr>
            <w:tcW w:w="2478" w:type="dxa"/>
            <w:noWrap/>
            <w:hideMark/>
          </w:tcPr>
          <w:p w:rsidR="00B9612D" w:rsidRPr="002F6C4D" w:rsidRDefault="00B9612D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187</w:t>
            </w:r>
          </w:p>
        </w:tc>
        <w:tc>
          <w:tcPr>
            <w:tcW w:w="2357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7</w:t>
            </w:r>
          </w:p>
        </w:tc>
        <w:tc>
          <w:tcPr>
            <w:tcW w:w="2085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3.7%</w:t>
            </w:r>
          </w:p>
        </w:tc>
      </w:tr>
      <w:tr w:rsidR="00B9612D" w:rsidRPr="0025534A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Alice Springs</w:t>
            </w:r>
          </w:p>
        </w:tc>
        <w:tc>
          <w:tcPr>
            <w:tcW w:w="2478" w:type="dxa"/>
            <w:noWrap/>
            <w:hideMark/>
          </w:tcPr>
          <w:p w:rsidR="00B9612D" w:rsidRPr="002F6C4D" w:rsidRDefault="00B9612D" w:rsidP="00B9612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1971</w:t>
            </w:r>
          </w:p>
        </w:tc>
        <w:tc>
          <w:tcPr>
            <w:tcW w:w="2357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191</w:t>
            </w:r>
          </w:p>
        </w:tc>
        <w:tc>
          <w:tcPr>
            <w:tcW w:w="2085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9.7%</w:t>
            </w:r>
          </w:p>
        </w:tc>
      </w:tr>
      <w:tr w:rsidR="00B9612D" w:rsidRPr="0025534A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B9612D" w:rsidRPr="002F6C4D" w:rsidRDefault="00B9612D" w:rsidP="00B9612D">
            <w:pPr>
              <w:spacing w:after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478" w:type="dxa"/>
            <w:noWrap/>
            <w:hideMark/>
          </w:tcPr>
          <w:p w:rsidR="00B9612D" w:rsidRPr="002F6C4D" w:rsidRDefault="00B9612D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15005</w:t>
            </w:r>
          </w:p>
        </w:tc>
        <w:tc>
          <w:tcPr>
            <w:tcW w:w="2357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 w:rsidRPr="002F6C4D">
              <w:rPr>
                <w:rFonts w:cs="Calibri"/>
                <w:b/>
                <w:bCs/>
                <w:color w:val="000000"/>
                <w:szCs w:val="22"/>
              </w:rPr>
              <w:t>410</w:t>
            </w:r>
          </w:p>
        </w:tc>
        <w:tc>
          <w:tcPr>
            <w:tcW w:w="2085" w:type="dxa"/>
            <w:noWrap/>
            <w:vAlign w:val="bottom"/>
            <w:hideMark/>
          </w:tcPr>
          <w:p w:rsidR="00B9612D" w:rsidRPr="002F6C4D" w:rsidRDefault="00B9612D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 w:rsidRPr="002F6C4D">
              <w:rPr>
                <w:rFonts w:cs="Calibri"/>
                <w:b/>
                <w:bCs/>
                <w:color w:val="000000"/>
                <w:szCs w:val="22"/>
              </w:rPr>
              <w:t>2.7%</w:t>
            </w:r>
          </w:p>
        </w:tc>
      </w:tr>
    </w:tbl>
    <w:p w:rsidR="0025534A" w:rsidRDefault="0025534A" w:rsidP="00DF6516"/>
    <w:sectPr w:rsidR="0025534A" w:rsidSect="003A611C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72" w:rsidRDefault="00FE0E72" w:rsidP="007332FF">
      <w:r>
        <w:separator/>
      </w:r>
    </w:p>
  </w:endnote>
  <w:endnote w:type="continuationSeparator" w:id="0">
    <w:p w:rsidR="00FE0E72" w:rsidRDefault="00FE0E7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59" w:rsidRDefault="00AE3159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E3159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AE3159" w:rsidRDefault="00AE3159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:rsidR="00AE3159" w:rsidRPr="00CE6614" w:rsidRDefault="00FE0E7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D11BC">
                <w:rPr>
                  <w:rStyle w:val="PageNumber"/>
                </w:rPr>
                <w:t>October</w:t>
              </w:r>
            </w:sdtContent>
          </w:sdt>
          <w:r w:rsidR="00AE3159" w:rsidRPr="00CE6614">
            <w:rPr>
              <w:rStyle w:val="PageNumber"/>
            </w:rPr>
            <w:t xml:space="preserve"> </w:t>
          </w:r>
          <w:r w:rsidR="00AE3159">
            <w:rPr>
              <w:rStyle w:val="PageNumber"/>
            </w:rPr>
            <w:t>2022</w:t>
          </w:r>
          <w:r w:rsidR="00AE3159" w:rsidRPr="00CE6614">
            <w:rPr>
              <w:rStyle w:val="PageNumber"/>
            </w:rPr>
            <w:t xml:space="preserve"> </w:t>
          </w:r>
        </w:p>
        <w:p w:rsidR="00AE3159" w:rsidRPr="00AC4488" w:rsidRDefault="00AE3159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9527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95272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</w:tr>
  </w:tbl>
  <w:p w:rsidR="00AE3159" w:rsidRPr="00B11C67" w:rsidRDefault="00AE3159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59" w:rsidRDefault="00AE3159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E3159" w:rsidRPr="00132658" w:rsidTr="00026D9E">
      <w:trPr>
        <w:cantSplit/>
        <w:trHeight w:hRule="exact" w:val="1134"/>
      </w:trPr>
      <w:tc>
        <w:tcPr>
          <w:tcW w:w="7767" w:type="dxa"/>
          <w:vAlign w:val="bottom"/>
        </w:tcPr>
        <w:p w:rsidR="00AE3159" w:rsidRDefault="00AE3159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:rsidR="00AE3159" w:rsidRDefault="00FE0E72" w:rsidP="00F805D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D11BC">
                <w:rPr>
                  <w:rStyle w:val="PageNumber"/>
                </w:rPr>
                <w:t>October</w:t>
              </w:r>
            </w:sdtContent>
          </w:sdt>
          <w:r w:rsidR="00AE3159">
            <w:rPr>
              <w:rStyle w:val="PageNumber"/>
            </w:rPr>
            <w:t xml:space="preserve"> 2022</w:t>
          </w:r>
        </w:p>
        <w:p w:rsidR="00AE3159" w:rsidRPr="00CE30CF" w:rsidRDefault="00AE3159" w:rsidP="00F805D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95272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95272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AE3159" w:rsidRPr="001E14EB" w:rsidRDefault="00AE3159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AE3159" w:rsidRPr="00661BE1" w:rsidRDefault="00AE3159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72" w:rsidRDefault="00FE0E72" w:rsidP="007332FF">
      <w:r>
        <w:separator/>
      </w:r>
    </w:p>
  </w:footnote>
  <w:footnote w:type="continuationSeparator" w:id="0">
    <w:p w:rsidR="00FE0E72" w:rsidRDefault="00FE0E7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159" w:rsidRPr="00162207" w:rsidRDefault="00AE3159" w:rsidP="008C70BB">
    <w:pPr>
      <w:pStyle w:val="Header"/>
      <w:tabs>
        <w:tab w:val="clear" w:pos="9638"/>
        <w:tab w:val="right" w:pos="10318"/>
      </w:tabs>
    </w:pPr>
    <w:r>
      <w:ptab w:relativeTo="margin" w:alignment="center" w:leader="none"/>
    </w:r>
    <w:r>
      <w:ptab w:relativeTo="margin" w:alignment="right" w:leader="none"/>
    </w: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Business Confidence Survey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AE3159" w:rsidRDefault="00AE3159" w:rsidP="00435082">
        <w:pPr>
          <w:pStyle w:val="Title"/>
          <w:rPr>
            <w:rStyle w:val="TitleChar"/>
          </w:rPr>
        </w:pPr>
        <w:r>
          <w:rPr>
            <w:rStyle w:val="TitleChar"/>
          </w:rPr>
          <w:t>NT Business Confidence Survey</w:t>
        </w:r>
      </w:p>
    </w:sdtContent>
  </w:sdt>
  <w:p w:rsidR="00AE3159" w:rsidRPr="007509C4" w:rsidRDefault="00AE3159" w:rsidP="009F5C54">
    <w:pPr>
      <w:pStyle w:val="Subtitle0"/>
    </w:pPr>
    <w:r>
      <w:t>September Quarter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6C7D01"/>
    <w:multiLevelType w:val="hybridMultilevel"/>
    <w:tmpl w:val="E29E8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2"/>
  </w:num>
  <w:num w:numId="3">
    <w:abstractNumId w:val="72"/>
  </w:num>
  <w:num w:numId="4">
    <w:abstractNumId w:val="44"/>
  </w:num>
  <w:num w:numId="5">
    <w:abstractNumId w:val="28"/>
  </w:num>
  <w:num w:numId="6">
    <w:abstractNumId w:val="16"/>
  </w:num>
  <w:num w:numId="7">
    <w:abstractNumId w:val="49"/>
  </w:num>
  <w:num w:numId="8">
    <w:abstractNumId w:val="25"/>
  </w:num>
  <w:num w:numId="9">
    <w:abstractNumId w:val="56"/>
  </w:num>
  <w:num w:numId="10">
    <w:abstractNumId w:val="21"/>
  </w:num>
  <w:num w:numId="11">
    <w:abstractNumId w:val="62"/>
  </w:num>
  <w:num w:numId="12">
    <w:abstractNumId w:val="18"/>
  </w:num>
  <w:num w:numId="13">
    <w:abstractNumId w:val="2"/>
  </w:num>
  <w:num w:numId="14">
    <w:abstractNumId w:val="60"/>
  </w:num>
  <w:num w:numId="15">
    <w:abstractNumId w:val="27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9"/>
  </w:num>
  <w:num w:numId="22">
    <w:abstractNumId w:val="54"/>
  </w:num>
  <w:num w:numId="23">
    <w:abstractNumId w:val="46"/>
  </w:num>
  <w:num w:numId="24">
    <w:abstractNumId w:val="41"/>
  </w:num>
  <w:num w:numId="25">
    <w:abstractNumId w:val="37"/>
  </w:num>
  <w:num w:numId="26">
    <w:abstractNumId w:val="11"/>
  </w:num>
  <w:num w:numId="27">
    <w:abstractNumId w:val="71"/>
  </w:num>
  <w:num w:numId="28">
    <w:abstractNumId w:val="36"/>
  </w:num>
  <w:num w:numId="29">
    <w:abstractNumId w:val="29"/>
  </w:num>
  <w:num w:numId="30">
    <w:abstractNumId w:val="0"/>
  </w:num>
  <w:num w:numId="31">
    <w:abstractNumId w:val="40"/>
  </w:num>
  <w:num w:numId="32">
    <w:abstractNumId w:val="10"/>
  </w:num>
  <w:num w:numId="33">
    <w:abstractNumId w:val="63"/>
  </w:num>
  <w:num w:numId="34">
    <w:abstractNumId w:val="32"/>
  </w:num>
  <w:num w:numId="35">
    <w:abstractNumId w:val="48"/>
  </w:num>
  <w:num w:numId="36">
    <w:abstractNumId w:val="64"/>
  </w:num>
  <w:num w:numId="37">
    <w:abstractNumId w:val="66"/>
  </w:num>
  <w:num w:numId="38">
    <w:abstractNumId w:val="15"/>
  </w:num>
  <w:num w:numId="39">
    <w:abstractNumId w:val="26"/>
  </w:num>
  <w:num w:numId="40">
    <w:abstractNumId w:val="67"/>
  </w:num>
  <w:num w:numId="41">
    <w:abstractNumId w:val="3"/>
  </w:num>
  <w:num w:numId="42">
    <w:abstractNumId w:val="59"/>
  </w:num>
  <w:num w:numId="43">
    <w:abstractNumId w:val="12"/>
  </w:num>
  <w:num w:numId="44">
    <w:abstractNumId w:val="35"/>
  </w:num>
  <w:num w:numId="45">
    <w:abstractNumId w:val="4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0F"/>
    <w:rsid w:val="00001DDF"/>
    <w:rsid w:val="0000322D"/>
    <w:rsid w:val="00007670"/>
    <w:rsid w:val="00010665"/>
    <w:rsid w:val="0002393A"/>
    <w:rsid w:val="00026D9E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3D8A"/>
    <w:rsid w:val="000801B3"/>
    <w:rsid w:val="00080202"/>
    <w:rsid w:val="00080DCD"/>
    <w:rsid w:val="00080E22"/>
    <w:rsid w:val="00082573"/>
    <w:rsid w:val="00082FD0"/>
    <w:rsid w:val="000840A3"/>
    <w:rsid w:val="00085062"/>
    <w:rsid w:val="00086A5F"/>
    <w:rsid w:val="000911EF"/>
    <w:rsid w:val="000962C5"/>
    <w:rsid w:val="00097865"/>
    <w:rsid w:val="000A4317"/>
    <w:rsid w:val="000A559C"/>
    <w:rsid w:val="000A7A5C"/>
    <w:rsid w:val="000B2CA1"/>
    <w:rsid w:val="000B38F8"/>
    <w:rsid w:val="000B7FF7"/>
    <w:rsid w:val="000C36BB"/>
    <w:rsid w:val="000D1F29"/>
    <w:rsid w:val="000D5560"/>
    <w:rsid w:val="000D633D"/>
    <w:rsid w:val="000E342B"/>
    <w:rsid w:val="000E3ED2"/>
    <w:rsid w:val="000E5DD2"/>
    <w:rsid w:val="000F2958"/>
    <w:rsid w:val="000F3850"/>
    <w:rsid w:val="000F604F"/>
    <w:rsid w:val="000F6C12"/>
    <w:rsid w:val="00103546"/>
    <w:rsid w:val="00104E7F"/>
    <w:rsid w:val="001137EC"/>
    <w:rsid w:val="001152F5"/>
    <w:rsid w:val="00117743"/>
    <w:rsid w:val="00117F5B"/>
    <w:rsid w:val="001244B2"/>
    <w:rsid w:val="00132658"/>
    <w:rsid w:val="00147302"/>
    <w:rsid w:val="00150DC0"/>
    <w:rsid w:val="0015394D"/>
    <w:rsid w:val="00156CD4"/>
    <w:rsid w:val="0016153B"/>
    <w:rsid w:val="00162207"/>
    <w:rsid w:val="00164A3E"/>
    <w:rsid w:val="00166FF6"/>
    <w:rsid w:val="001714B9"/>
    <w:rsid w:val="00172681"/>
    <w:rsid w:val="00176123"/>
    <w:rsid w:val="00181620"/>
    <w:rsid w:val="00187130"/>
    <w:rsid w:val="001957AD"/>
    <w:rsid w:val="00196A54"/>
    <w:rsid w:val="00196F8E"/>
    <w:rsid w:val="001A2B7F"/>
    <w:rsid w:val="001A3AFD"/>
    <w:rsid w:val="001A496C"/>
    <w:rsid w:val="001A576A"/>
    <w:rsid w:val="001B03F9"/>
    <w:rsid w:val="001B28DA"/>
    <w:rsid w:val="001B2B6C"/>
    <w:rsid w:val="001D01C4"/>
    <w:rsid w:val="001D4F99"/>
    <w:rsid w:val="001D52B0"/>
    <w:rsid w:val="001D5A18"/>
    <w:rsid w:val="001D6D2B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689"/>
    <w:rsid w:val="0021451F"/>
    <w:rsid w:val="00230031"/>
    <w:rsid w:val="002322EB"/>
    <w:rsid w:val="00232E2C"/>
    <w:rsid w:val="00235C01"/>
    <w:rsid w:val="00247343"/>
    <w:rsid w:val="0025534A"/>
    <w:rsid w:val="00263282"/>
    <w:rsid w:val="00265C56"/>
    <w:rsid w:val="002716CD"/>
    <w:rsid w:val="00274D4B"/>
    <w:rsid w:val="002806F5"/>
    <w:rsid w:val="00281577"/>
    <w:rsid w:val="00287D73"/>
    <w:rsid w:val="002926BC"/>
    <w:rsid w:val="00293A72"/>
    <w:rsid w:val="00293CB2"/>
    <w:rsid w:val="002A0160"/>
    <w:rsid w:val="002A30C3"/>
    <w:rsid w:val="002A6F6A"/>
    <w:rsid w:val="002A7712"/>
    <w:rsid w:val="002B38F7"/>
    <w:rsid w:val="002B4F50"/>
    <w:rsid w:val="002B5591"/>
    <w:rsid w:val="002B6AA4"/>
    <w:rsid w:val="002C095F"/>
    <w:rsid w:val="002C1FE9"/>
    <w:rsid w:val="002C7462"/>
    <w:rsid w:val="002D3A57"/>
    <w:rsid w:val="002D3CB1"/>
    <w:rsid w:val="002D6524"/>
    <w:rsid w:val="002D7D05"/>
    <w:rsid w:val="002E20C8"/>
    <w:rsid w:val="002E4290"/>
    <w:rsid w:val="002E66A6"/>
    <w:rsid w:val="002F0DB1"/>
    <w:rsid w:val="002F2885"/>
    <w:rsid w:val="002F2CA1"/>
    <w:rsid w:val="002F45A1"/>
    <w:rsid w:val="002F6C4D"/>
    <w:rsid w:val="0030203D"/>
    <w:rsid w:val="003037F9"/>
    <w:rsid w:val="0030583E"/>
    <w:rsid w:val="00307FE1"/>
    <w:rsid w:val="00314ED4"/>
    <w:rsid w:val="003164BA"/>
    <w:rsid w:val="003258E6"/>
    <w:rsid w:val="003310BE"/>
    <w:rsid w:val="00342283"/>
    <w:rsid w:val="003426E5"/>
    <w:rsid w:val="00343A87"/>
    <w:rsid w:val="00344A36"/>
    <w:rsid w:val="003456F4"/>
    <w:rsid w:val="00347FB6"/>
    <w:rsid w:val="003504FD"/>
    <w:rsid w:val="00350881"/>
    <w:rsid w:val="00357D55"/>
    <w:rsid w:val="003628E2"/>
    <w:rsid w:val="00363513"/>
    <w:rsid w:val="003657E5"/>
    <w:rsid w:val="0036589C"/>
    <w:rsid w:val="00371312"/>
    <w:rsid w:val="00371DC7"/>
    <w:rsid w:val="00377B21"/>
    <w:rsid w:val="00382A7F"/>
    <w:rsid w:val="003875FC"/>
    <w:rsid w:val="00390862"/>
    <w:rsid w:val="00390CE3"/>
    <w:rsid w:val="00394876"/>
    <w:rsid w:val="00394AAF"/>
    <w:rsid w:val="00394CE5"/>
    <w:rsid w:val="00397939"/>
    <w:rsid w:val="003A1C54"/>
    <w:rsid w:val="003A611C"/>
    <w:rsid w:val="003A6341"/>
    <w:rsid w:val="003B67FD"/>
    <w:rsid w:val="003B6A61"/>
    <w:rsid w:val="003B7212"/>
    <w:rsid w:val="003C2198"/>
    <w:rsid w:val="003C29F6"/>
    <w:rsid w:val="003C4941"/>
    <w:rsid w:val="003D0F63"/>
    <w:rsid w:val="003D42C0"/>
    <w:rsid w:val="003D4A8F"/>
    <w:rsid w:val="003D5B29"/>
    <w:rsid w:val="003D7818"/>
    <w:rsid w:val="003E2445"/>
    <w:rsid w:val="003E3BB2"/>
    <w:rsid w:val="003F0098"/>
    <w:rsid w:val="003F5B58"/>
    <w:rsid w:val="0040222A"/>
    <w:rsid w:val="004030EC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37A29"/>
    <w:rsid w:val="00443B6E"/>
    <w:rsid w:val="00447DAC"/>
    <w:rsid w:val="00450636"/>
    <w:rsid w:val="0045420A"/>
    <w:rsid w:val="004554D4"/>
    <w:rsid w:val="00461744"/>
    <w:rsid w:val="0046561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26B0"/>
    <w:rsid w:val="004D344E"/>
    <w:rsid w:val="004D464A"/>
    <w:rsid w:val="004E019E"/>
    <w:rsid w:val="004E06EC"/>
    <w:rsid w:val="004E0A3F"/>
    <w:rsid w:val="004E2CB7"/>
    <w:rsid w:val="004F016A"/>
    <w:rsid w:val="004F0B52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71C1"/>
    <w:rsid w:val="00543BD1"/>
    <w:rsid w:val="00556113"/>
    <w:rsid w:val="00564C12"/>
    <w:rsid w:val="005654B8"/>
    <w:rsid w:val="00570D94"/>
    <w:rsid w:val="005762CC"/>
    <w:rsid w:val="0058290D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4811"/>
    <w:rsid w:val="005B5AC2"/>
    <w:rsid w:val="005C2833"/>
    <w:rsid w:val="005D50F2"/>
    <w:rsid w:val="005E144D"/>
    <w:rsid w:val="005E1500"/>
    <w:rsid w:val="005E3A43"/>
    <w:rsid w:val="005E5B3F"/>
    <w:rsid w:val="005E719B"/>
    <w:rsid w:val="005F0B17"/>
    <w:rsid w:val="005F6602"/>
    <w:rsid w:val="005F77C7"/>
    <w:rsid w:val="0060519C"/>
    <w:rsid w:val="00614380"/>
    <w:rsid w:val="006166B8"/>
    <w:rsid w:val="00620675"/>
    <w:rsid w:val="00622910"/>
    <w:rsid w:val="006254B6"/>
    <w:rsid w:val="00627FC8"/>
    <w:rsid w:val="006433C3"/>
    <w:rsid w:val="00650F5B"/>
    <w:rsid w:val="00663EC8"/>
    <w:rsid w:val="0066420F"/>
    <w:rsid w:val="006670D7"/>
    <w:rsid w:val="006719EA"/>
    <w:rsid w:val="00671F13"/>
    <w:rsid w:val="00673D4D"/>
    <w:rsid w:val="0067400A"/>
    <w:rsid w:val="00684198"/>
    <w:rsid w:val="006847AD"/>
    <w:rsid w:val="0069114B"/>
    <w:rsid w:val="00691D5D"/>
    <w:rsid w:val="006944C1"/>
    <w:rsid w:val="006A756A"/>
    <w:rsid w:val="006C0EC2"/>
    <w:rsid w:val="006D08A2"/>
    <w:rsid w:val="006D66F7"/>
    <w:rsid w:val="006E7B00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744B"/>
    <w:rsid w:val="007509C4"/>
    <w:rsid w:val="00755248"/>
    <w:rsid w:val="0076190B"/>
    <w:rsid w:val="0076355D"/>
    <w:rsid w:val="00763A2D"/>
    <w:rsid w:val="007676A4"/>
    <w:rsid w:val="007741FA"/>
    <w:rsid w:val="00777795"/>
    <w:rsid w:val="00783A57"/>
    <w:rsid w:val="00784C92"/>
    <w:rsid w:val="007859CD"/>
    <w:rsid w:val="00785C24"/>
    <w:rsid w:val="00786BD8"/>
    <w:rsid w:val="007907E4"/>
    <w:rsid w:val="00795C02"/>
    <w:rsid w:val="00796461"/>
    <w:rsid w:val="007978DE"/>
    <w:rsid w:val="007A6A4F"/>
    <w:rsid w:val="007B03F5"/>
    <w:rsid w:val="007B5C09"/>
    <w:rsid w:val="007B5DA2"/>
    <w:rsid w:val="007B6608"/>
    <w:rsid w:val="007C0966"/>
    <w:rsid w:val="007C19E7"/>
    <w:rsid w:val="007C5CFD"/>
    <w:rsid w:val="007C6D9F"/>
    <w:rsid w:val="007D0D7A"/>
    <w:rsid w:val="007D4893"/>
    <w:rsid w:val="007E3DAC"/>
    <w:rsid w:val="007E5B11"/>
    <w:rsid w:val="007E70CF"/>
    <w:rsid w:val="007E74A4"/>
    <w:rsid w:val="007F1B6F"/>
    <w:rsid w:val="007F232C"/>
    <w:rsid w:val="007F263F"/>
    <w:rsid w:val="008015A8"/>
    <w:rsid w:val="0080766E"/>
    <w:rsid w:val="00811169"/>
    <w:rsid w:val="00815297"/>
    <w:rsid w:val="008170DB"/>
    <w:rsid w:val="00817BA1"/>
    <w:rsid w:val="00823022"/>
    <w:rsid w:val="00824946"/>
    <w:rsid w:val="0082634E"/>
    <w:rsid w:val="008313C4"/>
    <w:rsid w:val="00832030"/>
    <w:rsid w:val="00835434"/>
    <w:rsid w:val="008358C0"/>
    <w:rsid w:val="00842838"/>
    <w:rsid w:val="00854EC1"/>
    <w:rsid w:val="0085797F"/>
    <w:rsid w:val="00861DC3"/>
    <w:rsid w:val="00867019"/>
    <w:rsid w:val="00867C62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EC2"/>
    <w:rsid w:val="008A4B30"/>
    <w:rsid w:val="008A7C12"/>
    <w:rsid w:val="008B03CE"/>
    <w:rsid w:val="008B529E"/>
    <w:rsid w:val="008C17FB"/>
    <w:rsid w:val="008C70BB"/>
    <w:rsid w:val="008D1B00"/>
    <w:rsid w:val="008D57B8"/>
    <w:rsid w:val="008D7CBA"/>
    <w:rsid w:val="008E03FC"/>
    <w:rsid w:val="008E510B"/>
    <w:rsid w:val="008E7CB1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56AE7"/>
    <w:rsid w:val="009616DF"/>
    <w:rsid w:val="0096542F"/>
    <w:rsid w:val="00967FA7"/>
    <w:rsid w:val="00971645"/>
    <w:rsid w:val="00972BF6"/>
    <w:rsid w:val="00977919"/>
    <w:rsid w:val="00983000"/>
    <w:rsid w:val="009870FA"/>
    <w:rsid w:val="009921C3"/>
    <w:rsid w:val="00995272"/>
    <w:rsid w:val="0099551D"/>
    <w:rsid w:val="009A5897"/>
    <w:rsid w:val="009A5F24"/>
    <w:rsid w:val="009B0B3E"/>
    <w:rsid w:val="009B1913"/>
    <w:rsid w:val="009B6657"/>
    <w:rsid w:val="009B6966"/>
    <w:rsid w:val="009C009A"/>
    <w:rsid w:val="009D0EB5"/>
    <w:rsid w:val="009D14F9"/>
    <w:rsid w:val="009D2B74"/>
    <w:rsid w:val="009D63FF"/>
    <w:rsid w:val="009E175D"/>
    <w:rsid w:val="009E3CC2"/>
    <w:rsid w:val="009F06BD"/>
    <w:rsid w:val="009F2A4D"/>
    <w:rsid w:val="009F5C54"/>
    <w:rsid w:val="00A00828"/>
    <w:rsid w:val="00A03290"/>
    <w:rsid w:val="00A0387E"/>
    <w:rsid w:val="00A05BFD"/>
    <w:rsid w:val="00A07490"/>
    <w:rsid w:val="00A10655"/>
    <w:rsid w:val="00A10AF4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5B35"/>
    <w:rsid w:val="00A76790"/>
    <w:rsid w:val="00A85D0C"/>
    <w:rsid w:val="00A925EC"/>
    <w:rsid w:val="00A929AA"/>
    <w:rsid w:val="00A92A30"/>
    <w:rsid w:val="00A92B6B"/>
    <w:rsid w:val="00AA541E"/>
    <w:rsid w:val="00AA64F2"/>
    <w:rsid w:val="00AB1F5F"/>
    <w:rsid w:val="00AD0B5D"/>
    <w:rsid w:val="00AD0DA4"/>
    <w:rsid w:val="00AD11BC"/>
    <w:rsid w:val="00AD4169"/>
    <w:rsid w:val="00AE25C6"/>
    <w:rsid w:val="00AE306C"/>
    <w:rsid w:val="00AE3159"/>
    <w:rsid w:val="00AE65D6"/>
    <w:rsid w:val="00AE7254"/>
    <w:rsid w:val="00AF28C1"/>
    <w:rsid w:val="00AF38E6"/>
    <w:rsid w:val="00B02EF1"/>
    <w:rsid w:val="00B0625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1F0"/>
    <w:rsid w:val="00B343CC"/>
    <w:rsid w:val="00B5084A"/>
    <w:rsid w:val="00B50ACE"/>
    <w:rsid w:val="00B56C28"/>
    <w:rsid w:val="00B606A1"/>
    <w:rsid w:val="00B614F7"/>
    <w:rsid w:val="00B61B26"/>
    <w:rsid w:val="00B65E6B"/>
    <w:rsid w:val="00B673AA"/>
    <w:rsid w:val="00B675B2"/>
    <w:rsid w:val="00B81261"/>
    <w:rsid w:val="00B8223E"/>
    <w:rsid w:val="00B832AE"/>
    <w:rsid w:val="00B86678"/>
    <w:rsid w:val="00B92F9B"/>
    <w:rsid w:val="00B941B3"/>
    <w:rsid w:val="00B9612D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5AE"/>
    <w:rsid w:val="00C309D8"/>
    <w:rsid w:val="00C31F02"/>
    <w:rsid w:val="00C43519"/>
    <w:rsid w:val="00C4525D"/>
    <w:rsid w:val="00C45263"/>
    <w:rsid w:val="00C51016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58A7"/>
    <w:rsid w:val="00C86609"/>
    <w:rsid w:val="00C92B4C"/>
    <w:rsid w:val="00C954F6"/>
    <w:rsid w:val="00C95FA1"/>
    <w:rsid w:val="00CA36A0"/>
    <w:rsid w:val="00CA6BC5"/>
    <w:rsid w:val="00CB4DCF"/>
    <w:rsid w:val="00CC571B"/>
    <w:rsid w:val="00CC61CD"/>
    <w:rsid w:val="00CC6AB2"/>
    <w:rsid w:val="00CC6C02"/>
    <w:rsid w:val="00CC737B"/>
    <w:rsid w:val="00CD18D3"/>
    <w:rsid w:val="00CD39DF"/>
    <w:rsid w:val="00CD5011"/>
    <w:rsid w:val="00CE640F"/>
    <w:rsid w:val="00CE76BC"/>
    <w:rsid w:val="00CF2DDB"/>
    <w:rsid w:val="00CF540E"/>
    <w:rsid w:val="00D02F07"/>
    <w:rsid w:val="00D05398"/>
    <w:rsid w:val="00D15D88"/>
    <w:rsid w:val="00D23559"/>
    <w:rsid w:val="00D27D49"/>
    <w:rsid w:val="00D27EBE"/>
    <w:rsid w:val="00D351D8"/>
    <w:rsid w:val="00D36A49"/>
    <w:rsid w:val="00D47DC7"/>
    <w:rsid w:val="00D517C6"/>
    <w:rsid w:val="00D5468C"/>
    <w:rsid w:val="00D54A85"/>
    <w:rsid w:val="00D602CA"/>
    <w:rsid w:val="00D670D5"/>
    <w:rsid w:val="00D71D84"/>
    <w:rsid w:val="00D72464"/>
    <w:rsid w:val="00D72A57"/>
    <w:rsid w:val="00D768EB"/>
    <w:rsid w:val="00D81E17"/>
    <w:rsid w:val="00D82D1E"/>
    <w:rsid w:val="00D832D9"/>
    <w:rsid w:val="00D90F00"/>
    <w:rsid w:val="00D92D9E"/>
    <w:rsid w:val="00D96804"/>
    <w:rsid w:val="00D96F11"/>
    <w:rsid w:val="00D975C0"/>
    <w:rsid w:val="00DA3594"/>
    <w:rsid w:val="00DA5285"/>
    <w:rsid w:val="00DA7FD9"/>
    <w:rsid w:val="00DB191D"/>
    <w:rsid w:val="00DB4F91"/>
    <w:rsid w:val="00DB6D0A"/>
    <w:rsid w:val="00DC06BE"/>
    <w:rsid w:val="00DC1F0F"/>
    <w:rsid w:val="00DC3117"/>
    <w:rsid w:val="00DC4E2A"/>
    <w:rsid w:val="00DC5DD9"/>
    <w:rsid w:val="00DC5EB5"/>
    <w:rsid w:val="00DC6D2D"/>
    <w:rsid w:val="00DD4E59"/>
    <w:rsid w:val="00DE33B5"/>
    <w:rsid w:val="00DE53CA"/>
    <w:rsid w:val="00DE5E18"/>
    <w:rsid w:val="00DF0487"/>
    <w:rsid w:val="00DF199F"/>
    <w:rsid w:val="00DF3FC4"/>
    <w:rsid w:val="00DF49D2"/>
    <w:rsid w:val="00DF5EA4"/>
    <w:rsid w:val="00DF6516"/>
    <w:rsid w:val="00E02681"/>
    <w:rsid w:val="00E02792"/>
    <w:rsid w:val="00E034D8"/>
    <w:rsid w:val="00E03E5D"/>
    <w:rsid w:val="00E04CC0"/>
    <w:rsid w:val="00E1221E"/>
    <w:rsid w:val="00E15358"/>
    <w:rsid w:val="00E15816"/>
    <w:rsid w:val="00E160D5"/>
    <w:rsid w:val="00E239FF"/>
    <w:rsid w:val="00E25168"/>
    <w:rsid w:val="00E27D7B"/>
    <w:rsid w:val="00E30556"/>
    <w:rsid w:val="00E30981"/>
    <w:rsid w:val="00E33136"/>
    <w:rsid w:val="00E33B7E"/>
    <w:rsid w:val="00E34D7C"/>
    <w:rsid w:val="00E3723D"/>
    <w:rsid w:val="00E44C89"/>
    <w:rsid w:val="00E457A6"/>
    <w:rsid w:val="00E473F3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A5137"/>
    <w:rsid w:val="00EB0A3C"/>
    <w:rsid w:val="00EB0A96"/>
    <w:rsid w:val="00EB77F9"/>
    <w:rsid w:val="00EC546B"/>
    <w:rsid w:val="00EC5769"/>
    <w:rsid w:val="00EC7D00"/>
    <w:rsid w:val="00ED0304"/>
    <w:rsid w:val="00ED1E61"/>
    <w:rsid w:val="00ED4FF7"/>
    <w:rsid w:val="00ED5B7B"/>
    <w:rsid w:val="00EE38FA"/>
    <w:rsid w:val="00EE3E2C"/>
    <w:rsid w:val="00EE5D23"/>
    <w:rsid w:val="00EE750D"/>
    <w:rsid w:val="00EF102E"/>
    <w:rsid w:val="00EF2356"/>
    <w:rsid w:val="00EF3CA4"/>
    <w:rsid w:val="00EF49A8"/>
    <w:rsid w:val="00EF7859"/>
    <w:rsid w:val="00F014DA"/>
    <w:rsid w:val="00F02591"/>
    <w:rsid w:val="00F11563"/>
    <w:rsid w:val="00F1601A"/>
    <w:rsid w:val="00F207C5"/>
    <w:rsid w:val="00F22CCC"/>
    <w:rsid w:val="00F30AE1"/>
    <w:rsid w:val="00F45DB1"/>
    <w:rsid w:val="00F5696E"/>
    <w:rsid w:val="00F60EFF"/>
    <w:rsid w:val="00F66FF5"/>
    <w:rsid w:val="00F67D2D"/>
    <w:rsid w:val="00F805D4"/>
    <w:rsid w:val="00F83801"/>
    <w:rsid w:val="00F858F2"/>
    <w:rsid w:val="00F860CC"/>
    <w:rsid w:val="00F86A0D"/>
    <w:rsid w:val="00F94398"/>
    <w:rsid w:val="00FB2B56"/>
    <w:rsid w:val="00FB342B"/>
    <w:rsid w:val="00FB55D5"/>
    <w:rsid w:val="00FC12BF"/>
    <w:rsid w:val="00FC2C60"/>
    <w:rsid w:val="00FD0A7C"/>
    <w:rsid w:val="00FD3E6F"/>
    <w:rsid w:val="00FD51B9"/>
    <w:rsid w:val="00FD5849"/>
    <w:rsid w:val="00FE03E4"/>
    <w:rsid w:val="00FE0E72"/>
    <w:rsid w:val="00FE2A39"/>
    <w:rsid w:val="00FF39CF"/>
    <w:rsid w:val="00FF4C6C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B7A836-5A66-4167-9D71-8C674D8F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numbering" Target="numbering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October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5B089E-87BE-4FD3-9391-2C16787D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8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Business Confidence Survey</vt:lpstr>
    </vt:vector>
  </TitlesOfParts>
  <Company>&lt;NAME&gt;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Business Confidence Survey</dc:title>
  <dc:creator>Northern Territory Government</dc:creator>
  <cp:lastModifiedBy>Euan Hawthorne</cp:lastModifiedBy>
  <cp:revision>2</cp:revision>
  <cp:lastPrinted>2022-10-13T06:25:00Z</cp:lastPrinted>
  <dcterms:created xsi:type="dcterms:W3CDTF">2022-10-20T23:05:00Z</dcterms:created>
  <dcterms:modified xsi:type="dcterms:W3CDTF">2022-10-20T23:05:00Z</dcterms:modified>
</cp:coreProperties>
</file>