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r w:rsidRPr="00937D3E">
        <w:t>Northern Territory</w:t>
      </w:r>
      <w:r w:rsidRPr="00937D3E">
        <w:br/>
        <w:t>Business Confidence survey</w:t>
      </w:r>
    </w:p>
    <w:p w:rsidR="0010343D" w:rsidRPr="0010343D" w:rsidRDefault="006848A1" w:rsidP="00C5531E">
      <w:pPr>
        <w:pStyle w:val="Subtitle"/>
      </w:pPr>
      <w:r>
        <w:t>December</w:t>
      </w:r>
      <w:r w:rsidR="003517A1">
        <w:t xml:space="preserve"> </w:t>
      </w:r>
      <w:r w:rsidR="00871C7C">
        <w:t>Quarter 2</w:t>
      </w:r>
      <w:r w:rsidR="003517A1" w:rsidRPr="003517A1">
        <w:t>019</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6848A1" w:rsidP="002B363C">
      <w:pPr>
        <w:widowControl w:val="0"/>
        <w:autoSpaceDE w:val="0"/>
        <w:autoSpaceDN w:val="0"/>
        <w:spacing w:before="287" w:after="0" w:line="240" w:lineRule="auto"/>
        <w:rPr>
          <w:rFonts w:eastAsia="Lato" w:cs="Lato"/>
          <w:b/>
          <w:bCs/>
          <w:color w:val="8D54A2"/>
          <w:sz w:val="40"/>
          <w:lang w:val="en-US"/>
        </w:rPr>
      </w:pPr>
      <w:r>
        <w:rPr>
          <w:rFonts w:eastAsia="Lato" w:cs="Lato"/>
          <w:b/>
          <w:bCs/>
          <w:color w:val="8D54A2"/>
          <w:sz w:val="40"/>
          <w:lang w:val="en-US"/>
        </w:rPr>
        <w:t>December</w:t>
      </w:r>
      <w:r w:rsidR="003517A1" w:rsidRPr="00EF63F6">
        <w:rPr>
          <w:rFonts w:eastAsia="Lato" w:cs="Lato"/>
          <w:b/>
          <w:bCs/>
          <w:color w:val="8D54A2"/>
          <w:sz w:val="40"/>
          <w:lang w:val="en-US"/>
        </w:rPr>
        <w:t xml:space="preserve"> </w:t>
      </w:r>
      <w:r w:rsidR="00937D3E" w:rsidRPr="00EF63F6">
        <w:rPr>
          <w:rFonts w:eastAsia="Lato" w:cs="Lato"/>
          <w:b/>
          <w:bCs/>
          <w:color w:val="8D54A2"/>
          <w:sz w:val="40"/>
          <w:lang w:val="en-US"/>
        </w:rPr>
        <w:t>Q</w:t>
      </w:r>
      <w:r w:rsidR="003517A1" w:rsidRPr="00EF63F6">
        <w:rPr>
          <w:rFonts w:eastAsia="Lato" w:cs="Lato"/>
          <w:b/>
          <w:bCs/>
          <w:color w:val="8D54A2"/>
          <w:sz w:val="40"/>
          <w:lang w:val="en-US"/>
        </w:rPr>
        <w:t>uarter 201</w:t>
      </w:r>
      <w:r w:rsidR="00EF63F6" w:rsidRPr="00EF63F6">
        <w:rPr>
          <w:rFonts w:eastAsia="Lato" w:cs="Lato"/>
          <w:b/>
          <w:bCs/>
          <w:color w:val="8D54A2"/>
          <w:sz w:val="40"/>
          <w:lang w:val="en-US"/>
        </w:rPr>
        <w:t>9</w:t>
      </w:r>
    </w:p>
    <w:p w:rsidR="0010343D" w:rsidRPr="00937D3E" w:rsidRDefault="006848A1" w:rsidP="00745DE4">
      <w:pPr>
        <w:pStyle w:val="Heading2"/>
        <w:rPr>
          <w:color w:val="auto"/>
        </w:rPr>
      </w:pPr>
      <w:r w:rsidRPr="00937D3E">
        <w:rPr>
          <w:noProof/>
          <w:color w:val="auto"/>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right</wp:align>
                </wp:positionH>
                <wp:positionV relativeFrom="paragraph">
                  <wp:posOffset>123190</wp:posOffset>
                </wp:positionV>
                <wp:extent cx="7551420" cy="3459480"/>
                <wp:effectExtent l="0" t="0" r="0" b="762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3459480"/>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37FE42" id="Rectangle 210" o:spid="_x0000_s1026" alt="Decorative" style="position:absolute;margin-left:543.4pt;margin-top:9.7pt;width:594.6pt;height:272.4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" fillcolor="#bfa5ce" stroked="f">
                <w10:wrap anchorx="page"/>
              </v:rect>
            </w:pict>
          </mc:Fallback>
        </mc:AlternateContent>
      </w:r>
      <w:r w:rsidR="00745DE4" w:rsidRPr="00937D3E">
        <w:rPr>
          <w:color w:val="auto"/>
        </w:rPr>
        <w:t>Summary</w:t>
      </w:r>
    </w:p>
    <w:p w:rsidR="00F6305A" w:rsidRPr="00F6305A" w:rsidRDefault="00F6305A" w:rsidP="006848A1">
      <w:pPr>
        <w:pStyle w:val="ListParagraph"/>
        <w:numPr>
          <w:ilvl w:val="0"/>
          <w:numId w:val="2"/>
        </w:numPr>
        <w:rPr>
          <w:sz w:val="30"/>
          <w:szCs w:val="30"/>
          <w:lang w:val="en-US"/>
        </w:rPr>
      </w:pPr>
      <w:r w:rsidRPr="00F6305A">
        <w:rPr>
          <w:sz w:val="30"/>
          <w:szCs w:val="30"/>
          <w:lang w:val="en-US"/>
        </w:rPr>
        <w:t xml:space="preserve">The Territory-wide business confidence level was </w:t>
      </w:r>
      <w:r w:rsidR="006848A1" w:rsidRPr="006848A1">
        <w:rPr>
          <w:sz w:val="30"/>
          <w:szCs w:val="30"/>
          <w:lang w:val="en-US"/>
        </w:rPr>
        <w:t>+52% in the December quarter 2019. This represents a 2 percentage point increase from the September quarter 2019 and a 2 percentage point increase on the same quarter in 2018.</w:t>
      </w:r>
    </w:p>
    <w:p w:rsidR="006848A1" w:rsidRDefault="00F6305A" w:rsidP="006848A1">
      <w:pPr>
        <w:pStyle w:val="ListParagraph"/>
        <w:numPr>
          <w:ilvl w:val="0"/>
          <w:numId w:val="2"/>
        </w:numPr>
        <w:rPr>
          <w:sz w:val="30"/>
          <w:szCs w:val="30"/>
          <w:lang w:val="en-US"/>
        </w:rPr>
      </w:pPr>
      <w:r w:rsidRPr="006848A1">
        <w:rPr>
          <w:sz w:val="30"/>
          <w:szCs w:val="30"/>
          <w:lang w:val="en-US"/>
        </w:rPr>
        <w:t xml:space="preserve">Between </w:t>
      </w:r>
      <w:r w:rsidR="006848A1" w:rsidRPr="006848A1">
        <w:rPr>
          <w:sz w:val="30"/>
          <w:szCs w:val="30"/>
          <w:lang w:val="en-US"/>
        </w:rPr>
        <w:t>1 October and 30 December 2019, 262 businesses were surveyed across Territory regions and industry sectors.</w:t>
      </w:r>
    </w:p>
    <w:p w:rsidR="00F6305A" w:rsidRPr="006848A1" w:rsidRDefault="00F6305A" w:rsidP="006848A1">
      <w:pPr>
        <w:pStyle w:val="ListParagraph"/>
        <w:numPr>
          <w:ilvl w:val="0"/>
          <w:numId w:val="2"/>
        </w:numPr>
        <w:rPr>
          <w:sz w:val="30"/>
          <w:szCs w:val="30"/>
          <w:lang w:val="en-US"/>
        </w:rPr>
      </w:pPr>
      <w:r w:rsidRPr="006848A1">
        <w:rPr>
          <w:sz w:val="30"/>
          <w:szCs w:val="30"/>
          <w:lang w:val="en-US"/>
        </w:rPr>
        <w:t xml:space="preserve">Business </w:t>
      </w:r>
      <w:r w:rsidR="006848A1" w:rsidRPr="006848A1">
        <w:rPr>
          <w:sz w:val="30"/>
          <w:szCs w:val="30"/>
          <w:lang w:val="en-US"/>
        </w:rPr>
        <w:t>confidence by region ranged from +89% in East Arnhem to +11% in the Daly-</w:t>
      </w:r>
      <w:proofErr w:type="spellStart"/>
      <w:r w:rsidR="006848A1" w:rsidRPr="006848A1">
        <w:rPr>
          <w:sz w:val="30"/>
          <w:szCs w:val="30"/>
          <w:lang w:val="en-US"/>
        </w:rPr>
        <w:t>Tiwi</w:t>
      </w:r>
      <w:proofErr w:type="spellEnd"/>
      <w:r w:rsidR="006848A1" w:rsidRPr="006848A1">
        <w:rPr>
          <w:sz w:val="30"/>
          <w:szCs w:val="30"/>
          <w:lang w:val="en-US"/>
        </w:rPr>
        <w:t>-West Arnhem region.</w:t>
      </w:r>
    </w:p>
    <w:p w:rsidR="0010343D" w:rsidRPr="008771F0" w:rsidRDefault="006848A1" w:rsidP="006848A1">
      <w:pPr>
        <w:pStyle w:val="ListParagraph"/>
        <w:numPr>
          <w:ilvl w:val="0"/>
          <w:numId w:val="2"/>
        </w:numPr>
        <w:rPr>
          <w:sz w:val="30"/>
          <w:szCs w:val="30"/>
          <w:lang w:val="en-US"/>
        </w:rPr>
      </w:pPr>
      <w:r w:rsidRPr="006848A1">
        <w:rPr>
          <w:sz w:val="30"/>
          <w:szCs w:val="30"/>
          <w:lang w:val="en-US"/>
        </w:rPr>
        <w:t xml:space="preserve">46% of businesses surveyed expected to perform better this year compared to the previous year, representing a 6 percentage point increase from the September quarter 2019.  </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F14E79" w:rsidRPr="00F14E79"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P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10343D" w:rsidP="00AD6BD6">
      <w:pPr>
        <w:rPr>
          <w:lang w:val="en-US"/>
        </w:rPr>
      </w:pPr>
    </w:p>
    <w:p w:rsidR="0010343D" w:rsidRPr="000128A1" w:rsidRDefault="00AD6BD6" w:rsidP="000128A1">
      <w:pPr>
        <w:pStyle w:val="Heading2"/>
      </w:pPr>
      <w:r>
        <w:br w:type="page"/>
      </w:r>
      <w:r w:rsidR="000128A1" w:rsidRPr="000128A1">
        <w:lastRenderedPageBreak/>
        <w:t>Number of businesses surveyed by regions</w:t>
      </w:r>
    </w:p>
    <w:p w:rsidR="0010343D" w:rsidRPr="00937D3E" w:rsidRDefault="00937D3E" w:rsidP="00AD6BD6">
      <w:pPr>
        <w:widowControl w:val="0"/>
        <w:autoSpaceDE w:val="0"/>
        <w:autoSpaceDN w:val="0"/>
        <w:spacing w:before="158" w:after="0" w:line="240" w:lineRule="auto"/>
        <w:rPr>
          <w:rFonts w:eastAsia="Lato" w:cs="Lato"/>
          <w:b/>
          <w:bCs/>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10343D" w:rsidRPr="0010343D" w:rsidRDefault="006848A1" w:rsidP="00F6305A">
      <w:pPr>
        <w:rPr>
          <w:lang w:val="en-US"/>
        </w:rPr>
      </w:pPr>
      <w:r>
        <w:rPr>
          <w:noProof/>
          <w:lang w:eastAsia="en-AU"/>
        </w:rPr>
        <w:drawing>
          <wp:inline distT="0" distB="0" distL="0" distR="0" wp14:anchorId="625A10C5" wp14:editId="6F18014A">
            <wp:extent cx="5962650" cy="3657600"/>
            <wp:effectExtent l="0" t="0" r="0" b="0"/>
            <wp:docPr id="1" name="Picture 1" descr="The map breaks down the Statistical Area 3 regions of the Northern Territory, and outlines the number of survey responses by region. See below tabl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2650" cy="3657600"/>
                    </a:xfrm>
                    <a:prstGeom prst="rect">
                      <a:avLst/>
                    </a:prstGeom>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6848A1" w:rsidTr="00C27456">
        <w:trPr>
          <w:trHeight w:val="397"/>
        </w:trPr>
        <w:tc>
          <w:tcPr>
            <w:tcW w:w="3607" w:type="dxa"/>
            <w:shd w:val="clear" w:color="auto" w:fill="EBEBEC"/>
            <w:vAlign w:val="bottom"/>
          </w:tcPr>
          <w:p w:rsidR="006848A1" w:rsidRDefault="006848A1" w:rsidP="006848A1">
            <w:pPr>
              <w:pStyle w:val="TableParagraph"/>
              <w:spacing w:after="40"/>
            </w:pPr>
            <w:r>
              <w:rPr>
                <w:color w:val="231F20"/>
              </w:rPr>
              <w:t>Greater Darwin</w:t>
            </w:r>
          </w:p>
        </w:tc>
        <w:tc>
          <w:tcPr>
            <w:tcW w:w="2068" w:type="dxa"/>
            <w:shd w:val="clear" w:color="auto" w:fill="EBEBEC"/>
            <w:vAlign w:val="bottom"/>
          </w:tcPr>
          <w:p w:rsidR="006848A1" w:rsidRPr="00A23E26" w:rsidRDefault="006848A1" w:rsidP="006848A1">
            <w:pPr>
              <w:spacing w:after="40"/>
              <w:jc w:val="right"/>
            </w:pPr>
            <w:r w:rsidRPr="00A23E26">
              <w:t>10 652</w:t>
            </w:r>
          </w:p>
        </w:tc>
        <w:tc>
          <w:tcPr>
            <w:tcW w:w="1985" w:type="dxa"/>
            <w:shd w:val="clear" w:color="auto" w:fill="EBEBEC"/>
          </w:tcPr>
          <w:p w:rsidR="006848A1" w:rsidRDefault="006848A1" w:rsidP="006848A1">
            <w:pPr>
              <w:spacing w:after="40"/>
              <w:jc w:val="right"/>
            </w:pPr>
            <w:r w:rsidRPr="006848A1">
              <w:t>88</w:t>
            </w:r>
          </w:p>
        </w:tc>
        <w:tc>
          <w:tcPr>
            <w:tcW w:w="1984" w:type="dxa"/>
            <w:shd w:val="clear" w:color="auto" w:fill="EBEBEC"/>
          </w:tcPr>
          <w:p w:rsidR="006848A1" w:rsidRDefault="006848A1" w:rsidP="006848A1">
            <w:pPr>
              <w:spacing w:after="40"/>
              <w:jc w:val="right"/>
            </w:pPr>
            <w:r w:rsidRPr="006848A1">
              <w:t>0.8%</w:t>
            </w:r>
          </w:p>
        </w:tc>
      </w:tr>
      <w:tr w:rsidR="006848A1" w:rsidTr="00C27456">
        <w:trPr>
          <w:trHeight w:val="397"/>
        </w:trPr>
        <w:tc>
          <w:tcPr>
            <w:tcW w:w="3607" w:type="dxa"/>
            <w:shd w:val="clear" w:color="auto" w:fill="EBEBEC"/>
            <w:vAlign w:val="bottom"/>
          </w:tcPr>
          <w:p w:rsidR="006848A1" w:rsidRDefault="006848A1" w:rsidP="006848A1">
            <w:pPr>
              <w:pStyle w:val="TableParagraph"/>
              <w:spacing w:after="40"/>
            </w:pPr>
            <w:r>
              <w:rPr>
                <w:color w:val="231F20"/>
              </w:rPr>
              <w:t>Daly-Tiwi-West Arnhem</w:t>
            </w:r>
          </w:p>
        </w:tc>
        <w:tc>
          <w:tcPr>
            <w:tcW w:w="2068" w:type="dxa"/>
            <w:shd w:val="clear" w:color="auto" w:fill="EBEBEC"/>
            <w:vAlign w:val="bottom"/>
          </w:tcPr>
          <w:p w:rsidR="006848A1" w:rsidRPr="00A23E26" w:rsidRDefault="006848A1" w:rsidP="006848A1">
            <w:pPr>
              <w:spacing w:after="40"/>
              <w:jc w:val="right"/>
            </w:pPr>
            <w:r w:rsidRPr="00A23E26">
              <w:t>360</w:t>
            </w:r>
          </w:p>
        </w:tc>
        <w:tc>
          <w:tcPr>
            <w:tcW w:w="1985" w:type="dxa"/>
            <w:shd w:val="clear" w:color="auto" w:fill="EBEBEC"/>
          </w:tcPr>
          <w:p w:rsidR="006848A1" w:rsidRDefault="006848A1" w:rsidP="006848A1">
            <w:pPr>
              <w:spacing w:after="40"/>
              <w:jc w:val="right"/>
            </w:pPr>
            <w:r w:rsidRPr="006848A1">
              <w:t>9</w:t>
            </w:r>
          </w:p>
        </w:tc>
        <w:tc>
          <w:tcPr>
            <w:tcW w:w="1984" w:type="dxa"/>
            <w:shd w:val="clear" w:color="auto" w:fill="EBEBEC"/>
          </w:tcPr>
          <w:p w:rsidR="006848A1" w:rsidRDefault="006848A1" w:rsidP="006848A1">
            <w:pPr>
              <w:spacing w:after="40"/>
              <w:jc w:val="right"/>
            </w:pPr>
            <w:r w:rsidRPr="006848A1">
              <w:t>2.5%</w:t>
            </w:r>
          </w:p>
        </w:tc>
      </w:tr>
      <w:tr w:rsidR="006848A1" w:rsidTr="00C27456">
        <w:trPr>
          <w:trHeight w:val="397"/>
        </w:trPr>
        <w:tc>
          <w:tcPr>
            <w:tcW w:w="3607" w:type="dxa"/>
            <w:shd w:val="clear" w:color="auto" w:fill="EBEBEC"/>
            <w:vAlign w:val="bottom"/>
          </w:tcPr>
          <w:p w:rsidR="006848A1" w:rsidRDefault="006848A1" w:rsidP="006848A1">
            <w:pPr>
              <w:pStyle w:val="TableParagraph"/>
              <w:spacing w:after="40"/>
            </w:pPr>
            <w:r>
              <w:rPr>
                <w:color w:val="231F20"/>
              </w:rPr>
              <w:t>East Arnhem</w:t>
            </w:r>
          </w:p>
        </w:tc>
        <w:tc>
          <w:tcPr>
            <w:tcW w:w="2068" w:type="dxa"/>
            <w:shd w:val="clear" w:color="auto" w:fill="EBEBEC"/>
            <w:vAlign w:val="bottom"/>
          </w:tcPr>
          <w:p w:rsidR="006848A1" w:rsidRPr="00A23E26" w:rsidRDefault="006848A1" w:rsidP="006848A1">
            <w:pPr>
              <w:spacing w:after="40"/>
              <w:jc w:val="right"/>
            </w:pPr>
            <w:r w:rsidRPr="00A23E26">
              <w:t>220</w:t>
            </w:r>
          </w:p>
        </w:tc>
        <w:tc>
          <w:tcPr>
            <w:tcW w:w="1985" w:type="dxa"/>
            <w:shd w:val="clear" w:color="auto" w:fill="EBEBEC"/>
          </w:tcPr>
          <w:p w:rsidR="006848A1" w:rsidRDefault="006848A1" w:rsidP="006848A1">
            <w:pPr>
              <w:spacing w:after="40"/>
              <w:jc w:val="right"/>
            </w:pPr>
            <w:r w:rsidRPr="006848A1">
              <w:t>35</w:t>
            </w:r>
          </w:p>
        </w:tc>
        <w:tc>
          <w:tcPr>
            <w:tcW w:w="1984" w:type="dxa"/>
            <w:shd w:val="clear" w:color="auto" w:fill="EBEBEC"/>
          </w:tcPr>
          <w:p w:rsidR="006848A1" w:rsidRDefault="006848A1" w:rsidP="006848A1">
            <w:pPr>
              <w:spacing w:after="40"/>
              <w:jc w:val="right"/>
            </w:pPr>
            <w:r w:rsidRPr="006848A1">
              <w:t>15.9%</w:t>
            </w:r>
          </w:p>
        </w:tc>
      </w:tr>
      <w:tr w:rsidR="006848A1" w:rsidTr="00C27456">
        <w:trPr>
          <w:trHeight w:val="397"/>
        </w:trPr>
        <w:tc>
          <w:tcPr>
            <w:tcW w:w="3607" w:type="dxa"/>
            <w:shd w:val="clear" w:color="auto" w:fill="EBEBEC"/>
            <w:vAlign w:val="bottom"/>
          </w:tcPr>
          <w:p w:rsidR="006848A1" w:rsidRDefault="006848A1" w:rsidP="006848A1">
            <w:pPr>
              <w:pStyle w:val="TableParagraph"/>
              <w:spacing w:after="40"/>
            </w:pPr>
            <w:r>
              <w:rPr>
                <w:color w:val="231F20"/>
              </w:rPr>
              <w:t>Katherine (Big Rivers)</w:t>
            </w:r>
          </w:p>
        </w:tc>
        <w:tc>
          <w:tcPr>
            <w:tcW w:w="2068" w:type="dxa"/>
            <w:shd w:val="clear" w:color="auto" w:fill="EBEBEC"/>
            <w:vAlign w:val="bottom"/>
          </w:tcPr>
          <w:p w:rsidR="006848A1" w:rsidRPr="00A23E26" w:rsidRDefault="006848A1" w:rsidP="006848A1">
            <w:pPr>
              <w:spacing w:after="40"/>
              <w:jc w:val="right"/>
            </w:pPr>
            <w:r w:rsidRPr="00A23E26">
              <w:t>927</w:t>
            </w:r>
          </w:p>
        </w:tc>
        <w:tc>
          <w:tcPr>
            <w:tcW w:w="1985" w:type="dxa"/>
            <w:shd w:val="clear" w:color="auto" w:fill="EBEBEC"/>
          </w:tcPr>
          <w:p w:rsidR="006848A1" w:rsidRDefault="006848A1" w:rsidP="006848A1">
            <w:pPr>
              <w:spacing w:after="40"/>
              <w:jc w:val="right"/>
            </w:pPr>
            <w:r w:rsidRPr="006848A1">
              <w:t>24</w:t>
            </w:r>
          </w:p>
        </w:tc>
        <w:tc>
          <w:tcPr>
            <w:tcW w:w="1984" w:type="dxa"/>
            <w:shd w:val="clear" w:color="auto" w:fill="EBEBEC"/>
          </w:tcPr>
          <w:p w:rsidR="006848A1" w:rsidRDefault="006848A1" w:rsidP="006848A1">
            <w:pPr>
              <w:spacing w:after="40"/>
              <w:jc w:val="right"/>
            </w:pPr>
            <w:r w:rsidRPr="006848A1">
              <w:t>2.6%</w:t>
            </w:r>
          </w:p>
        </w:tc>
      </w:tr>
      <w:tr w:rsidR="006848A1" w:rsidTr="00C27456">
        <w:trPr>
          <w:trHeight w:val="397"/>
        </w:trPr>
        <w:tc>
          <w:tcPr>
            <w:tcW w:w="3607" w:type="dxa"/>
            <w:shd w:val="clear" w:color="auto" w:fill="EBEBEC"/>
            <w:vAlign w:val="bottom"/>
          </w:tcPr>
          <w:p w:rsidR="006848A1" w:rsidRDefault="006848A1" w:rsidP="006848A1">
            <w:pPr>
              <w:pStyle w:val="TableParagraph"/>
              <w:spacing w:after="40"/>
            </w:pPr>
            <w:r>
              <w:rPr>
                <w:color w:val="231F20"/>
              </w:rPr>
              <w:t>Barkly-Tennant Creek</w:t>
            </w:r>
          </w:p>
        </w:tc>
        <w:tc>
          <w:tcPr>
            <w:tcW w:w="2068" w:type="dxa"/>
            <w:shd w:val="clear" w:color="auto" w:fill="EBEBEC"/>
            <w:vAlign w:val="bottom"/>
          </w:tcPr>
          <w:p w:rsidR="006848A1" w:rsidRPr="00A23E26" w:rsidRDefault="006848A1" w:rsidP="006848A1">
            <w:pPr>
              <w:spacing w:after="40"/>
              <w:jc w:val="right"/>
            </w:pPr>
            <w:r w:rsidRPr="00A23E26">
              <w:t>214</w:t>
            </w:r>
          </w:p>
        </w:tc>
        <w:tc>
          <w:tcPr>
            <w:tcW w:w="1985" w:type="dxa"/>
            <w:shd w:val="clear" w:color="auto" w:fill="EBEBEC"/>
          </w:tcPr>
          <w:p w:rsidR="006848A1" w:rsidRDefault="006848A1" w:rsidP="006848A1">
            <w:pPr>
              <w:spacing w:after="40"/>
              <w:jc w:val="right"/>
            </w:pPr>
            <w:r w:rsidRPr="006848A1">
              <w:t>3</w:t>
            </w:r>
          </w:p>
        </w:tc>
        <w:tc>
          <w:tcPr>
            <w:tcW w:w="1984" w:type="dxa"/>
            <w:shd w:val="clear" w:color="auto" w:fill="EBEBEC"/>
          </w:tcPr>
          <w:p w:rsidR="006848A1" w:rsidRDefault="006848A1" w:rsidP="006848A1">
            <w:pPr>
              <w:spacing w:after="40"/>
              <w:jc w:val="right"/>
            </w:pPr>
            <w:r w:rsidRPr="006848A1">
              <w:t>1.4%</w:t>
            </w:r>
          </w:p>
        </w:tc>
      </w:tr>
      <w:tr w:rsidR="006848A1" w:rsidTr="00C27456">
        <w:trPr>
          <w:trHeight w:val="397"/>
        </w:trPr>
        <w:tc>
          <w:tcPr>
            <w:tcW w:w="3607" w:type="dxa"/>
            <w:shd w:val="clear" w:color="auto" w:fill="EBEBEC"/>
            <w:vAlign w:val="bottom"/>
          </w:tcPr>
          <w:p w:rsidR="006848A1" w:rsidRDefault="006848A1" w:rsidP="006848A1">
            <w:pPr>
              <w:pStyle w:val="TableParagraph"/>
              <w:spacing w:after="40"/>
            </w:pPr>
            <w:r>
              <w:rPr>
                <w:color w:val="231F20"/>
              </w:rPr>
              <w:t>Alice Springs</w:t>
            </w:r>
          </w:p>
        </w:tc>
        <w:tc>
          <w:tcPr>
            <w:tcW w:w="2068" w:type="dxa"/>
            <w:shd w:val="clear" w:color="auto" w:fill="EBEBEC"/>
            <w:vAlign w:val="bottom"/>
          </w:tcPr>
          <w:p w:rsidR="006848A1" w:rsidRPr="00A23E26" w:rsidRDefault="006848A1" w:rsidP="006848A1">
            <w:pPr>
              <w:spacing w:after="40"/>
              <w:jc w:val="right"/>
            </w:pPr>
            <w:r w:rsidRPr="00A23E26">
              <w:t>2076</w:t>
            </w:r>
          </w:p>
        </w:tc>
        <w:tc>
          <w:tcPr>
            <w:tcW w:w="1985" w:type="dxa"/>
            <w:shd w:val="clear" w:color="auto" w:fill="EBEBEC"/>
          </w:tcPr>
          <w:p w:rsidR="006848A1" w:rsidRDefault="006848A1" w:rsidP="006848A1">
            <w:pPr>
              <w:spacing w:after="40"/>
              <w:jc w:val="right"/>
            </w:pPr>
            <w:r w:rsidRPr="006848A1">
              <w:t>92</w:t>
            </w:r>
          </w:p>
        </w:tc>
        <w:tc>
          <w:tcPr>
            <w:tcW w:w="1984" w:type="dxa"/>
            <w:shd w:val="clear" w:color="auto" w:fill="EBEBEC"/>
          </w:tcPr>
          <w:p w:rsidR="006848A1" w:rsidRDefault="006848A1" w:rsidP="006848A1">
            <w:pPr>
              <w:spacing w:after="40"/>
              <w:jc w:val="right"/>
            </w:pPr>
            <w:r w:rsidRPr="006848A1">
              <w:t>4.4%</w:t>
            </w:r>
          </w:p>
        </w:tc>
      </w:tr>
      <w:tr w:rsidR="006848A1" w:rsidTr="00C27456">
        <w:trPr>
          <w:trHeight w:val="397"/>
        </w:trPr>
        <w:tc>
          <w:tcPr>
            <w:tcW w:w="3607" w:type="dxa"/>
            <w:shd w:val="clear" w:color="auto" w:fill="EBEBEC"/>
            <w:vAlign w:val="bottom"/>
          </w:tcPr>
          <w:p w:rsidR="006848A1" w:rsidRDefault="006848A1" w:rsidP="006848A1">
            <w:pPr>
              <w:pStyle w:val="TableParagraph"/>
              <w:spacing w:after="40"/>
            </w:pPr>
            <w:r>
              <w:rPr>
                <w:color w:val="231F20"/>
              </w:rPr>
              <w:t>Unclassified</w:t>
            </w:r>
          </w:p>
        </w:tc>
        <w:tc>
          <w:tcPr>
            <w:tcW w:w="2068" w:type="dxa"/>
            <w:shd w:val="clear" w:color="auto" w:fill="EBEBEC"/>
            <w:vAlign w:val="bottom"/>
          </w:tcPr>
          <w:p w:rsidR="006848A1" w:rsidRPr="00A23E26" w:rsidRDefault="006848A1" w:rsidP="006848A1">
            <w:pPr>
              <w:spacing w:after="40"/>
              <w:jc w:val="right"/>
            </w:pPr>
            <w:r w:rsidRPr="00A23E26">
              <w:t>n.a</w:t>
            </w:r>
          </w:p>
        </w:tc>
        <w:tc>
          <w:tcPr>
            <w:tcW w:w="1985" w:type="dxa"/>
            <w:shd w:val="clear" w:color="auto" w:fill="EBEBEC"/>
          </w:tcPr>
          <w:p w:rsidR="006848A1" w:rsidRDefault="006848A1" w:rsidP="006848A1">
            <w:pPr>
              <w:spacing w:after="40"/>
              <w:jc w:val="right"/>
            </w:pPr>
            <w:r w:rsidRPr="006848A1">
              <w:t>11</w:t>
            </w:r>
          </w:p>
        </w:tc>
        <w:tc>
          <w:tcPr>
            <w:tcW w:w="1984" w:type="dxa"/>
            <w:shd w:val="clear" w:color="auto" w:fill="EBEBEC"/>
          </w:tcPr>
          <w:p w:rsidR="006848A1" w:rsidRDefault="006848A1" w:rsidP="006848A1">
            <w:pPr>
              <w:spacing w:after="40"/>
              <w:jc w:val="right"/>
            </w:pPr>
            <w:r w:rsidRPr="006848A1">
              <w:t>n.a.</w:t>
            </w:r>
          </w:p>
        </w:tc>
      </w:tr>
      <w:tr w:rsidR="006848A1" w:rsidTr="00C27456">
        <w:trPr>
          <w:trHeight w:val="397"/>
        </w:trPr>
        <w:tc>
          <w:tcPr>
            <w:tcW w:w="3607" w:type="dxa"/>
            <w:shd w:val="clear" w:color="auto" w:fill="EBEBEC"/>
            <w:vAlign w:val="bottom"/>
          </w:tcPr>
          <w:p w:rsidR="006848A1" w:rsidRPr="006848A1" w:rsidRDefault="006848A1" w:rsidP="006848A1">
            <w:pPr>
              <w:pStyle w:val="TableParagraph"/>
              <w:spacing w:after="40"/>
              <w:rPr>
                <w:b/>
              </w:rPr>
            </w:pPr>
            <w:r w:rsidRPr="006848A1">
              <w:rPr>
                <w:b/>
                <w:color w:val="231F20"/>
              </w:rPr>
              <w:t>TOTAL</w:t>
            </w:r>
          </w:p>
        </w:tc>
        <w:tc>
          <w:tcPr>
            <w:tcW w:w="2068" w:type="dxa"/>
            <w:shd w:val="clear" w:color="auto" w:fill="EBEBEC"/>
            <w:vAlign w:val="bottom"/>
          </w:tcPr>
          <w:p w:rsidR="006848A1" w:rsidRPr="006848A1" w:rsidRDefault="006848A1" w:rsidP="006848A1">
            <w:pPr>
              <w:spacing w:after="40"/>
              <w:jc w:val="right"/>
              <w:rPr>
                <w:b/>
              </w:rPr>
            </w:pPr>
            <w:r w:rsidRPr="006848A1">
              <w:rPr>
                <w:b/>
              </w:rPr>
              <w:t>14 449</w:t>
            </w:r>
          </w:p>
        </w:tc>
        <w:tc>
          <w:tcPr>
            <w:tcW w:w="1985" w:type="dxa"/>
            <w:shd w:val="clear" w:color="auto" w:fill="EBEBEC"/>
          </w:tcPr>
          <w:p w:rsidR="006848A1" w:rsidRPr="006848A1" w:rsidRDefault="006848A1" w:rsidP="006848A1">
            <w:pPr>
              <w:spacing w:after="40"/>
              <w:jc w:val="right"/>
              <w:rPr>
                <w:b/>
              </w:rPr>
            </w:pPr>
            <w:r w:rsidRPr="006848A1">
              <w:rPr>
                <w:b/>
              </w:rPr>
              <w:t>262</w:t>
            </w:r>
          </w:p>
        </w:tc>
        <w:tc>
          <w:tcPr>
            <w:tcW w:w="1984" w:type="dxa"/>
            <w:shd w:val="clear" w:color="auto" w:fill="EBEBEC"/>
          </w:tcPr>
          <w:p w:rsidR="006848A1" w:rsidRPr="006848A1" w:rsidRDefault="006848A1" w:rsidP="006848A1">
            <w:pPr>
              <w:spacing w:after="40"/>
              <w:jc w:val="right"/>
              <w:rPr>
                <w:b/>
              </w:rPr>
            </w:pPr>
            <w:r w:rsidRPr="006848A1">
              <w:rPr>
                <w:b/>
              </w:rPr>
              <w:t>1.8%</w:t>
            </w:r>
          </w:p>
        </w:tc>
      </w:tr>
    </w:tbl>
    <w:p w:rsidR="0010343D" w:rsidRPr="00616613" w:rsidRDefault="00616613" w:rsidP="008857F0">
      <w:pPr>
        <w:rPr>
          <w:sz w:val="16"/>
          <w:szCs w:val="16"/>
          <w:lang w:val="en-US"/>
        </w:rPr>
      </w:pPr>
      <w:r w:rsidRPr="00616613">
        <w:rPr>
          <w:sz w:val="16"/>
          <w:szCs w:val="16"/>
          <w:lang w:val="en-US"/>
        </w:rPr>
        <w:t>Source: ABS Cat. No. 81650.0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w:t>
      </w:r>
      <w:bookmarkStart w:id="0" w:name="_GoBack"/>
      <w:bookmarkEnd w:id="0"/>
      <w:r w:rsidRPr="004204EC">
        <w:t>ur business prospects for the next 12 months?</w:t>
      </w:r>
    </w:p>
    <w:p w:rsidR="00F6305A" w:rsidRDefault="00F6305A" w:rsidP="004204EC">
      <w:pPr>
        <w:pStyle w:val="Heading3"/>
      </w:pPr>
      <w:r>
        <w:t>Territory wide</w:t>
      </w:r>
    </w:p>
    <w:p w:rsidR="006848A1" w:rsidRDefault="006848A1" w:rsidP="00DB6321">
      <w:pPr>
        <w:rPr>
          <w:b/>
          <w:bCs/>
          <w:caps/>
        </w:rPr>
      </w:pPr>
      <w:r w:rsidRPr="006848A1">
        <w:t>In the December quarter 2019, the Territory-wide business confidence index was +52%. The response rate for this question was 95.4%.</w:t>
      </w:r>
    </w:p>
    <w:p w:rsidR="0010343D" w:rsidRPr="000128A1" w:rsidRDefault="000128A1" w:rsidP="00DB6321">
      <w:pPr>
        <w:pStyle w:val="Heading3"/>
      </w:pPr>
      <w:r w:rsidRPr="000128A1">
        <w:t>Overall business confidence index</w:t>
      </w:r>
    </w:p>
    <w:p w:rsidR="0010343D" w:rsidRPr="0010343D" w:rsidRDefault="006848A1" w:rsidP="002B363C">
      <w:pPr>
        <w:rPr>
          <w:lang w:val="en-US"/>
        </w:rPr>
      </w:pPr>
      <w:r>
        <w:rPr>
          <w:noProof/>
          <w:lang w:eastAsia="en-AU"/>
        </w:rPr>
        <w:drawing>
          <wp:inline distT="0" distB="0" distL="0" distR="0" wp14:anchorId="1D6695CF" wp14:editId="5FC4814A">
            <wp:extent cx="6122670" cy="2424430"/>
            <wp:effectExtent l="0" t="0" r="0" b="0"/>
            <wp:docPr id="5" name="Picture 5" descr="Overall business confidence index showing 62% confident, 10% worried and 52% net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2670" cy="2424430"/>
                    </a:xfrm>
                    <a:prstGeom prst="rect">
                      <a:avLst/>
                    </a:prstGeom>
                  </pic:spPr>
                </pic:pic>
              </a:graphicData>
            </a:graphic>
          </wp:inline>
        </w:drawing>
      </w:r>
    </w:p>
    <w:p w:rsidR="0010343D" w:rsidRPr="00745DE4" w:rsidRDefault="0010343D" w:rsidP="004204EC">
      <w:r w:rsidRPr="0010343D">
        <w:rPr>
          <w:rFonts w:eastAsia="Lato" w:cs="Lato"/>
          <w:lang w:val="en-US"/>
        </w:rPr>
        <w:t xml:space="preserve">Note: </w:t>
      </w:r>
      <w:r w:rsidR="006848A1">
        <w:t>27</w:t>
      </w:r>
      <w:r w:rsidR="0055229B" w:rsidRPr="0055229B">
        <w:t>% of the responses remained neutral (neither confident nor worried)</w:t>
      </w:r>
    </w:p>
    <w:p w:rsidR="0010343D" w:rsidRPr="004204EC" w:rsidRDefault="000128A1" w:rsidP="004204EC">
      <w:pPr>
        <w:pStyle w:val="Heading3"/>
      </w:pPr>
      <w:r w:rsidRPr="004204EC">
        <w:t>Confidence in the regions</w:t>
      </w:r>
    </w:p>
    <w:p w:rsidR="00A72A20" w:rsidRDefault="006848A1" w:rsidP="00F6305A">
      <w:pPr>
        <w:rPr>
          <w:noProof/>
          <w:lang w:eastAsia="en-AU"/>
        </w:rPr>
      </w:pPr>
      <w:r w:rsidRPr="006848A1">
        <w:rPr>
          <w:lang w:val="en-US"/>
        </w:rPr>
        <w:t>Business confidence varied among Territory regions, ranging from +89% in East Arnhem to +11% in the Daly-Tiwi-West Arnhem region.</w:t>
      </w:r>
    </w:p>
    <w:p w:rsidR="006848A1" w:rsidRPr="0010343D" w:rsidRDefault="006848A1" w:rsidP="00F6305A">
      <w:pPr>
        <w:rPr>
          <w:lang w:val="en-US"/>
        </w:rPr>
      </w:pPr>
      <w:r>
        <w:rPr>
          <w:noProof/>
          <w:lang w:eastAsia="en-AU"/>
        </w:rPr>
        <w:drawing>
          <wp:inline distT="0" distB="0" distL="0" distR="0" wp14:anchorId="0647D37D" wp14:editId="78502A60">
            <wp:extent cx="6122670" cy="3061335"/>
            <wp:effectExtent l="0" t="0" r="0" b="5715"/>
            <wp:docPr id="6" name="Picture 6" descr="The map breaks down the Statistical Area 3 regions of the Northern Territory, and outlines the level of confidence in each region. Greater Darwin +42%, East Arnhem +89%, Daly, Tiwi and West Arnhem +11%, Katherine (Big Rivers) +71%, Alice Springs +65%, Barkly / Tennant Cre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2670" cy="3061335"/>
                    </a:xfrm>
                    <a:prstGeom prst="rect">
                      <a:avLst/>
                    </a:prstGeom>
                  </pic:spPr>
                </pic:pic>
              </a:graphicData>
            </a:graphic>
          </wp:inline>
        </w:drawing>
      </w:r>
    </w:p>
    <w:p w:rsidR="00CA17D1" w:rsidRDefault="00CA17D1" w:rsidP="00745DE4">
      <w:pPr>
        <w:rPr>
          <w:lang w:val="en-US"/>
        </w:rPr>
      </w:pPr>
      <w:r>
        <w:rPr>
          <w:lang w:val="en-US"/>
        </w:rPr>
        <w:br w:type="page"/>
      </w:r>
    </w:p>
    <w:p w:rsidR="008857F0" w:rsidRDefault="008857F0" w:rsidP="008857F0">
      <w:pPr>
        <w:pStyle w:val="Heading2"/>
      </w:pPr>
      <w:r>
        <w:lastRenderedPageBreak/>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206B30" w:rsidTr="001E032D">
        <w:trPr>
          <w:trHeight w:hRule="exact" w:val="601"/>
          <w:tblHeader/>
        </w:trPr>
        <w:tc>
          <w:tcPr>
            <w:tcW w:w="1266" w:type="dxa"/>
            <w:tcBorders>
              <w:top w:val="dotted" w:sz="8" w:space="0" w:color="231F20"/>
              <w:bottom w:val="dotted" w:sz="8" w:space="0" w:color="231F20"/>
            </w:tcBorders>
            <w:shd w:val="clear" w:color="auto" w:fill="8D54A2"/>
          </w:tcPr>
          <w:p w:rsidR="00206B30" w:rsidRPr="008857F0" w:rsidRDefault="00206B30" w:rsidP="00206B30">
            <w:pPr>
              <w:pStyle w:val="TableParagraph"/>
              <w:rPr>
                <w:caps/>
              </w:rPr>
            </w:pPr>
          </w:p>
        </w:tc>
        <w:tc>
          <w:tcPr>
            <w:tcW w:w="1729" w:type="dxa"/>
            <w:tcBorders>
              <w:top w:val="dotted" w:sz="8" w:space="0" w:color="231F20"/>
              <w:bottom w:val="dotted" w:sz="8" w:space="0" w:color="231F20"/>
            </w:tcBorders>
            <w:shd w:val="clear" w:color="auto" w:fill="8D54A2"/>
          </w:tcPr>
          <w:p w:rsidR="00206B30" w:rsidRPr="00206B30" w:rsidRDefault="00206B30" w:rsidP="00206B30">
            <w:pPr>
              <w:pStyle w:val="TableParagraph"/>
              <w:spacing w:after="40"/>
              <w:jc w:val="right"/>
              <w:rPr>
                <w:color w:val="FFFFFF" w:themeColor="background1"/>
              </w:rPr>
            </w:pPr>
            <w:r w:rsidRPr="00206B30">
              <w:rPr>
                <w:color w:val="FFFFFF" w:themeColor="background1"/>
              </w:rPr>
              <w:t xml:space="preserve">Dec Qtr </w:t>
            </w:r>
          </w:p>
          <w:p w:rsidR="00206B30" w:rsidRPr="00206B30" w:rsidRDefault="00206B30" w:rsidP="00206B30">
            <w:pPr>
              <w:pStyle w:val="TableParagraph"/>
              <w:spacing w:after="40"/>
              <w:jc w:val="right"/>
              <w:rPr>
                <w:color w:val="FFFFFF" w:themeColor="background1"/>
              </w:rPr>
            </w:pPr>
            <w:r w:rsidRPr="00206B30">
              <w:rPr>
                <w:color w:val="FFFFFF" w:themeColor="background1"/>
              </w:rPr>
              <w:t>2018</w:t>
            </w:r>
          </w:p>
        </w:tc>
        <w:tc>
          <w:tcPr>
            <w:tcW w:w="1729" w:type="dxa"/>
            <w:tcBorders>
              <w:top w:val="dotted" w:sz="8" w:space="0" w:color="231F20"/>
              <w:bottom w:val="dotted" w:sz="8" w:space="0" w:color="231F20"/>
            </w:tcBorders>
            <w:shd w:val="clear" w:color="auto" w:fill="8D54A2"/>
          </w:tcPr>
          <w:p w:rsidR="00206B30" w:rsidRPr="00206B30" w:rsidRDefault="00206B30" w:rsidP="00206B30">
            <w:pPr>
              <w:pStyle w:val="TableParagraph"/>
              <w:spacing w:after="40"/>
              <w:jc w:val="right"/>
              <w:rPr>
                <w:color w:val="FFFFFF" w:themeColor="background1"/>
              </w:rPr>
            </w:pPr>
            <w:r w:rsidRPr="00206B30">
              <w:rPr>
                <w:color w:val="FFFFFF" w:themeColor="background1"/>
              </w:rPr>
              <w:t xml:space="preserve">Mar Qtr </w:t>
            </w:r>
          </w:p>
          <w:p w:rsidR="00206B30" w:rsidRPr="00206B30" w:rsidRDefault="00206B30" w:rsidP="00206B30">
            <w:pPr>
              <w:pStyle w:val="TableParagraph"/>
              <w:spacing w:after="40"/>
              <w:jc w:val="right"/>
              <w:rPr>
                <w:color w:val="FFFFFF" w:themeColor="background1"/>
              </w:rPr>
            </w:pPr>
            <w:r w:rsidRPr="00206B30">
              <w:rPr>
                <w:color w:val="FFFFFF" w:themeColor="background1"/>
              </w:rPr>
              <w:t>2019</w:t>
            </w:r>
          </w:p>
        </w:tc>
        <w:tc>
          <w:tcPr>
            <w:tcW w:w="1730" w:type="dxa"/>
            <w:tcBorders>
              <w:top w:val="dotted" w:sz="8" w:space="0" w:color="231F20"/>
              <w:bottom w:val="dotted" w:sz="8" w:space="0" w:color="231F20"/>
            </w:tcBorders>
            <w:shd w:val="clear" w:color="auto" w:fill="8D54A2"/>
          </w:tcPr>
          <w:p w:rsidR="00206B30" w:rsidRPr="00206B30" w:rsidRDefault="00206B30" w:rsidP="00206B30">
            <w:pPr>
              <w:pStyle w:val="TableParagraph"/>
              <w:spacing w:after="40"/>
              <w:jc w:val="right"/>
              <w:rPr>
                <w:color w:val="FFFFFF" w:themeColor="background1"/>
              </w:rPr>
            </w:pPr>
            <w:r w:rsidRPr="00206B30">
              <w:rPr>
                <w:color w:val="FFFFFF" w:themeColor="background1"/>
              </w:rPr>
              <w:t xml:space="preserve">Jun Qtr </w:t>
            </w:r>
          </w:p>
          <w:p w:rsidR="00206B30" w:rsidRPr="00206B30" w:rsidRDefault="00206B30" w:rsidP="00206B30">
            <w:pPr>
              <w:pStyle w:val="TableParagraph"/>
              <w:spacing w:after="40"/>
              <w:jc w:val="right"/>
              <w:rPr>
                <w:color w:val="FFFFFF" w:themeColor="background1"/>
              </w:rPr>
            </w:pPr>
            <w:r w:rsidRPr="00206B30">
              <w:rPr>
                <w:color w:val="FFFFFF" w:themeColor="background1"/>
              </w:rPr>
              <w:t>2019</w:t>
            </w:r>
          </w:p>
        </w:tc>
        <w:tc>
          <w:tcPr>
            <w:tcW w:w="1729" w:type="dxa"/>
            <w:tcBorders>
              <w:top w:val="dotted" w:sz="8" w:space="0" w:color="231F20"/>
              <w:bottom w:val="dotted" w:sz="8" w:space="0" w:color="231F20"/>
            </w:tcBorders>
            <w:shd w:val="clear" w:color="auto" w:fill="8D54A2"/>
          </w:tcPr>
          <w:p w:rsidR="00206B30" w:rsidRPr="00206B30" w:rsidRDefault="00206B30" w:rsidP="00206B30">
            <w:pPr>
              <w:pStyle w:val="TableParagraph"/>
              <w:spacing w:after="40"/>
              <w:jc w:val="right"/>
              <w:rPr>
                <w:color w:val="FFFFFF" w:themeColor="background1"/>
              </w:rPr>
            </w:pPr>
            <w:r w:rsidRPr="00206B30">
              <w:rPr>
                <w:color w:val="FFFFFF" w:themeColor="background1"/>
              </w:rPr>
              <w:t xml:space="preserve">Sep Qtr </w:t>
            </w:r>
          </w:p>
          <w:p w:rsidR="00206B30" w:rsidRPr="00206B30" w:rsidRDefault="00206B30" w:rsidP="00206B30">
            <w:pPr>
              <w:pStyle w:val="TableParagraph"/>
              <w:spacing w:after="40"/>
              <w:jc w:val="right"/>
              <w:rPr>
                <w:color w:val="FFFFFF" w:themeColor="background1"/>
              </w:rPr>
            </w:pPr>
            <w:r w:rsidRPr="00206B30">
              <w:rPr>
                <w:color w:val="FFFFFF" w:themeColor="background1"/>
              </w:rPr>
              <w:t>2019</w:t>
            </w:r>
          </w:p>
        </w:tc>
        <w:tc>
          <w:tcPr>
            <w:tcW w:w="1730" w:type="dxa"/>
            <w:tcBorders>
              <w:top w:val="dotted" w:sz="8" w:space="0" w:color="231F20"/>
              <w:bottom w:val="dotted" w:sz="8" w:space="0" w:color="231F20"/>
            </w:tcBorders>
            <w:shd w:val="clear" w:color="auto" w:fill="8D54A2"/>
          </w:tcPr>
          <w:p w:rsidR="00206B30" w:rsidRPr="00206B30" w:rsidRDefault="00206B30" w:rsidP="00206B30">
            <w:pPr>
              <w:pStyle w:val="TableParagraph"/>
              <w:spacing w:after="40"/>
              <w:jc w:val="right"/>
              <w:rPr>
                <w:color w:val="FFFFFF" w:themeColor="background1"/>
              </w:rPr>
            </w:pPr>
            <w:r w:rsidRPr="00206B30">
              <w:rPr>
                <w:color w:val="FFFFFF" w:themeColor="background1"/>
              </w:rPr>
              <w:t xml:space="preserve">Dec Qtr </w:t>
            </w:r>
          </w:p>
          <w:p w:rsidR="00206B30" w:rsidRPr="00206B30" w:rsidRDefault="00206B30" w:rsidP="00206B30">
            <w:pPr>
              <w:pStyle w:val="TableParagraph"/>
              <w:spacing w:after="40"/>
              <w:jc w:val="right"/>
              <w:rPr>
                <w:color w:val="FFFFFF" w:themeColor="background1"/>
              </w:rPr>
            </w:pPr>
            <w:r w:rsidRPr="00206B30">
              <w:rPr>
                <w:color w:val="FFFFFF" w:themeColor="background1"/>
              </w:rPr>
              <w:t>2019</w:t>
            </w:r>
          </w:p>
        </w:tc>
      </w:tr>
      <w:tr w:rsidR="00206B30" w:rsidTr="0019341E">
        <w:trPr>
          <w:trHeight w:val="397"/>
        </w:trPr>
        <w:tc>
          <w:tcPr>
            <w:tcW w:w="1266" w:type="dxa"/>
            <w:tcBorders>
              <w:top w:val="dotted" w:sz="8" w:space="0" w:color="231F20"/>
            </w:tcBorders>
            <w:shd w:val="clear" w:color="auto" w:fill="EBEBEC"/>
            <w:vAlign w:val="bottom"/>
          </w:tcPr>
          <w:p w:rsidR="00206B30" w:rsidRDefault="00206B30" w:rsidP="00206B30">
            <w:pPr>
              <w:pStyle w:val="TableParagraph"/>
              <w:spacing w:after="40"/>
            </w:pPr>
            <w:r>
              <w:rPr>
                <w:color w:val="231F20"/>
              </w:rPr>
              <w:t>Confident</w:t>
            </w:r>
          </w:p>
        </w:tc>
        <w:tc>
          <w:tcPr>
            <w:tcW w:w="1729" w:type="dxa"/>
            <w:tcBorders>
              <w:top w:val="dotted" w:sz="8" w:space="0" w:color="231F20"/>
            </w:tcBorders>
            <w:shd w:val="clear" w:color="auto" w:fill="EBEBEC"/>
          </w:tcPr>
          <w:p w:rsidR="00206B30" w:rsidRPr="00206B30" w:rsidRDefault="00206B30" w:rsidP="00206B30">
            <w:pPr>
              <w:pStyle w:val="TableParagraph"/>
              <w:spacing w:after="40"/>
              <w:jc w:val="right"/>
              <w:rPr>
                <w:color w:val="231F20"/>
              </w:rPr>
            </w:pPr>
            <w:r w:rsidRPr="00206B30">
              <w:rPr>
                <w:color w:val="231F20"/>
              </w:rPr>
              <w:t>60%</w:t>
            </w:r>
          </w:p>
        </w:tc>
        <w:tc>
          <w:tcPr>
            <w:tcW w:w="1729" w:type="dxa"/>
            <w:tcBorders>
              <w:top w:val="dotted" w:sz="8" w:space="0" w:color="231F20"/>
            </w:tcBorders>
            <w:shd w:val="clear" w:color="auto" w:fill="EBEBEC"/>
          </w:tcPr>
          <w:p w:rsidR="00206B30" w:rsidRPr="00206B30" w:rsidRDefault="00206B30" w:rsidP="00206B30">
            <w:pPr>
              <w:pStyle w:val="TableParagraph"/>
              <w:spacing w:after="40"/>
              <w:jc w:val="right"/>
              <w:rPr>
                <w:color w:val="231F20"/>
              </w:rPr>
            </w:pPr>
            <w:r w:rsidRPr="00206B30">
              <w:rPr>
                <w:color w:val="231F20"/>
              </w:rPr>
              <w:t>61%</w:t>
            </w:r>
          </w:p>
        </w:tc>
        <w:tc>
          <w:tcPr>
            <w:tcW w:w="1730" w:type="dxa"/>
            <w:tcBorders>
              <w:top w:val="dotted" w:sz="8" w:space="0" w:color="231F20"/>
            </w:tcBorders>
            <w:shd w:val="clear" w:color="auto" w:fill="EBEBEC"/>
          </w:tcPr>
          <w:p w:rsidR="00206B30" w:rsidRPr="00206B30" w:rsidRDefault="00206B30" w:rsidP="00206B30">
            <w:pPr>
              <w:pStyle w:val="TableParagraph"/>
              <w:spacing w:after="40"/>
              <w:jc w:val="right"/>
              <w:rPr>
                <w:color w:val="231F20"/>
              </w:rPr>
            </w:pPr>
            <w:r w:rsidRPr="00206B30">
              <w:rPr>
                <w:color w:val="231F20"/>
              </w:rPr>
              <w:t>64%</w:t>
            </w:r>
          </w:p>
        </w:tc>
        <w:tc>
          <w:tcPr>
            <w:tcW w:w="1729" w:type="dxa"/>
            <w:tcBorders>
              <w:top w:val="dotted" w:sz="8" w:space="0" w:color="231F20"/>
            </w:tcBorders>
            <w:shd w:val="clear" w:color="auto" w:fill="EBEBEC"/>
          </w:tcPr>
          <w:p w:rsidR="00206B30" w:rsidRPr="00206B30" w:rsidRDefault="00206B30" w:rsidP="00206B30">
            <w:pPr>
              <w:pStyle w:val="TableParagraph"/>
              <w:spacing w:after="40"/>
              <w:jc w:val="right"/>
              <w:rPr>
                <w:color w:val="231F20"/>
              </w:rPr>
            </w:pPr>
            <w:r w:rsidRPr="00206B30">
              <w:rPr>
                <w:color w:val="231F20"/>
              </w:rPr>
              <w:t>58%</w:t>
            </w:r>
          </w:p>
        </w:tc>
        <w:tc>
          <w:tcPr>
            <w:tcW w:w="1730" w:type="dxa"/>
            <w:tcBorders>
              <w:top w:val="dotted" w:sz="8" w:space="0" w:color="231F20"/>
            </w:tcBorders>
            <w:shd w:val="clear" w:color="auto" w:fill="EBEBEC"/>
          </w:tcPr>
          <w:p w:rsidR="00206B30" w:rsidRPr="00206B30" w:rsidRDefault="00206B30" w:rsidP="00206B30">
            <w:pPr>
              <w:pStyle w:val="TableParagraph"/>
              <w:spacing w:after="40"/>
              <w:jc w:val="right"/>
              <w:rPr>
                <w:color w:val="231F20"/>
              </w:rPr>
            </w:pPr>
            <w:r w:rsidRPr="00206B30">
              <w:rPr>
                <w:color w:val="231F20"/>
              </w:rPr>
              <w:t>62%</w:t>
            </w:r>
          </w:p>
        </w:tc>
      </w:tr>
      <w:tr w:rsidR="00206B30" w:rsidTr="0019341E">
        <w:trPr>
          <w:trHeight w:val="397"/>
        </w:trPr>
        <w:tc>
          <w:tcPr>
            <w:tcW w:w="1266" w:type="dxa"/>
            <w:shd w:val="clear" w:color="auto" w:fill="EBEBEC"/>
            <w:vAlign w:val="bottom"/>
          </w:tcPr>
          <w:p w:rsidR="00206B30" w:rsidRDefault="00206B30" w:rsidP="00206B30">
            <w:pPr>
              <w:pStyle w:val="TableParagraph"/>
              <w:spacing w:after="40"/>
            </w:pPr>
            <w:r>
              <w:rPr>
                <w:color w:val="231F20"/>
              </w:rPr>
              <w:t>Worried</w:t>
            </w:r>
          </w:p>
        </w:tc>
        <w:tc>
          <w:tcPr>
            <w:tcW w:w="1729" w:type="dxa"/>
            <w:shd w:val="clear" w:color="auto" w:fill="EBEBEC"/>
          </w:tcPr>
          <w:p w:rsidR="00206B30" w:rsidRPr="00206B30" w:rsidRDefault="00206B30" w:rsidP="00206B30">
            <w:pPr>
              <w:pStyle w:val="TableParagraph"/>
              <w:spacing w:after="40"/>
              <w:jc w:val="right"/>
              <w:rPr>
                <w:color w:val="231F20"/>
              </w:rPr>
            </w:pPr>
            <w:r w:rsidRPr="00206B30">
              <w:rPr>
                <w:color w:val="231F20"/>
              </w:rPr>
              <w:t>10%</w:t>
            </w:r>
          </w:p>
        </w:tc>
        <w:tc>
          <w:tcPr>
            <w:tcW w:w="1729" w:type="dxa"/>
            <w:shd w:val="clear" w:color="auto" w:fill="EBEBEC"/>
          </w:tcPr>
          <w:p w:rsidR="00206B30" w:rsidRPr="00206B30" w:rsidRDefault="00206B30" w:rsidP="00206B30">
            <w:pPr>
              <w:pStyle w:val="TableParagraph"/>
              <w:spacing w:after="40"/>
              <w:jc w:val="right"/>
              <w:rPr>
                <w:color w:val="231F20"/>
              </w:rPr>
            </w:pPr>
            <w:r w:rsidRPr="00206B30">
              <w:rPr>
                <w:color w:val="231F20"/>
              </w:rPr>
              <w:t>15%</w:t>
            </w:r>
          </w:p>
        </w:tc>
        <w:tc>
          <w:tcPr>
            <w:tcW w:w="1730" w:type="dxa"/>
            <w:shd w:val="clear" w:color="auto" w:fill="EBEBEC"/>
          </w:tcPr>
          <w:p w:rsidR="00206B30" w:rsidRPr="00206B30" w:rsidRDefault="00206B30" w:rsidP="00206B30">
            <w:pPr>
              <w:pStyle w:val="TableParagraph"/>
              <w:spacing w:after="40"/>
              <w:jc w:val="right"/>
              <w:rPr>
                <w:color w:val="231F20"/>
              </w:rPr>
            </w:pPr>
            <w:r w:rsidRPr="00206B30">
              <w:rPr>
                <w:color w:val="231F20"/>
              </w:rPr>
              <w:t>10%</w:t>
            </w:r>
          </w:p>
        </w:tc>
        <w:tc>
          <w:tcPr>
            <w:tcW w:w="1729" w:type="dxa"/>
            <w:shd w:val="clear" w:color="auto" w:fill="EBEBEC"/>
          </w:tcPr>
          <w:p w:rsidR="00206B30" w:rsidRPr="00206B30" w:rsidRDefault="00206B30" w:rsidP="00206B30">
            <w:pPr>
              <w:pStyle w:val="TableParagraph"/>
              <w:spacing w:after="40"/>
              <w:jc w:val="right"/>
              <w:rPr>
                <w:color w:val="231F20"/>
              </w:rPr>
            </w:pPr>
            <w:r w:rsidRPr="00206B30">
              <w:rPr>
                <w:color w:val="231F20"/>
              </w:rPr>
              <w:t>8%</w:t>
            </w:r>
          </w:p>
        </w:tc>
        <w:tc>
          <w:tcPr>
            <w:tcW w:w="1730" w:type="dxa"/>
            <w:shd w:val="clear" w:color="auto" w:fill="EBEBEC"/>
          </w:tcPr>
          <w:p w:rsidR="00206B30" w:rsidRPr="00206B30" w:rsidRDefault="00206B30" w:rsidP="00206B30">
            <w:pPr>
              <w:pStyle w:val="TableParagraph"/>
              <w:spacing w:after="40"/>
              <w:jc w:val="right"/>
              <w:rPr>
                <w:color w:val="231F20"/>
              </w:rPr>
            </w:pPr>
            <w:r w:rsidRPr="00206B30">
              <w:rPr>
                <w:color w:val="231F20"/>
              </w:rPr>
              <w:t>10%</w:t>
            </w:r>
          </w:p>
        </w:tc>
      </w:tr>
      <w:tr w:rsidR="00206B30" w:rsidTr="0019341E">
        <w:trPr>
          <w:trHeight w:val="397"/>
        </w:trPr>
        <w:tc>
          <w:tcPr>
            <w:tcW w:w="1266" w:type="dxa"/>
            <w:shd w:val="clear" w:color="auto" w:fill="EBEBEC"/>
            <w:vAlign w:val="bottom"/>
          </w:tcPr>
          <w:p w:rsidR="00206B30" w:rsidRDefault="00206B30" w:rsidP="00206B30">
            <w:pPr>
              <w:pStyle w:val="TableParagraph"/>
              <w:spacing w:after="40"/>
            </w:pPr>
            <w:r>
              <w:rPr>
                <w:color w:val="231F20"/>
              </w:rPr>
              <w:t>Net balance</w:t>
            </w:r>
          </w:p>
        </w:tc>
        <w:tc>
          <w:tcPr>
            <w:tcW w:w="1729" w:type="dxa"/>
            <w:shd w:val="clear" w:color="auto" w:fill="EBEBEC"/>
          </w:tcPr>
          <w:p w:rsidR="00206B30" w:rsidRPr="00206B30" w:rsidRDefault="00206B30" w:rsidP="00206B30">
            <w:pPr>
              <w:pStyle w:val="TableParagraph"/>
              <w:spacing w:after="40"/>
              <w:jc w:val="right"/>
              <w:rPr>
                <w:color w:val="231F20"/>
              </w:rPr>
            </w:pPr>
            <w:r w:rsidRPr="00206B30">
              <w:rPr>
                <w:color w:val="231F20"/>
              </w:rPr>
              <w:t>50%</w:t>
            </w:r>
          </w:p>
        </w:tc>
        <w:tc>
          <w:tcPr>
            <w:tcW w:w="1729" w:type="dxa"/>
            <w:shd w:val="clear" w:color="auto" w:fill="EBEBEC"/>
          </w:tcPr>
          <w:p w:rsidR="00206B30" w:rsidRPr="00206B30" w:rsidRDefault="00206B30" w:rsidP="00206B30">
            <w:pPr>
              <w:pStyle w:val="TableParagraph"/>
              <w:spacing w:after="40"/>
              <w:jc w:val="right"/>
              <w:rPr>
                <w:color w:val="231F20"/>
              </w:rPr>
            </w:pPr>
            <w:r w:rsidRPr="00206B30">
              <w:rPr>
                <w:color w:val="231F20"/>
              </w:rPr>
              <w:t>46%</w:t>
            </w:r>
          </w:p>
        </w:tc>
        <w:tc>
          <w:tcPr>
            <w:tcW w:w="1730" w:type="dxa"/>
            <w:shd w:val="clear" w:color="auto" w:fill="EBEBEC"/>
          </w:tcPr>
          <w:p w:rsidR="00206B30" w:rsidRPr="00206B30" w:rsidRDefault="00206B30" w:rsidP="00206B30">
            <w:pPr>
              <w:pStyle w:val="TableParagraph"/>
              <w:spacing w:after="40"/>
              <w:jc w:val="right"/>
              <w:rPr>
                <w:color w:val="231F20"/>
              </w:rPr>
            </w:pPr>
            <w:r w:rsidRPr="00206B30">
              <w:rPr>
                <w:color w:val="231F20"/>
              </w:rPr>
              <w:t>54%</w:t>
            </w:r>
          </w:p>
        </w:tc>
        <w:tc>
          <w:tcPr>
            <w:tcW w:w="1729" w:type="dxa"/>
            <w:shd w:val="clear" w:color="auto" w:fill="EBEBEC"/>
          </w:tcPr>
          <w:p w:rsidR="00206B30" w:rsidRPr="00206B30" w:rsidRDefault="00206B30" w:rsidP="00206B30">
            <w:pPr>
              <w:pStyle w:val="TableParagraph"/>
              <w:spacing w:after="40"/>
              <w:jc w:val="right"/>
              <w:rPr>
                <w:color w:val="231F20"/>
              </w:rPr>
            </w:pPr>
            <w:r w:rsidRPr="00206B30">
              <w:rPr>
                <w:color w:val="231F20"/>
              </w:rPr>
              <w:t>50%</w:t>
            </w:r>
          </w:p>
        </w:tc>
        <w:tc>
          <w:tcPr>
            <w:tcW w:w="1730" w:type="dxa"/>
            <w:shd w:val="clear" w:color="auto" w:fill="EBEBEC"/>
          </w:tcPr>
          <w:p w:rsidR="00206B30" w:rsidRPr="00206B30" w:rsidRDefault="00206B30" w:rsidP="00206B30">
            <w:pPr>
              <w:pStyle w:val="TableParagraph"/>
              <w:spacing w:after="40"/>
              <w:jc w:val="right"/>
              <w:rPr>
                <w:color w:val="231F20"/>
              </w:rPr>
            </w:pPr>
            <w:r w:rsidRPr="00206B30">
              <w:rPr>
                <w:color w:val="231F20"/>
              </w:rPr>
              <w:t>52%</w:t>
            </w:r>
          </w:p>
        </w:tc>
      </w:tr>
    </w:tbl>
    <w:p w:rsidR="008857F0" w:rsidRDefault="008857F0" w:rsidP="008857F0">
      <w:pPr>
        <w:pStyle w:val="NoSpacing"/>
        <w:rPr>
          <w:lang w:val="en-US"/>
        </w:rPr>
      </w:pPr>
    </w:p>
    <w:p w:rsidR="00A72A20" w:rsidRDefault="00A72A20" w:rsidP="004204EC">
      <w:r>
        <w:t xml:space="preserve">In the </w:t>
      </w:r>
      <w:r w:rsidR="00206B30" w:rsidRPr="00206B30">
        <w:t>December quarter 2019, business confidence increased 2 percentage points to +52% from the previous quarter. This also represents a 2 percentage point increase from the December quarter 2018.</w:t>
      </w:r>
    </w:p>
    <w:p w:rsidR="008857F0" w:rsidRDefault="00607DDF" w:rsidP="004204EC">
      <w:pPr>
        <w:rPr>
          <w:lang w:val="en-US"/>
        </w:rPr>
      </w:pPr>
      <w:r w:rsidRPr="00607DDF">
        <w:rPr>
          <w:lang w:val="en-US"/>
        </w:rPr>
        <w:t>The above table and the chart below show that the level of overall business confidence in the Territory has been stable and relatively buoyant over the past year.</w:t>
      </w:r>
    </w:p>
    <w:p w:rsidR="003A0787" w:rsidRPr="001D3A20" w:rsidRDefault="004204EC" w:rsidP="003A0787">
      <w:pPr>
        <w:pStyle w:val="Heading3"/>
      </w:pPr>
      <w:r>
        <w:t>T</w:t>
      </w:r>
      <w:r w:rsidR="003A0787">
        <w:t>rends in nt business confidence</w:t>
      </w:r>
    </w:p>
    <w:p w:rsidR="003A0787" w:rsidRDefault="00206B30" w:rsidP="003A0787">
      <w:pPr>
        <w:rPr>
          <w:lang w:val="en-US"/>
        </w:rPr>
      </w:pPr>
      <w:r w:rsidRPr="00206B30">
        <w:rPr>
          <w:noProof/>
          <w:lang w:eastAsia="en-AU"/>
        </w:rPr>
        <w:drawing>
          <wp:inline distT="0" distB="0" distL="0" distR="0">
            <wp:extent cx="6122670" cy="3526658"/>
            <wp:effectExtent l="0" t="0" r="0" b="0"/>
            <wp:docPr id="10" name="Picture 10" descr="See above tabl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526658"/>
                    </a:xfrm>
                    <a:prstGeom prst="rect">
                      <a:avLst/>
                    </a:prstGeom>
                    <a:noFill/>
                    <a:ln>
                      <a:noFill/>
                    </a:ln>
                  </pic:spPr>
                </pic:pic>
              </a:graphicData>
            </a:graphic>
          </wp:inline>
        </w:drawing>
      </w:r>
    </w:p>
    <w:p w:rsidR="00937D3E" w:rsidRDefault="00937D3E" w:rsidP="00EF63F6">
      <w:pPr>
        <w:rPr>
          <w:lang w:val="en-US"/>
        </w:rPr>
      </w:pPr>
      <w:r>
        <w:br w:type="page"/>
      </w:r>
    </w:p>
    <w:p w:rsidR="00A72A20" w:rsidRDefault="004204EC" w:rsidP="004204EC">
      <w:pPr>
        <w:pStyle w:val="Heading3"/>
      </w:pPr>
      <w:r>
        <w:lastRenderedPageBreak/>
        <w:t>B</w:t>
      </w:r>
      <w:r w:rsidR="00A72A20">
        <w:t>usiness confidence by region</w:t>
      </w:r>
    </w:p>
    <w:p w:rsidR="00A72A20" w:rsidRDefault="00A72A20" w:rsidP="004204EC">
      <w:r>
        <w:t xml:space="preserve">In the </w:t>
      </w:r>
      <w:r w:rsidR="00206B30" w:rsidRPr="00206B30">
        <w:t>December quarter 2019, business confidence improved in Katherine (Big Rivers) and Barkly-Tennant Creek, and declined in Greater Darwin, Daly-Tiwi-West Arnhem, East Arnhem, and Alice Springs, compared to the previous quarter.</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206B30"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206B30" w:rsidRPr="008857F0" w:rsidRDefault="00206B30" w:rsidP="00206B30">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206B30" w:rsidRPr="00206B30" w:rsidRDefault="00206B30" w:rsidP="00206B30">
            <w:pPr>
              <w:pStyle w:val="BasicParagraph"/>
              <w:jc w:val="right"/>
              <w:rPr>
                <w:rFonts w:ascii="Lato" w:hAnsi="Lato" w:cs="Lato"/>
                <w:color w:val="FFFFFF"/>
                <w:sz w:val="22"/>
                <w:szCs w:val="20"/>
              </w:rPr>
            </w:pPr>
            <w:r w:rsidRPr="00206B30">
              <w:rPr>
                <w:rFonts w:ascii="Lato" w:hAnsi="Lato" w:cs="Lato"/>
                <w:color w:val="FFFFFF"/>
                <w:sz w:val="22"/>
                <w:szCs w:val="20"/>
              </w:rPr>
              <w:t xml:space="preserve">Dec Qtr </w:t>
            </w:r>
          </w:p>
          <w:p w:rsidR="00206B30" w:rsidRPr="00206B30" w:rsidRDefault="00206B30" w:rsidP="00206B30">
            <w:pPr>
              <w:pStyle w:val="BasicParagraph"/>
              <w:jc w:val="right"/>
              <w:rPr>
                <w:rFonts w:ascii="Lato" w:hAnsi="Lato"/>
                <w:sz w:val="22"/>
              </w:rPr>
            </w:pPr>
            <w:r w:rsidRPr="00206B30">
              <w:rPr>
                <w:rFonts w:ascii="Lato" w:hAnsi="Lato" w:cs="Lato"/>
                <w:color w:val="FFFFFF"/>
                <w:sz w:val="22"/>
                <w:szCs w:val="20"/>
              </w:rPr>
              <w:t>2018</w:t>
            </w:r>
          </w:p>
        </w:tc>
        <w:tc>
          <w:tcPr>
            <w:tcW w:w="1474" w:type="dxa"/>
            <w:tcBorders>
              <w:top w:val="dotted" w:sz="8" w:space="0" w:color="231F20"/>
              <w:bottom w:val="dotted" w:sz="8" w:space="0" w:color="231F20"/>
            </w:tcBorders>
            <w:shd w:val="clear" w:color="auto" w:fill="8D54A2"/>
          </w:tcPr>
          <w:p w:rsidR="00206B30" w:rsidRPr="00206B30" w:rsidRDefault="00206B30" w:rsidP="00206B30">
            <w:pPr>
              <w:pStyle w:val="BasicParagraph"/>
              <w:jc w:val="right"/>
              <w:rPr>
                <w:rFonts w:ascii="Lato" w:hAnsi="Lato" w:cs="Lato"/>
                <w:color w:val="FFFFFF"/>
                <w:sz w:val="22"/>
                <w:szCs w:val="20"/>
              </w:rPr>
            </w:pPr>
            <w:r w:rsidRPr="00206B30">
              <w:rPr>
                <w:rFonts w:ascii="Lato" w:hAnsi="Lato" w:cs="Lato"/>
                <w:color w:val="FFFFFF"/>
                <w:sz w:val="22"/>
                <w:szCs w:val="20"/>
              </w:rPr>
              <w:t xml:space="preserve">Mar Qtr </w:t>
            </w:r>
          </w:p>
          <w:p w:rsidR="00206B30" w:rsidRPr="00206B30" w:rsidRDefault="00206B30" w:rsidP="00206B30">
            <w:pPr>
              <w:pStyle w:val="BasicParagraph"/>
              <w:jc w:val="right"/>
              <w:rPr>
                <w:rFonts w:ascii="Lato" w:hAnsi="Lato"/>
                <w:sz w:val="22"/>
              </w:rPr>
            </w:pPr>
            <w:r w:rsidRPr="00206B30">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206B30" w:rsidRPr="00206B30" w:rsidRDefault="00206B30" w:rsidP="00206B30">
            <w:pPr>
              <w:pStyle w:val="BasicParagraph"/>
              <w:jc w:val="right"/>
              <w:rPr>
                <w:rFonts w:ascii="Lato" w:hAnsi="Lato" w:cs="Lato"/>
                <w:color w:val="FFFFFF"/>
                <w:sz w:val="22"/>
                <w:szCs w:val="20"/>
              </w:rPr>
            </w:pPr>
            <w:r w:rsidRPr="00206B30">
              <w:rPr>
                <w:rFonts w:ascii="Lato" w:hAnsi="Lato" w:cs="Lato"/>
                <w:color w:val="FFFFFF"/>
                <w:sz w:val="22"/>
                <w:szCs w:val="20"/>
              </w:rPr>
              <w:t xml:space="preserve">Jun Qtr </w:t>
            </w:r>
          </w:p>
          <w:p w:rsidR="00206B30" w:rsidRPr="00206B30" w:rsidRDefault="00206B30" w:rsidP="00206B30">
            <w:pPr>
              <w:pStyle w:val="BasicParagraph"/>
              <w:jc w:val="right"/>
              <w:rPr>
                <w:rFonts w:ascii="Lato" w:hAnsi="Lato"/>
                <w:sz w:val="22"/>
              </w:rPr>
            </w:pPr>
            <w:r w:rsidRPr="00206B30">
              <w:rPr>
                <w:rFonts w:ascii="Lato" w:hAnsi="Lato" w:cs="Lato"/>
                <w:color w:val="FFFFFF"/>
                <w:sz w:val="22"/>
                <w:szCs w:val="20"/>
              </w:rPr>
              <w:t>2019</w:t>
            </w:r>
          </w:p>
        </w:tc>
        <w:tc>
          <w:tcPr>
            <w:tcW w:w="1474" w:type="dxa"/>
            <w:tcBorders>
              <w:top w:val="dotted" w:sz="8" w:space="0" w:color="231F20"/>
              <w:bottom w:val="dotted" w:sz="8" w:space="0" w:color="231F20"/>
            </w:tcBorders>
            <w:shd w:val="clear" w:color="auto" w:fill="8D54A2"/>
          </w:tcPr>
          <w:p w:rsidR="00206B30" w:rsidRPr="00206B30" w:rsidRDefault="00206B30" w:rsidP="00206B30">
            <w:pPr>
              <w:pStyle w:val="BasicParagraph"/>
              <w:jc w:val="right"/>
              <w:rPr>
                <w:rFonts w:ascii="Lato" w:hAnsi="Lato" w:cs="Lato"/>
                <w:color w:val="FFFFFF"/>
                <w:sz w:val="22"/>
                <w:szCs w:val="20"/>
              </w:rPr>
            </w:pPr>
            <w:r w:rsidRPr="00206B30">
              <w:rPr>
                <w:rFonts w:ascii="Lato" w:hAnsi="Lato" w:cs="Lato"/>
                <w:color w:val="FFFFFF"/>
                <w:sz w:val="22"/>
                <w:szCs w:val="20"/>
              </w:rPr>
              <w:t xml:space="preserve">Sep Qtr </w:t>
            </w:r>
          </w:p>
          <w:p w:rsidR="00206B30" w:rsidRPr="00206B30" w:rsidRDefault="00206B30" w:rsidP="00206B30">
            <w:pPr>
              <w:pStyle w:val="BasicParagraph"/>
              <w:jc w:val="right"/>
              <w:rPr>
                <w:rFonts w:ascii="Lato" w:hAnsi="Lato"/>
                <w:sz w:val="22"/>
              </w:rPr>
            </w:pPr>
            <w:r w:rsidRPr="00206B30">
              <w:rPr>
                <w:rFonts w:ascii="Lato" w:hAnsi="Lato" w:cs="Lato"/>
                <w:color w:val="FFFFFF"/>
                <w:sz w:val="22"/>
                <w:szCs w:val="20"/>
              </w:rPr>
              <w:t>2019</w:t>
            </w:r>
          </w:p>
        </w:tc>
        <w:tc>
          <w:tcPr>
            <w:tcW w:w="1475" w:type="dxa"/>
            <w:tcBorders>
              <w:top w:val="dotted" w:sz="8" w:space="0" w:color="231F20"/>
              <w:bottom w:val="dotted" w:sz="8" w:space="0" w:color="231F20"/>
            </w:tcBorders>
            <w:shd w:val="clear" w:color="auto" w:fill="8D54A2"/>
          </w:tcPr>
          <w:p w:rsidR="00206B30" w:rsidRPr="00206B30" w:rsidRDefault="00206B30" w:rsidP="00206B30">
            <w:pPr>
              <w:pStyle w:val="BasicParagraph"/>
              <w:jc w:val="right"/>
              <w:rPr>
                <w:rFonts w:ascii="Lato" w:hAnsi="Lato" w:cs="Lato"/>
                <w:color w:val="FFFFFF"/>
                <w:sz w:val="22"/>
                <w:szCs w:val="20"/>
              </w:rPr>
            </w:pPr>
            <w:r w:rsidRPr="00206B30">
              <w:rPr>
                <w:rFonts w:ascii="Lato" w:hAnsi="Lato" w:cs="Lato"/>
                <w:color w:val="FFFFFF"/>
                <w:sz w:val="22"/>
                <w:szCs w:val="20"/>
              </w:rPr>
              <w:t xml:space="preserve">Dec Qtr </w:t>
            </w:r>
          </w:p>
          <w:p w:rsidR="00206B30" w:rsidRPr="00206B30" w:rsidRDefault="00206B30" w:rsidP="00206B30">
            <w:pPr>
              <w:pStyle w:val="BasicParagraph"/>
              <w:jc w:val="right"/>
              <w:rPr>
                <w:rFonts w:ascii="Lato" w:hAnsi="Lato"/>
                <w:sz w:val="22"/>
              </w:rPr>
            </w:pPr>
            <w:r w:rsidRPr="00206B30">
              <w:rPr>
                <w:rFonts w:ascii="Lato" w:hAnsi="Lato" w:cs="Lato"/>
                <w:color w:val="FFFFFF"/>
                <w:sz w:val="22"/>
                <w:szCs w:val="20"/>
              </w:rPr>
              <w:t>2019</w:t>
            </w:r>
          </w:p>
        </w:tc>
      </w:tr>
      <w:tr w:rsidR="00607DDF" w:rsidTr="004204EC">
        <w:trPr>
          <w:trHeight w:val="397"/>
        </w:trPr>
        <w:tc>
          <w:tcPr>
            <w:tcW w:w="2542" w:type="dxa"/>
            <w:tcBorders>
              <w:top w:val="dotted" w:sz="8" w:space="0" w:color="231F20"/>
            </w:tcBorders>
            <w:shd w:val="clear" w:color="auto" w:fill="EBEBEC"/>
            <w:vAlign w:val="bottom"/>
          </w:tcPr>
          <w:p w:rsidR="00607DDF" w:rsidRDefault="00607DDF" w:rsidP="004204EC">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4" w:type="dxa"/>
            <w:tcBorders>
              <w:top w:val="dotted" w:sz="8" w:space="0" w:color="231F20"/>
            </w:tcBorders>
            <w:shd w:val="clear" w:color="auto" w:fill="EBEBEC"/>
            <w:vAlign w:val="bottom"/>
          </w:tcPr>
          <w:p w:rsidR="00607DDF" w:rsidRPr="004440A6" w:rsidRDefault="00607DDF" w:rsidP="004204EC">
            <w:pPr>
              <w:pStyle w:val="TableParagraph"/>
              <w:spacing w:after="40"/>
              <w:jc w:val="right"/>
            </w:pPr>
          </w:p>
        </w:tc>
        <w:tc>
          <w:tcPr>
            <w:tcW w:w="1475" w:type="dxa"/>
            <w:tcBorders>
              <w:top w:val="dotted" w:sz="8" w:space="0" w:color="231F20"/>
            </w:tcBorders>
            <w:shd w:val="clear" w:color="auto" w:fill="EBEBEC"/>
            <w:vAlign w:val="bottom"/>
          </w:tcPr>
          <w:p w:rsidR="00607DDF" w:rsidRDefault="00607DDF" w:rsidP="004204EC">
            <w:pPr>
              <w:pStyle w:val="TableParagraph"/>
              <w:spacing w:after="40"/>
              <w:jc w:val="right"/>
              <w:rPr>
                <w:color w:val="231F20"/>
              </w:rPr>
            </w:pPr>
          </w:p>
        </w:tc>
      </w:tr>
      <w:tr w:rsidR="00206B30" w:rsidTr="00A24827">
        <w:trPr>
          <w:trHeight w:val="397"/>
        </w:trPr>
        <w:tc>
          <w:tcPr>
            <w:tcW w:w="2542" w:type="dxa"/>
            <w:tcBorders>
              <w:top w:val="dotted" w:sz="8" w:space="0" w:color="231F20"/>
            </w:tcBorders>
            <w:shd w:val="clear" w:color="auto" w:fill="EBEBEC"/>
            <w:vAlign w:val="bottom"/>
          </w:tcPr>
          <w:p w:rsidR="00206B30" w:rsidRDefault="00206B30" w:rsidP="00206B30">
            <w:pPr>
              <w:pStyle w:val="TableParagraph"/>
              <w:spacing w:after="40"/>
              <w:ind w:left="720"/>
            </w:pPr>
            <w:r>
              <w:rPr>
                <w:color w:val="231F20"/>
              </w:rPr>
              <w:t>Confident</w:t>
            </w:r>
          </w:p>
        </w:tc>
        <w:tc>
          <w:tcPr>
            <w:tcW w:w="1474" w:type="dxa"/>
            <w:tcBorders>
              <w:top w:val="dotted" w:sz="8" w:space="0" w:color="231F20"/>
            </w:tcBorders>
            <w:shd w:val="clear" w:color="auto" w:fill="EBEBEC"/>
          </w:tcPr>
          <w:p w:rsidR="00206B30" w:rsidRPr="005A777B" w:rsidRDefault="00206B30" w:rsidP="00206B30">
            <w:pPr>
              <w:jc w:val="right"/>
            </w:pPr>
            <w:r w:rsidRPr="005A777B">
              <w:t>53%</w:t>
            </w:r>
          </w:p>
        </w:tc>
        <w:tc>
          <w:tcPr>
            <w:tcW w:w="1474" w:type="dxa"/>
            <w:tcBorders>
              <w:top w:val="dotted" w:sz="8" w:space="0" w:color="231F20"/>
            </w:tcBorders>
            <w:shd w:val="clear" w:color="auto" w:fill="EBEBEC"/>
          </w:tcPr>
          <w:p w:rsidR="00206B30" w:rsidRPr="005A777B" w:rsidRDefault="00206B30" w:rsidP="00206B30">
            <w:pPr>
              <w:jc w:val="right"/>
            </w:pPr>
            <w:r w:rsidRPr="005A777B">
              <w:t>57%</w:t>
            </w:r>
          </w:p>
        </w:tc>
        <w:tc>
          <w:tcPr>
            <w:tcW w:w="1474" w:type="dxa"/>
            <w:tcBorders>
              <w:top w:val="dotted" w:sz="8" w:space="0" w:color="231F20"/>
            </w:tcBorders>
            <w:shd w:val="clear" w:color="auto" w:fill="EBEBEC"/>
          </w:tcPr>
          <w:p w:rsidR="00206B30" w:rsidRPr="005A777B" w:rsidRDefault="00206B30" w:rsidP="00206B30">
            <w:pPr>
              <w:jc w:val="right"/>
            </w:pPr>
            <w:r w:rsidRPr="005A777B">
              <w:t>59%</w:t>
            </w:r>
          </w:p>
        </w:tc>
        <w:tc>
          <w:tcPr>
            <w:tcW w:w="1474" w:type="dxa"/>
            <w:tcBorders>
              <w:top w:val="dotted" w:sz="8" w:space="0" w:color="231F20"/>
            </w:tcBorders>
            <w:shd w:val="clear" w:color="auto" w:fill="EBEBEC"/>
          </w:tcPr>
          <w:p w:rsidR="00206B30" w:rsidRPr="005A777B" w:rsidRDefault="00206B30" w:rsidP="00206B30">
            <w:pPr>
              <w:jc w:val="right"/>
            </w:pPr>
            <w:r w:rsidRPr="005A777B">
              <w:t>53%</w:t>
            </w:r>
          </w:p>
        </w:tc>
        <w:tc>
          <w:tcPr>
            <w:tcW w:w="1475" w:type="dxa"/>
            <w:tcBorders>
              <w:top w:val="dotted" w:sz="8" w:space="0" w:color="231F20"/>
            </w:tcBorders>
            <w:shd w:val="clear" w:color="auto" w:fill="EBEBEC"/>
          </w:tcPr>
          <w:p w:rsidR="00206B30" w:rsidRPr="005A777B" w:rsidRDefault="00206B30" w:rsidP="00206B30">
            <w:pPr>
              <w:jc w:val="right"/>
            </w:pPr>
            <w:r w:rsidRPr="005A777B">
              <w:t>53%</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206B30" w:rsidP="00206B30">
            <w:pPr>
              <w:jc w:val="right"/>
            </w:pPr>
            <w:r w:rsidRPr="005A777B">
              <w:t>12%</w:t>
            </w:r>
          </w:p>
        </w:tc>
        <w:tc>
          <w:tcPr>
            <w:tcW w:w="1474" w:type="dxa"/>
            <w:shd w:val="clear" w:color="auto" w:fill="EBEBEC"/>
          </w:tcPr>
          <w:p w:rsidR="00206B30" w:rsidRPr="005A777B" w:rsidRDefault="00206B30" w:rsidP="00206B30">
            <w:pPr>
              <w:jc w:val="right"/>
            </w:pPr>
            <w:r w:rsidRPr="005A777B">
              <w:t>16%</w:t>
            </w:r>
          </w:p>
        </w:tc>
        <w:tc>
          <w:tcPr>
            <w:tcW w:w="1474" w:type="dxa"/>
            <w:shd w:val="clear" w:color="auto" w:fill="EBEBEC"/>
          </w:tcPr>
          <w:p w:rsidR="00206B30" w:rsidRPr="005A777B" w:rsidRDefault="00206B30" w:rsidP="00206B30">
            <w:pPr>
              <w:jc w:val="right"/>
            </w:pPr>
            <w:r w:rsidRPr="005A777B">
              <w:t>11%</w:t>
            </w:r>
          </w:p>
        </w:tc>
        <w:tc>
          <w:tcPr>
            <w:tcW w:w="1474" w:type="dxa"/>
            <w:shd w:val="clear" w:color="auto" w:fill="EBEBEC"/>
          </w:tcPr>
          <w:p w:rsidR="00206B30" w:rsidRPr="005A777B" w:rsidRDefault="00206B30" w:rsidP="00206B30">
            <w:pPr>
              <w:jc w:val="right"/>
            </w:pPr>
            <w:r w:rsidRPr="005A777B">
              <w:t>7%</w:t>
            </w:r>
          </w:p>
        </w:tc>
        <w:tc>
          <w:tcPr>
            <w:tcW w:w="1475" w:type="dxa"/>
            <w:shd w:val="clear" w:color="auto" w:fill="EBEBEC"/>
          </w:tcPr>
          <w:p w:rsidR="00206B30" w:rsidRPr="005A777B" w:rsidRDefault="00206B30" w:rsidP="00206B30">
            <w:pPr>
              <w:jc w:val="right"/>
            </w:pPr>
            <w:r w:rsidRPr="005A777B">
              <w:t>11%</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206B30" w:rsidP="00206B30">
            <w:pPr>
              <w:jc w:val="right"/>
            </w:pPr>
            <w:r w:rsidRPr="005A777B">
              <w:t>41%</w:t>
            </w:r>
          </w:p>
        </w:tc>
        <w:tc>
          <w:tcPr>
            <w:tcW w:w="1474" w:type="dxa"/>
            <w:shd w:val="clear" w:color="auto" w:fill="EBEBEC"/>
          </w:tcPr>
          <w:p w:rsidR="00206B30" w:rsidRPr="005A777B" w:rsidRDefault="00206B30" w:rsidP="00206B30">
            <w:pPr>
              <w:jc w:val="right"/>
            </w:pPr>
            <w:r w:rsidRPr="005A777B">
              <w:t>41%</w:t>
            </w:r>
          </w:p>
        </w:tc>
        <w:tc>
          <w:tcPr>
            <w:tcW w:w="1474" w:type="dxa"/>
            <w:shd w:val="clear" w:color="auto" w:fill="EBEBEC"/>
          </w:tcPr>
          <w:p w:rsidR="00206B30" w:rsidRPr="005A777B" w:rsidRDefault="00206B30" w:rsidP="00206B30">
            <w:pPr>
              <w:jc w:val="right"/>
            </w:pPr>
            <w:r w:rsidRPr="005A777B">
              <w:t>48%</w:t>
            </w:r>
          </w:p>
        </w:tc>
        <w:tc>
          <w:tcPr>
            <w:tcW w:w="1474" w:type="dxa"/>
            <w:shd w:val="clear" w:color="auto" w:fill="EBEBEC"/>
          </w:tcPr>
          <w:p w:rsidR="00206B30" w:rsidRPr="005A777B" w:rsidRDefault="00206B30" w:rsidP="00206B30">
            <w:pPr>
              <w:jc w:val="right"/>
            </w:pPr>
            <w:r w:rsidRPr="005A777B">
              <w:t>46%</w:t>
            </w:r>
          </w:p>
        </w:tc>
        <w:tc>
          <w:tcPr>
            <w:tcW w:w="1475" w:type="dxa"/>
            <w:shd w:val="clear" w:color="auto" w:fill="EBEBEC"/>
          </w:tcPr>
          <w:p w:rsidR="00206B30" w:rsidRPr="005A777B" w:rsidRDefault="00206B30" w:rsidP="00206B30">
            <w:pPr>
              <w:jc w:val="right"/>
            </w:pPr>
            <w:r w:rsidRPr="005A777B">
              <w:t>42%</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Daly-Tiwi-West Arnhem</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206B30" w:rsidP="00206B30">
            <w:pPr>
              <w:jc w:val="right"/>
            </w:pPr>
            <w:r w:rsidRPr="005A777B">
              <w:t>33%</w:t>
            </w:r>
          </w:p>
        </w:tc>
        <w:tc>
          <w:tcPr>
            <w:tcW w:w="1474" w:type="dxa"/>
            <w:shd w:val="clear" w:color="auto" w:fill="EBEBEC"/>
          </w:tcPr>
          <w:p w:rsidR="00206B30" w:rsidRPr="005A777B" w:rsidRDefault="00206B30" w:rsidP="00206B30">
            <w:pPr>
              <w:jc w:val="right"/>
            </w:pPr>
            <w:r w:rsidRPr="005A777B">
              <w:t>42%</w:t>
            </w:r>
          </w:p>
        </w:tc>
        <w:tc>
          <w:tcPr>
            <w:tcW w:w="1474" w:type="dxa"/>
            <w:shd w:val="clear" w:color="auto" w:fill="EBEBEC"/>
          </w:tcPr>
          <w:p w:rsidR="00206B30" w:rsidRPr="005A777B" w:rsidRDefault="00206B30" w:rsidP="00206B30">
            <w:pPr>
              <w:jc w:val="right"/>
            </w:pPr>
            <w:r w:rsidRPr="005A777B">
              <w:t>48%</w:t>
            </w:r>
          </w:p>
        </w:tc>
        <w:tc>
          <w:tcPr>
            <w:tcW w:w="1474" w:type="dxa"/>
            <w:shd w:val="clear" w:color="auto" w:fill="EBEBEC"/>
          </w:tcPr>
          <w:p w:rsidR="00206B30" w:rsidRPr="005A777B" w:rsidRDefault="00206B30" w:rsidP="00206B30">
            <w:pPr>
              <w:jc w:val="right"/>
            </w:pPr>
            <w:r w:rsidRPr="005A777B">
              <w:t>71%</w:t>
            </w:r>
          </w:p>
        </w:tc>
        <w:tc>
          <w:tcPr>
            <w:tcW w:w="1475" w:type="dxa"/>
            <w:shd w:val="clear" w:color="auto" w:fill="EBEBEC"/>
          </w:tcPr>
          <w:p w:rsidR="00206B30" w:rsidRPr="005A777B" w:rsidRDefault="00206B30" w:rsidP="00206B30">
            <w:pPr>
              <w:jc w:val="right"/>
            </w:pPr>
            <w:r w:rsidRPr="005A777B">
              <w:t>22%</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206B30" w:rsidP="00206B30">
            <w:pPr>
              <w:jc w:val="right"/>
            </w:pPr>
            <w:r w:rsidRPr="005A777B">
              <w:t>19%</w:t>
            </w:r>
          </w:p>
        </w:tc>
        <w:tc>
          <w:tcPr>
            <w:tcW w:w="1474" w:type="dxa"/>
            <w:shd w:val="clear" w:color="auto" w:fill="EBEBEC"/>
          </w:tcPr>
          <w:p w:rsidR="00206B30" w:rsidRPr="005A777B" w:rsidRDefault="00206B30" w:rsidP="00206B30">
            <w:pPr>
              <w:jc w:val="right"/>
            </w:pPr>
            <w:r w:rsidRPr="005A777B">
              <w:t>37%</w:t>
            </w:r>
          </w:p>
        </w:tc>
        <w:tc>
          <w:tcPr>
            <w:tcW w:w="1474" w:type="dxa"/>
            <w:shd w:val="clear" w:color="auto" w:fill="EBEBEC"/>
          </w:tcPr>
          <w:p w:rsidR="00206B30" w:rsidRPr="005A777B" w:rsidRDefault="00206B30" w:rsidP="00206B30">
            <w:pPr>
              <w:jc w:val="right"/>
            </w:pPr>
            <w:r w:rsidRPr="005A777B">
              <w:t>4%</w:t>
            </w:r>
          </w:p>
        </w:tc>
        <w:tc>
          <w:tcPr>
            <w:tcW w:w="1474" w:type="dxa"/>
            <w:shd w:val="clear" w:color="auto" w:fill="EBEBEC"/>
          </w:tcPr>
          <w:p w:rsidR="00206B30" w:rsidRPr="005A777B" w:rsidRDefault="00206B30" w:rsidP="00206B30">
            <w:pPr>
              <w:jc w:val="right"/>
            </w:pPr>
            <w:r w:rsidRPr="005A777B">
              <w:t>6%</w:t>
            </w:r>
          </w:p>
        </w:tc>
        <w:tc>
          <w:tcPr>
            <w:tcW w:w="1475" w:type="dxa"/>
            <w:shd w:val="clear" w:color="auto" w:fill="EBEBEC"/>
          </w:tcPr>
          <w:p w:rsidR="00206B30" w:rsidRPr="005A777B" w:rsidRDefault="00206B30" w:rsidP="00206B30">
            <w:pPr>
              <w:jc w:val="right"/>
            </w:pPr>
            <w:r w:rsidRPr="005A777B">
              <w:t>11%</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206B30" w:rsidP="00206B30">
            <w:pPr>
              <w:jc w:val="right"/>
            </w:pPr>
            <w:r w:rsidRPr="005A777B">
              <w:t>14%</w:t>
            </w:r>
          </w:p>
        </w:tc>
        <w:tc>
          <w:tcPr>
            <w:tcW w:w="1474" w:type="dxa"/>
            <w:shd w:val="clear" w:color="auto" w:fill="EBEBEC"/>
          </w:tcPr>
          <w:p w:rsidR="00206B30" w:rsidRPr="005A777B" w:rsidRDefault="00206B30" w:rsidP="00206B30">
            <w:pPr>
              <w:jc w:val="right"/>
            </w:pPr>
            <w:r w:rsidRPr="005A777B">
              <w:t>5%</w:t>
            </w:r>
          </w:p>
        </w:tc>
        <w:tc>
          <w:tcPr>
            <w:tcW w:w="1474" w:type="dxa"/>
            <w:shd w:val="clear" w:color="auto" w:fill="EBEBEC"/>
          </w:tcPr>
          <w:p w:rsidR="00206B30" w:rsidRPr="005A777B" w:rsidRDefault="00206B30" w:rsidP="00206B30">
            <w:pPr>
              <w:jc w:val="right"/>
            </w:pPr>
            <w:r w:rsidRPr="005A777B">
              <w:t>44%</w:t>
            </w:r>
          </w:p>
        </w:tc>
        <w:tc>
          <w:tcPr>
            <w:tcW w:w="1474" w:type="dxa"/>
            <w:shd w:val="clear" w:color="auto" w:fill="EBEBEC"/>
          </w:tcPr>
          <w:p w:rsidR="00206B30" w:rsidRPr="005A777B" w:rsidRDefault="00206B30" w:rsidP="00206B30">
            <w:pPr>
              <w:jc w:val="right"/>
            </w:pPr>
            <w:r w:rsidRPr="005A777B">
              <w:t>65%</w:t>
            </w:r>
          </w:p>
        </w:tc>
        <w:tc>
          <w:tcPr>
            <w:tcW w:w="1475" w:type="dxa"/>
            <w:shd w:val="clear" w:color="auto" w:fill="EBEBEC"/>
          </w:tcPr>
          <w:p w:rsidR="00206B30" w:rsidRPr="005A777B" w:rsidRDefault="00206B30" w:rsidP="00206B30">
            <w:pPr>
              <w:jc w:val="right"/>
            </w:pPr>
            <w:r w:rsidRPr="005A777B">
              <w:t>11%</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East Arnhem</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206B30" w:rsidP="00206B30">
            <w:pPr>
              <w:jc w:val="right"/>
            </w:pPr>
            <w:r w:rsidRPr="005A777B">
              <w:t>91%</w:t>
            </w:r>
          </w:p>
        </w:tc>
        <w:tc>
          <w:tcPr>
            <w:tcW w:w="1474" w:type="dxa"/>
            <w:shd w:val="clear" w:color="auto" w:fill="EBEBEC"/>
          </w:tcPr>
          <w:p w:rsidR="00206B30" w:rsidRPr="005A777B" w:rsidRDefault="00206B30" w:rsidP="00206B30">
            <w:pPr>
              <w:jc w:val="right"/>
            </w:pPr>
            <w:r w:rsidRPr="005A777B">
              <w:t>66%</w:t>
            </w:r>
          </w:p>
        </w:tc>
        <w:tc>
          <w:tcPr>
            <w:tcW w:w="1474" w:type="dxa"/>
            <w:shd w:val="clear" w:color="auto" w:fill="EBEBEC"/>
          </w:tcPr>
          <w:p w:rsidR="00206B30" w:rsidRPr="005A777B" w:rsidRDefault="00206B30" w:rsidP="00206B30">
            <w:pPr>
              <w:jc w:val="right"/>
            </w:pPr>
            <w:r w:rsidRPr="005A777B">
              <w:t>82%</w:t>
            </w:r>
          </w:p>
        </w:tc>
        <w:tc>
          <w:tcPr>
            <w:tcW w:w="1474" w:type="dxa"/>
            <w:shd w:val="clear" w:color="auto" w:fill="EBEBEC"/>
          </w:tcPr>
          <w:p w:rsidR="00206B30" w:rsidRPr="005A777B" w:rsidRDefault="00206B30" w:rsidP="00206B30">
            <w:pPr>
              <w:jc w:val="right"/>
            </w:pPr>
            <w:r w:rsidRPr="005A777B">
              <w:t>100%</w:t>
            </w:r>
          </w:p>
        </w:tc>
        <w:tc>
          <w:tcPr>
            <w:tcW w:w="1475" w:type="dxa"/>
            <w:shd w:val="clear" w:color="auto" w:fill="EBEBEC"/>
          </w:tcPr>
          <w:p w:rsidR="00206B30" w:rsidRPr="005A777B" w:rsidRDefault="00206B30" w:rsidP="00206B30">
            <w:pPr>
              <w:jc w:val="right"/>
            </w:pPr>
            <w:r w:rsidRPr="005A777B">
              <w:t>89%</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206B30" w:rsidP="00206B30">
            <w:pPr>
              <w:jc w:val="right"/>
            </w:pPr>
            <w:r w:rsidRPr="005A777B">
              <w:t>5%</w:t>
            </w:r>
          </w:p>
        </w:tc>
        <w:tc>
          <w:tcPr>
            <w:tcW w:w="1474" w:type="dxa"/>
            <w:shd w:val="clear" w:color="auto" w:fill="EBEBEC"/>
          </w:tcPr>
          <w:p w:rsidR="00206B30" w:rsidRPr="005A777B" w:rsidRDefault="00206B30" w:rsidP="00206B30">
            <w:pPr>
              <w:jc w:val="right"/>
            </w:pPr>
            <w:r w:rsidRPr="005A777B">
              <w:t>12%</w:t>
            </w:r>
          </w:p>
        </w:tc>
        <w:tc>
          <w:tcPr>
            <w:tcW w:w="1474" w:type="dxa"/>
            <w:shd w:val="clear" w:color="auto" w:fill="EBEBEC"/>
          </w:tcPr>
          <w:p w:rsidR="00206B30" w:rsidRPr="005A777B" w:rsidRDefault="00206B30" w:rsidP="00206B30">
            <w:pPr>
              <w:jc w:val="right"/>
            </w:pPr>
            <w:r w:rsidRPr="005A777B">
              <w:t>0%</w:t>
            </w:r>
          </w:p>
        </w:tc>
        <w:tc>
          <w:tcPr>
            <w:tcW w:w="1474" w:type="dxa"/>
            <w:shd w:val="clear" w:color="auto" w:fill="EBEBEC"/>
          </w:tcPr>
          <w:p w:rsidR="00206B30" w:rsidRPr="005A777B" w:rsidRDefault="00206B30" w:rsidP="00206B30">
            <w:pPr>
              <w:jc w:val="right"/>
            </w:pPr>
            <w:r w:rsidRPr="005A777B">
              <w:t>0%</w:t>
            </w:r>
          </w:p>
        </w:tc>
        <w:tc>
          <w:tcPr>
            <w:tcW w:w="1475" w:type="dxa"/>
            <w:shd w:val="clear" w:color="auto" w:fill="EBEBEC"/>
          </w:tcPr>
          <w:p w:rsidR="00206B30" w:rsidRPr="005A777B" w:rsidRDefault="00206B30" w:rsidP="00206B30">
            <w:pPr>
              <w:jc w:val="right"/>
            </w:pPr>
            <w:r w:rsidRPr="005A777B">
              <w:t>0%</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206B30" w:rsidP="00206B30">
            <w:pPr>
              <w:jc w:val="right"/>
            </w:pPr>
            <w:r w:rsidRPr="005A777B">
              <w:t>86%</w:t>
            </w:r>
          </w:p>
        </w:tc>
        <w:tc>
          <w:tcPr>
            <w:tcW w:w="1474" w:type="dxa"/>
            <w:shd w:val="clear" w:color="auto" w:fill="EBEBEC"/>
          </w:tcPr>
          <w:p w:rsidR="00206B30" w:rsidRPr="005A777B" w:rsidRDefault="00206B30" w:rsidP="00206B30">
            <w:pPr>
              <w:jc w:val="right"/>
            </w:pPr>
            <w:r w:rsidRPr="005A777B">
              <w:t>54%</w:t>
            </w:r>
          </w:p>
        </w:tc>
        <w:tc>
          <w:tcPr>
            <w:tcW w:w="1474" w:type="dxa"/>
            <w:shd w:val="clear" w:color="auto" w:fill="EBEBEC"/>
          </w:tcPr>
          <w:p w:rsidR="00206B30" w:rsidRPr="005A777B" w:rsidRDefault="00206B30" w:rsidP="00206B30">
            <w:pPr>
              <w:jc w:val="right"/>
            </w:pPr>
            <w:r w:rsidRPr="005A777B">
              <w:t>82%</w:t>
            </w:r>
          </w:p>
        </w:tc>
        <w:tc>
          <w:tcPr>
            <w:tcW w:w="1474" w:type="dxa"/>
            <w:shd w:val="clear" w:color="auto" w:fill="EBEBEC"/>
          </w:tcPr>
          <w:p w:rsidR="00206B30" w:rsidRPr="005A777B" w:rsidRDefault="00206B30" w:rsidP="00206B30">
            <w:pPr>
              <w:jc w:val="right"/>
            </w:pPr>
            <w:r w:rsidRPr="005A777B">
              <w:t>100%</w:t>
            </w:r>
          </w:p>
        </w:tc>
        <w:tc>
          <w:tcPr>
            <w:tcW w:w="1475" w:type="dxa"/>
            <w:shd w:val="clear" w:color="auto" w:fill="EBEBEC"/>
          </w:tcPr>
          <w:p w:rsidR="00206B30" w:rsidRPr="005A777B" w:rsidRDefault="00206B30" w:rsidP="00206B30">
            <w:pPr>
              <w:jc w:val="right"/>
            </w:pPr>
            <w:r w:rsidRPr="005A777B">
              <w:t>89%</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Katherine (Big Rivers)</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206B30" w:rsidP="00206B30">
            <w:pPr>
              <w:jc w:val="right"/>
            </w:pPr>
            <w:r w:rsidRPr="005A777B">
              <w:t>88%</w:t>
            </w:r>
          </w:p>
        </w:tc>
        <w:tc>
          <w:tcPr>
            <w:tcW w:w="1474" w:type="dxa"/>
            <w:shd w:val="clear" w:color="auto" w:fill="EBEBEC"/>
          </w:tcPr>
          <w:p w:rsidR="00206B30" w:rsidRPr="005A777B" w:rsidRDefault="00206B30" w:rsidP="00206B30">
            <w:pPr>
              <w:jc w:val="right"/>
            </w:pPr>
            <w:r w:rsidRPr="005A777B">
              <w:t>88%</w:t>
            </w:r>
          </w:p>
        </w:tc>
        <w:tc>
          <w:tcPr>
            <w:tcW w:w="1474" w:type="dxa"/>
            <w:shd w:val="clear" w:color="auto" w:fill="EBEBEC"/>
          </w:tcPr>
          <w:p w:rsidR="00206B30" w:rsidRPr="005A777B" w:rsidRDefault="00206B30" w:rsidP="00206B30">
            <w:pPr>
              <w:jc w:val="right"/>
            </w:pPr>
            <w:r w:rsidRPr="005A777B">
              <w:t>88%</w:t>
            </w:r>
          </w:p>
        </w:tc>
        <w:tc>
          <w:tcPr>
            <w:tcW w:w="1474" w:type="dxa"/>
            <w:shd w:val="clear" w:color="auto" w:fill="EBEBEC"/>
          </w:tcPr>
          <w:p w:rsidR="00206B30" w:rsidRPr="005A777B" w:rsidRDefault="00206B30" w:rsidP="00206B30">
            <w:pPr>
              <w:jc w:val="right"/>
            </w:pPr>
            <w:r w:rsidRPr="005A777B">
              <w:t>77%</w:t>
            </w:r>
          </w:p>
        </w:tc>
        <w:tc>
          <w:tcPr>
            <w:tcW w:w="1475" w:type="dxa"/>
            <w:shd w:val="clear" w:color="auto" w:fill="EBEBEC"/>
          </w:tcPr>
          <w:p w:rsidR="00206B30" w:rsidRPr="005A777B" w:rsidRDefault="00206B30" w:rsidP="00206B30">
            <w:pPr>
              <w:jc w:val="right"/>
            </w:pPr>
            <w:r w:rsidRPr="005A777B">
              <w:t>75%</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206B30" w:rsidP="00206B30">
            <w:pPr>
              <w:jc w:val="right"/>
            </w:pPr>
            <w:r w:rsidRPr="005A777B">
              <w:t>0%</w:t>
            </w:r>
          </w:p>
        </w:tc>
        <w:tc>
          <w:tcPr>
            <w:tcW w:w="1474" w:type="dxa"/>
            <w:shd w:val="clear" w:color="auto" w:fill="EBEBEC"/>
          </w:tcPr>
          <w:p w:rsidR="00206B30" w:rsidRPr="005A777B" w:rsidRDefault="00206B30" w:rsidP="00206B30">
            <w:pPr>
              <w:jc w:val="right"/>
            </w:pPr>
            <w:r w:rsidRPr="005A777B">
              <w:t>2%</w:t>
            </w:r>
          </w:p>
        </w:tc>
        <w:tc>
          <w:tcPr>
            <w:tcW w:w="1474" w:type="dxa"/>
            <w:shd w:val="clear" w:color="auto" w:fill="EBEBEC"/>
          </w:tcPr>
          <w:p w:rsidR="00206B30" w:rsidRPr="005A777B" w:rsidRDefault="00206B30" w:rsidP="00206B30">
            <w:pPr>
              <w:jc w:val="right"/>
            </w:pPr>
            <w:r w:rsidRPr="005A777B">
              <w:t>9%</w:t>
            </w:r>
          </w:p>
        </w:tc>
        <w:tc>
          <w:tcPr>
            <w:tcW w:w="1474" w:type="dxa"/>
            <w:shd w:val="clear" w:color="auto" w:fill="EBEBEC"/>
          </w:tcPr>
          <w:p w:rsidR="00206B30" w:rsidRPr="005A777B" w:rsidRDefault="00206B30" w:rsidP="00206B30">
            <w:pPr>
              <w:jc w:val="right"/>
            </w:pPr>
            <w:r w:rsidRPr="005A777B">
              <w:t>8%</w:t>
            </w:r>
          </w:p>
        </w:tc>
        <w:tc>
          <w:tcPr>
            <w:tcW w:w="1475" w:type="dxa"/>
            <w:shd w:val="clear" w:color="auto" w:fill="EBEBEC"/>
          </w:tcPr>
          <w:p w:rsidR="00206B30" w:rsidRPr="005A777B" w:rsidRDefault="00206B30" w:rsidP="00206B30">
            <w:pPr>
              <w:jc w:val="right"/>
            </w:pPr>
            <w:r w:rsidRPr="005A777B">
              <w:t>4%</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206B30" w:rsidP="00206B30">
            <w:pPr>
              <w:jc w:val="right"/>
            </w:pPr>
            <w:r w:rsidRPr="005A777B">
              <w:t>88%</w:t>
            </w:r>
          </w:p>
        </w:tc>
        <w:tc>
          <w:tcPr>
            <w:tcW w:w="1474" w:type="dxa"/>
            <w:shd w:val="clear" w:color="auto" w:fill="EBEBEC"/>
          </w:tcPr>
          <w:p w:rsidR="00206B30" w:rsidRPr="005A777B" w:rsidRDefault="00206B30" w:rsidP="00206B30">
            <w:pPr>
              <w:jc w:val="right"/>
            </w:pPr>
            <w:r w:rsidRPr="005A777B">
              <w:t>86%</w:t>
            </w:r>
          </w:p>
        </w:tc>
        <w:tc>
          <w:tcPr>
            <w:tcW w:w="1474" w:type="dxa"/>
            <w:shd w:val="clear" w:color="auto" w:fill="EBEBEC"/>
          </w:tcPr>
          <w:p w:rsidR="00206B30" w:rsidRPr="005A777B" w:rsidRDefault="00206B30" w:rsidP="00206B30">
            <w:pPr>
              <w:jc w:val="right"/>
            </w:pPr>
            <w:r w:rsidRPr="005A777B">
              <w:t>79%</w:t>
            </w:r>
          </w:p>
        </w:tc>
        <w:tc>
          <w:tcPr>
            <w:tcW w:w="1474" w:type="dxa"/>
            <w:shd w:val="clear" w:color="auto" w:fill="EBEBEC"/>
          </w:tcPr>
          <w:p w:rsidR="00206B30" w:rsidRPr="005A777B" w:rsidRDefault="00206B30" w:rsidP="00206B30">
            <w:pPr>
              <w:jc w:val="right"/>
            </w:pPr>
            <w:r w:rsidRPr="005A777B">
              <w:t>69%</w:t>
            </w:r>
          </w:p>
        </w:tc>
        <w:tc>
          <w:tcPr>
            <w:tcW w:w="1475" w:type="dxa"/>
            <w:shd w:val="clear" w:color="auto" w:fill="EBEBEC"/>
          </w:tcPr>
          <w:p w:rsidR="00206B30" w:rsidRPr="005A777B" w:rsidRDefault="00206B30" w:rsidP="00206B30">
            <w:pPr>
              <w:jc w:val="right"/>
            </w:pPr>
            <w:r w:rsidRPr="005A777B">
              <w:t>71%</w:t>
            </w:r>
          </w:p>
        </w:tc>
      </w:tr>
      <w:tr w:rsidR="00206B30" w:rsidRPr="00745DE4" w:rsidTr="00A24827">
        <w:trPr>
          <w:trHeight w:val="397"/>
        </w:trPr>
        <w:tc>
          <w:tcPr>
            <w:tcW w:w="2542" w:type="dxa"/>
            <w:shd w:val="clear" w:color="auto" w:fill="EBEBEC"/>
            <w:vAlign w:val="bottom"/>
          </w:tcPr>
          <w:p w:rsidR="00206B30" w:rsidRPr="00745DE4" w:rsidRDefault="00206B30" w:rsidP="00206B30">
            <w:pPr>
              <w:pStyle w:val="TableParagraph"/>
              <w:keepNext/>
              <w:spacing w:after="40"/>
              <w:ind w:left="68"/>
              <w:rPr>
                <w:color w:val="231F20"/>
              </w:rPr>
            </w:pPr>
            <w:r w:rsidRPr="00745DE4">
              <w:rPr>
                <w:color w:val="231F20"/>
              </w:rPr>
              <w:t>Barkly-Tennant Creek</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206B30" w:rsidP="00206B30">
            <w:pPr>
              <w:jc w:val="right"/>
            </w:pPr>
            <w:r w:rsidRPr="005A777B">
              <w:t>75%</w:t>
            </w:r>
          </w:p>
        </w:tc>
        <w:tc>
          <w:tcPr>
            <w:tcW w:w="1474" w:type="dxa"/>
            <w:shd w:val="clear" w:color="auto" w:fill="EBEBEC"/>
          </w:tcPr>
          <w:p w:rsidR="00206B30" w:rsidRPr="005A777B" w:rsidRDefault="00206B30" w:rsidP="00206B30">
            <w:pPr>
              <w:jc w:val="right"/>
            </w:pPr>
            <w:r w:rsidRPr="005A777B">
              <w:t>78%</w:t>
            </w:r>
          </w:p>
        </w:tc>
        <w:tc>
          <w:tcPr>
            <w:tcW w:w="1474" w:type="dxa"/>
            <w:shd w:val="clear" w:color="auto" w:fill="EBEBEC"/>
          </w:tcPr>
          <w:p w:rsidR="00206B30" w:rsidRPr="005A777B" w:rsidRDefault="00206B30" w:rsidP="00206B30">
            <w:pPr>
              <w:jc w:val="right"/>
            </w:pPr>
            <w:r w:rsidRPr="005A777B">
              <w:t>78%</w:t>
            </w:r>
          </w:p>
        </w:tc>
        <w:tc>
          <w:tcPr>
            <w:tcW w:w="1474" w:type="dxa"/>
            <w:shd w:val="clear" w:color="auto" w:fill="EBEBEC"/>
          </w:tcPr>
          <w:p w:rsidR="00206B30" w:rsidRPr="005A777B" w:rsidRDefault="00206B30" w:rsidP="00206B30">
            <w:pPr>
              <w:jc w:val="right"/>
            </w:pPr>
            <w:r w:rsidRPr="005A777B">
              <w:t>71%</w:t>
            </w:r>
          </w:p>
        </w:tc>
        <w:tc>
          <w:tcPr>
            <w:tcW w:w="1475" w:type="dxa"/>
            <w:shd w:val="clear" w:color="auto" w:fill="EBEBEC"/>
          </w:tcPr>
          <w:p w:rsidR="00206B30" w:rsidRPr="005A777B" w:rsidRDefault="00206B30" w:rsidP="00206B30">
            <w:pPr>
              <w:jc w:val="right"/>
            </w:pPr>
            <w:r w:rsidRPr="005A777B">
              <w:t>67%</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206B30" w:rsidP="00206B30">
            <w:pPr>
              <w:jc w:val="right"/>
            </w:pPr>
            <w:r w:rsidRPr="005A777B">
              <w:t>0%</w:t>
            </w:r>
          </w:p>
        </w:tc>
        <w:tc>
          <w:tcPr>
            <w:tcW w:w="1474" w:type="dxa"/>
            <w:shd w:val="clear" w:color="auto" w:fill="EBEBEC"/>
          </w:tcPr>
          <w:p w:rsidR="00206B30" w:rsidRPr="005A777B" w:rsidRDefault="00206B30" w:rsidP="00206B30">
            <w:pPr>
              <w:jc w:val="right"/>
            </w:pPr>
            <w:r w:rsidRPr="005A777B">
              <w:t>22%</w:t>
            </w:r>
          </w:p>
        </w:tc>
        <w:tc>
          <w:tcPr>
            <w:tcW w:w="1474" w:type="dxa"/>
            <w:shd w:val="clear" w:color="auto" w:fill="EBEBEC"/>
          </w:tcPr>
          <w:p w:rsidR="00206B30" w:rsidRPr="005A777B" w:rsidRDefault="00206B30" w:rsidP="00206B30">
            <w:pPr>
              <w:jc w:val="right"/>
            </w:pPr>
            <w:r w:rsidRPr="005A777B">
              <w:t>11%</w:t>
            </w:r>
          </w:p>
        </w:tc>
        <w:tc>
          <w:tcPr>
            <w:tcW w:w="1474" w:type="dxa"/>
            <w:shd w:val="clear" w:color="auto" w:fill="EBEBEC"/>
          </w:tcPr>
          <w:p w:rsidR="00206B30" w:rsidRPr="005A777B" w:rsidRDefault="00206B30" w:rsidP="00206B30">
            <w:pPr>
              <w:jc w:val="right"/>
            </w:pPr>
            <w:r w:rsidRPr="005A777B">
              <w:t>14%</w:t>
            </w:r>
          </w:p>
        </w:tc>
        <w:tc>
          <w:tcPr>
            <w:tcW w:w="1475" w:type="dxa"/>
            <w:shd w:val="clear" w:color="auto" w:fill="EBEBEC"/>
          </w:tcPr>
          <w:p w:rsidR="00206B30" w:rsidRPr="005A777B" w:rsidRDefault="00206B30" w:rsidP="00206B30">
            <w:pPr>
              <w:jc w:val="right"/>
            </w:pPr>
            <w:r w:rsidRPr="005A777B">
              <w:t>0%</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206B30" w:rsidP="00206B30">
            <w:pPr>
              <w:jc w:val="right"/>
            </w:pPr>
            <w:r w:rsidRPr="005A777B">
              <w:t>75%</w:t>
            </w:r>
          </w:p>
        </w:tc>
        <w:tc>
          <w:tcPr>
            <w:tcW w:w="1474" w:type="dxa"/>
            <w:shd w:val="clear" w:color="auto" w:fill="EBEBEC"/>
          </w:tcPr>
          <w:p w:rsidR="00206B30" w:rsidRPr="005A777B" w:rsidRDefault="00206B30" w:rsidP="00206B30">
            <w:pPr>
              <w:jc w:val="right"/>
            </w:pPr>
            <w:r w:rsidRPr="005A777B">
              <w:t>56%</w:t>
            </w:r>
          </w:p>
        </w:tc>
        <w:tc>
          <w:tcPr>
            <w:tcW w:w="1474" w:type="dxa"/>
            <w:shd w:val="clear" w:color="auto" w:fill="EBEBEC"/>
          </w:tcPr>
          <w:p w:rsidR="00206B30" w:rsidRPr="005A777B" w:rsidRDefault="00206B30" w:rsidP="00206B30">
            <w:pPr>
              <w:jc w:val="right"/>
            </w:pPr>
            <w:r w:rsidRPr="005A777B">
              <w:t>67%</w:t>
            </w:r>
          </w:p>
        </w:tc>
        <w:tc>
          <w:tcPr>
            <w:tcW w:w="1474" w:type="dxa"/>
            <w:shd w:val="clear" w:color="auto" w:fill="EBEBEC"/>
          </w:tcPr>
          <w:p w:rsidR="00206B30" w:rsidRPr="005A777B" w:rsidRDefault="00206B30" w:rsidP="00206B30">
            <w:pPr>
              <w:jc w:val="right"/>
            </w:pPr>
            <w:r w:rsidRPr="005A777B">
              <w:t>57%</w:t>
            </w:r>
          </w:p>
        </w:tc>
        <w:tc>
          <w:tcPr>
            <w:tcW w:w="1475" w:type="dxa"/>
            <w:shd w:val="clear" w:color="auto" w:fill="EBEBEC"/>
          </w:tcPr>
          <w:p w:rsidR="00206B30" w:rsidRPr="005A777B" w:rsidRDefault="00206B30" w:rsidP="00206B30">
            <w:pPr>
              <w:jc w:val="right"/>
            </w:pPr>
            <w:r w:rsidRPr="005A777B">
              <w:t>67%</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rPr>
                <w:color w:val="231F20"/>
              </w:rPr>
            </w:pPr>
            <w:r>
              <w:rPr>
                <w:color w:val="231F20"/>
              </w:rPr>
              <w:t>Alice Springs</w:t>
            </w: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4" w:type="dxa"/>
            <w:shd w:val="clear" w:color="auto" w:fill="EBEBEC"/>
          </w:tcPr>
          <w:p w:rsidR="00206B30" w:rsidRPr="005A777B" w:rsidRDefault="00206B30" w:rsidP="00206B30">
            <w:pPr>
              <w:jc w:val="right"/>
            </w:pPr>
          </w:p>
        </w:tc>
        <w:tc>
          <w:tcPr>
            <w:tcW w:w="1475" w:type="dxa"/>
            <w:shd w:val="clear" w:color="auto" w:fill="EBEBEC"/>
          </w:tcPr>
          <w:p w:rsidR="00206B30" w:rsidRPr="005A777B" w:rsidRDefault="00206B30" w:rsidP="00206B30">
            <w:pPr>
              <w:jc w:val="right"/>
            </w:pP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Confident</w:t>
            </w:r>
          </w:p>
        </w:tc>
        <w:tc>
          <w:tcPr>
            <w:tcW w:w="1474" w:type="dxa"/>
            <w:shd w:val="clear" w:color="auto" w:fill="EBEBEC"/>
          </w:tcPr>
          <w:p w:rsidR="00206B30" w:rsidRPr="005A777B" w:rsidRDefault="00206B30" w:rsidP="00206B30">
            <w:pPr>
              <w:jc w:val="right"/>
            </w:pPr>
            <w:r w:rsidRPr="005A777B">
              <w:t>82%</w:t>
            </w:r>
          </w:p>
        </w:tc>
        <w:tc>
          <w:tcPr>
            <w:tcW w:w="1474" w:type="dxa"/>
            <w:shd w:val="clear" w:color="auto" w:fill="EBEBEC"/>
          </w:tcPr>
          <w:p w:rsidR="00206B30" w:rsidRPr="005A777B" w:rsidRDefault="00206B30" w:rsidP="00206B30">
            <w:pPr>
              <w:jc w:val="right"/>
            </w:pPr>
            <w:r w:rsidRPr="005A777B">
              <w:t>65%</w:t>
            </w:r>
          </w:p>
        </w:tc>
        <w:tc>
          <w:tcPr>
            <w:tcW w:w="1474" w:type="dxa"/>
            <w:shd w:val="clear" w:color="auto" w:fill="EBEBEC"/>
          </w:tcPr>
          <w:p w:rsidR="00206B30" w:rsidRPr="005A777B" w:rsidRDefault="00206B30" w:rsidP="00206B30">
            <w:pPr>
              <w:jc w:val="right"/>
            </w:pPr>
            <w:r w:rsidRPr="005A777B">
              <w:t>81%</w:t>
            </w:r>
          </w:p>
        </w:tc>
        <w:tc>
          <w:tcPr>
            <w:tcW w:w="1474" w:type="dxa"/>
            <w:shd w:val="clear" w:color="auto" w:fill="EBEBEC"/>
          </w:tcPr>
          <w:p w:rsidR="00206B30" w:rsidRPr="005A777B" w:rsidRDefault="00206B30" w:rsidP="00206B30">
            <w:pPr>
              <w:jc w:val="right"/>
            </w:pPr>
            <w:r w:rsidRPr="005A777B">
              <w:t>80%</w:t>
            </w:r>
          </w:p>
        </w:tc>
        <w:tc>
          <w:tcPr>
            <w:tcW w:w="1475" w:type="dxa"/>
            <w:shd w:val="clear" w:color="auto" w:fill="EBEBEC"/>
          </w:tcPr>
          <w:p w:rsidR="00206B30" w:rsidRPr="005A777B" w:rsidRDefault="00206B30" w:rsidP="00206B30">
            <w:pPr>
              <w:jc w:val="right"/>
            </w:pPr>
            <w:r w:rsidRPr="005A777B">
              <w:t>78%</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Worried</w:t>
            </w:r>
          </w:p>
        </w:tc>
        <w:tc>
          <w:tcPr>
            <w:tcW w:w="1474" w:type="dxa"/>
            <w:shd w:val="clear" w:color="auto" w:fill="EBEBEC"/>
          </w:tcPr>
          <w:p w:rsidR="00206B30" w:rsidRPr="005A777B" w:rsidRDefault="00206B30" w:rsidP="00206B30">
            <w:pPr>
              <w:jc w:val="right"/>
            </w:pPr>
            <w:r w:rsidRPr="005A777B">
              <w:t>4%</w:t>
            </w:r>
          </w:p>
        </w:tc>
        <w:tc>
          <w:tcPr>
            <w:tcW w:w="1474" w:type="dxa"/>
            <w:shd w:val="clear" w:color="auto" w:fill="EBEBEC"/>
          </w:tcPr>
          <w:p w:rsidR="00206B30" w:rsidRPr="005A777B" w:rsidRDefault="00206B30" w:rsidP="00206B30">
            <w:pPr>
              <w:jc w:val="right"/>
            </w:pPr>
            <w:r w:rsidRPr="005A777B">
              <w:t>14%</w:t>
            </w:r>
          </w:p>
        </w:tc>
        <w:tc>
          <w:tcPr>
            <w:tcW w:w="1474" w:type="dxa"/>
            <w:shd w:val="clear" w:color="auto" w:fill="EBEBEC"/>
          </w:tcPr>
          <w:p w:rsidR="00206B30" w:rsidRPr="005A777B" w:rsidRDefault="00206B30" w:rsidP="00206B30">
            <w:pPr>
              <w:jc w:val="right"/>
            </w:pPr>
            <w:r w:rsidRPr="005A777B">
              <w:t>8%</w:t>
            </w:r>
          </w:p>
        </w:tc>
        <w:tc>
          <w:tcPr>
            <w:tcW w:w="1474" w:type="dxa"/>
            <w:shd w:val="clear" w:color="auto" w:fill="EBEBEC"/>
          </w:tcPr>
          <w:p w:rsidR="00206B30" w:rsidRPr="005A777B" w:rsidRDefault="00206B30" w:rsidP="00206B30">
            <w:pPr>
              <w:jc w:val="right"/>
            </w:pPr>
            <w:r w:rsidRPr="005A777B">
              <w:t>10%</w:t>
            </w:r>
          </w:p>
        </w:tc>
        <w:tc>
          <w:tcPr>
            <w:tcW w:w="1475" w:type="dxa"/>
            <w:shd w:val="clear" w:color="auto" w:fill="EBEBEC"/>
          </w:tcPr>
          <w:p w:rsidR="00206B30" w:rsidRPr="005A777B" w:rsidRDefault="00206B30" w:rsidP="00206B30">
            <w:pPr>
              <w:jc w:val="right"/>
            </w:pPr>
            <w:r w:rsidRPr="005A777B">
              <w:t>13%</w:t>
            </w:r>
          </w:p>
        </w:tc>
      </w:tr>
      <w:tr w:rsidR="00206B30" w:rsidTr="00A24827">
        <w:trPr>
          <w:trHeight w:val="397"/>
        </w:trPr>
        <w:tc>
          <w:tcPr>
            <w:tcW w:w="2542" w:type="dxa"/>
            <w:shd w:val="clear" w:color="auto" w:fill="EBEBEC"/>
            <w:vAlign w:val="bottom"/>
          </w:tcPr>
          <w:p w:rsidR="00206B30" w:rsidRDefault="00206B30" w:rsidP="00206B30">
            <w:pPr>
              <w:pStyle w:val="TableParagraph"/>
              <w:spacing w:after="40"/>
              <w:ind w:left="720"/>
            </w:pPr>
            <w:r>
              <w:rPr>
                <w:color w:val="231F20"/>
              </w:rPr>
              <w:t>Net balance</w:t>
            </w:r>
          </w:p>
        </w:tc>
        <w:tc>
          <w:tcPr>
            <w:tcW w:w="1474" w:type="dxa"/>
            <w:shd w:val="clear" w:color="auto" w:fill="EBEBEC"/>
          </w:tcPr>
          <w:p w:rsidR="00206B30" w:rsidRPr="005A777B" w:rsidRDefault="00206B30" w:rsidP="00206B30">
            <w:pPr>
              <w:jc w:val="right"/>
            </w:pPr>
            <w:r w:rsidRPr="005A777B">
              <w:t>78%</w:t>
            </w:r>
          </w:p>
        </w:tc>
        <w:tc>
          <w:tcPr>
            <w:tcW w:w="1474" w:type="dxa"/>
            <w:shd w:val="clear" w:color="auto" w:fill="EBEBEC"/>
          </w:tcPr>
          <w:p w:rsidR="00206B30" w:rsidRPr="005A777B" w:rsidRDefault="00206B30" w:rsidP="00206B30">
            <w:pPr>
              <w:jc w:val="right"/>
            </w:pPr>
            <w:r w:rsidRPr="005A777B">
              <w:t>51%</w:t>
            </w:r>
          </w:p>
        </w:tc>
        <w:tc>
          <w:tcPr>
            <w:tcW w:w="1474" w:type="dxa"/>
            <w:shd w:val="clear" w:color="auto" w:fill="EBEBEC"/>
          </w:tcPr>
          <w:p w:rsidR="00206B30" w:rsidRPr="005A777B" w:rsidRDefault="00206B30" w:rsidP="00206B30">
            <w:pPr>
              <w:jc w:val="right"/>
            </w:pPr>
            <w:r w:rsidRPr="005A777B">
              <w:t>73%</w:t>
            </w:r>
          </w:p>
        </w:tc>
        <w:tc>
          <w:tcPr>
            <w:tcW w:w="1474" w:type="dxa"/>
            <w:shd w:val="clear" w:color="auto" w:fill="EBEBEC"/>
          </w:tcPr>
          <w:p w:rsidR="00206B30" w:rsidRPr="005A777B" w:rsidRDefault="00206B30" w:rsidP="00206B30">
            <w:pPr>
              <w:jc w:val="right"/>
            </w:pPr>
            <w:r w:rsidRPr="005A777B">
              <w:t>70%</w:t>
            </w:r>
          </w:p>
        </w:tc>
        <w:tc>
          <w:tcPr>
            <w:tcW w:w="1475" w:type="dxa"/>
            <w:shd w:val="clear" w:color="auto" w:fill="EBEBEC"/>
          </w:tcPr>
          <w:p w:rsidR="00206B30" w:rsidRDefault="00206B30" w:rsidP="00206B30">
            <w:pPr>
              <w:jc w:val="right"/>
            </w:pPr>
            <w:r w:rsidRPr="005A777B">
              <w:t>65%</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A72A20" w:rsidRDefault="00A72A20" w:rsidP="004204EC">
      <w:r>
        <w:t xml:space="preserve">The Territory-wide </w:t>
      </w:r>
      <w:r w:rsidR="00206B30" w:rsidRPr="00206B30">
        <w:t>business confidence was +52% but remained varied among the industries for the December quarter 2019. The chart below displays the top 10 most surveyed industries.</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686"/>
        <w:gridCol w:w="1276"/>
        <w:gridCol w:w="1275"/>
        <w:gridCol w:w="1134"/>
        <w:gridCol w:w="1134"/>
        <w:gridCol w:w="1134"/>
      </w:tblGrid>
      <w:tr w:rsidR="00F902D8" w:rsidRPr="00F902D8" w:rsidTr="00206B30">
        <w:trPr>
          <w:trHeight w:hRule="exact" w:val="353"/>
          <w:tblHeader/>
        </w:trPr>
        <w:tc>
          <w:tcPr>
            <w:tcW w:w="3686"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6"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206B30" w:rsidRPr="00BB59F0" w:rsidTr="00206B30">
        <w:trPr>
          <w:trHeight w:hRule="exact" w:val="540"/>
          <w:tblHeader/>
        </w:trPr>
        <w:tc>
          <w:tcPr>
            <w:tcW w:w="3686" w:type="dxa"/>
            <w:tcBorders>
              <w:top w:val="nil"/>
              <w:bottom w:val="single" w:sz="4" w:space="0" w:color="auto"/>
            </w:tcBorders>
            <w:shd w:val="clear" w:color="auto" w:fill="E6DDEE"/>
          </w:tcPr>
          <w:p w:rsidR="00206B30" w:rsidRPr="00A72A20" w:rsidRDefault="00206B30" w:rsidP="00206B30">
            <w:pPr>
              <w:spacing w:line="240" w:lineRule="auto"/>
            </w:pPr>
          </w:p>
        </w:tc>
        <w:tc>
          <w:tcPr>
            <w:tcW w:w="1276" w:type="dxa"/>
            <w:tcBorders>
              <w:top w:val="nil"/>
              <w:bottom w:val="single" w:sz="4" w:space="0" w:color="auto"/>
            </w:tcBorders>
            <w:shd w:val="clear" w:color="auto" w:fill="E6DDEE"/>
          </w:tcPr>
          <w:p w:rsidR="00206B30" w:rsidRPr="00A72A20" w:rsidRDefault="00206B30" w:rsidP="00206B30">
            <w:pPr>
              <w:spacing w:line="240" w:lineRule="auto"/>
            </w:pPr>
          </w:p>
        </w:tc>
        <w:tc>
          <w:tcPr>
            <w:tcW w:w="1275" w:type="dxa"/>
            <w:tcBorders>
              <w:top w:val="nil"/>
              <w:bottom w:val="single" w:sz="4" w:space="0" w:color="auto"/>
            </w:tcBorders>
            <w:shd w:val="clear" w:color="auto" w:fill="E6DDEE"/>
          </w:tcPr>
          <w:p w:rsidR="00206B30" w:rsidRPr="00A72A20" w:rsidRDefault="00206B30" w:rsidP="00206B30">
            <w:pPr>
              <w:spacing w:line="240" w:lineRule="auto"/>
            </w:pPr>
          </w:p>
        </w:tc>
        <w:tc>
          <w:tcPr>
            <w:tcW w:w="1134" w:type="dxa"/>
            <w:tcBorders>
              <w:top w:val="nil"/>
              <w:bottom w:val="single" w:sz="4" w:space="0" w:color="auto"/>
            </w:tcBorders>
            <w:shd w:val="clear" w:color="auto" w:fill="E6DDEE"/>
          </w:tcPr>
          <w:p w:rsidR="00206B30" w:rsidRPr="00206B30" w:rsidRDefault="00206B30" w:rsidP="00206B30">
            <w:pPr>
              <w:jc w:val="right"/>
              <w:rPr>
                <w:b/>
              </w:rPr>
            </w:pPr>
            <w:r w:rsidRPr="00206B30">
              <w:rPr>
                <w:b/>
              </w:rPr>
              <w:t>Dec Qtr 2019</w:t>
            </w:r>
          </w:p>
        </w:tc>
        <w:tc>
          <w:tcPr>
            <w:tcW w:w="1134" w:type="dxa"/>
            <w:tcBorders>
              <w:top w:val="nil"/>
              <w:bottom w:val="single" w:sz="4" w:space="0" w:color="auto"/>
            </w:tcBorders>
            <w:shd w:val="clear" w:color="auto" w:fill="E6DDEE"/>
          </w:tcPr>
          <w:p w:rsidR="00206B30" w:rsidRPr="00723DBB" w:rsidRDefault="00206B30" w:rsidP="00206B30">
            <w:pPr>
              <w:jc w:val="right"/>
            </w:pPr>
            <w:r w:rsidRPr="00723DBB">
              <w:t>Sep Qtr 2019</w:t>
            </w:r>
          </w:p>
        </w:tc>
        <w:tc>
          <w:tcPr>
            <w:tcW w:w="1134" w:type="dxa"/>
            <w:tcBorders>
              <w:top w:val="nil"/>
              <w:bottom w:val="single" w:sz="4" w:space="0" w:color="auto"/>
            </w:tcBorders>
            <w:shd w:val="clear" w:color="auto" w:fill="E6DDEE"/>
          </w:tcPr>
          <w:p w:rsidR="00206B30" w:rsidRDefault="00206B30" w:rsidP="00206B30">
            <w:pPr>
              <w:jc w:val="right"/>
            </w:pPr>
            <w:r w:rsidRPr="00723DBB">
              <w:t>June Qtr 2019</w:t>
            </w:r>
          </w:p>
        </w:tc>
      </w:tr>
      <w:tr w:rsidR="00206B30" w:rsidRPr="00FC07B0" w:rsidTr="0065692B">
        <w:trPr>
          <w:trHeight w:hRule="exact" w:val="397"/>
        </w:trPr>
        <w:tc>
          <w:tcPr>
            <w:tcW w:w="3686" w:type="dxa"/>
            <w:tcBorders>
              <w:top w:val="single" w:sz="4" w:space="0" w:color="auto"/>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Agriculture, Forestry and Fishing</w:t>
            </w:r>
          </w:p>
        </w:tc>
        <w:tc>
          <w:tcPr>
            <w:tcW w:w="1276" w:type="dxa"/>
            <w:tcBorders>
              <w:top w:val="single" w:sz="4" w:space="0" w:color="auto"/>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71%</w:t>
            </w:r>
          </w:p>
        </w:tc>
        <w:tc>
          <w:tcPr>
            <w:tcW w:w="1275" w:type="dxa"/>
            <w:tcBorders>
              <w:top w:val="single" w:sz="4" w:space="0" w:color="auto"/>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14%</w:t>
            </w:r>
          </w:p>
        </w:tc>
        <w:tc>
          <w:tcPr>
            <w:tcW w:w="1134" w:type="dxa"/>
            <w:tcBorders>
              <w:top w:val="single" w:sz="4" w:space="0" w:color="auto"/>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57%</w:t>
            </w:r>
          </w:p>
        </w:tc>
        <w:tc>
          <w:tcPr>
            <w:tcW w:w="1134" w:type="dxa"/>
            <w:tcBorders>
              <w:top w:val="single" w:sz="4" w:space="0" w:color="auto"/>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43%</w:t>
            </w:r>
          </w:p>
        </w:tc>
        <w:tc>
          <w:tcPr>
            <w:tcW w:w="1134" w:type="dxa"/>
            <w:tcBorders>
              <w:top w:val="single" w:sz="4" w:space="0" w:color="auto"/>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77%</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Construction</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58%</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12%</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46%</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44%</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36%</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Retail Trade</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67%</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10%</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57%</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46%</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42%</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Accommodation and Food Services</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64%</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9%</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55%</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69%</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57%</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Transport, Postal and Warehousing</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67%</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11%</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56%</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59%</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55%</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Professional Services</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71%</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65%</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63%</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93%</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6E7EE"/>
          </w:tcPr>
          <w:p w:rsidR="00206B30" w:rsidRPr="00206B30" w:rsidRDefault="00206B30" w:rsidP="00206B30">
            <w:pPr>
              <w:pStyle w:val="BasicParagraph"/>
              <w:rPr>
                <w:rFonts w:ascii="Lato" w:hAnsi="Lato"/>
                <w:sz w:val="22"/>
                <w:szCs w:val="22"/>
              </w:rPr>
            </w:pPr>
            <w:r w:rsidRPr="00206B30">
              <w:rPr>
                <w:rFonts w:ascii="Lato" w:hAnsi="Lato" w:cs="Lato"/>
                <w:sz w:val="22"/>
                <w:szCs w:val="22"/>
              </w:rPr>
              <w:t>Education and Training</w:t>
            </w:r>
          </w:p>
        </w:tc>
        <w:tc>
          <w:tcPr>
            <w:tcW w:w="1276" w:type="dxa"/>
            <w:tcBorders>
              <w:top w:val="single" w:sz="8" w:space="0" w:color="231F20"/>
              <w:bottom w:val="single" w:sz="8" w:space="0" w:color="231F20"/>
            </w:tcBorders>
            <w:shd w:val="clear" w:color="auto" w:fill="E6E7EE"/>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50%</w:t>
            </w:r>
          </w:p>
        </w:tc>
        <w:tc>
          <w:tcPr>
            <w:tcW w:w="1275" w:type="dxa"/>
            <w:tcBorders>
              <w:top w:val="single" w:sz="8" w:space="0" w:color="231F20"/>
              <w:bottom w:val="single" w:sz="8" w:space="0" w:color="231F20"/>
            </w:tcBorders>
            <w:shd w:val="clear" w:color="auto" w:fill="E6E7EE"/>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13%</w:t>
            </w:r>
          </w:p>
        </w:tc>
        <w:tc>
          <w:tcPr>
            <w:tcW w:w="1134" w:type="dxa"/>
            <w:tcBorders>
              <w:top w:val="single" w:sz="8" w:space="0" w:color="231F20"/>
              <w:bottom w:val="single" w:sz="8" w:space="0" w:color="231F20"/>
            </w:tcBorders>
            <w:shd w:val="clear" w:color="auto" w:fill="E6E7EE"/>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37%</w:t>
            </w:r>
          </w:p>
        </w:tc>
        <w:tc>
          <w:tcPr>
            <w:tcW w:w="1134" w:type="dxa"/>
            <w:tcBorders>
              <w:top w:val="single" w:sz="8" w:space="0" w:color="231F20"/>
              <w:bottom w:val="single" w:sz="8" w:space="0" w:color="231F20"/>
            </w:tcBorders>
            <w:shd w:val="clear" w:color="auto" w:fill="E6E7EE"/>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91%</w:t>
            </w:r>
          </w:p>
        </w:tc>
        <w:tc>
          <w:tcPr>
            <w:tcW w:w="1134" w:type="dxa"/>
            <w:tcBorders>
              <w:top w:val="single" w:sz="8" w:space="0" w:color="231F20"/>
              <w:bottom w:val="single" w:sz="8" w:space="0" w:color="231F20"/>
            </w:tcBorders>
            <w:shd w:val="clear" w:color="auto" w:fill="E6E7EE"/>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55%</w:t>
            </w:r>
          </w:p>
        </w:tc>
      </w:tr>
      <w:tr w:rsidR="00206B30" w:rsidRPr="00FC07B0" w:rsidTr="0065692B">
        <w:trPr>
          <w:trHeight w:hRule="exact" w:val="624"/>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cs="Lato"/>
                <w:sz w:val="22"/>
                <w:szCs w:val="22"/>
              </w:rPr>
            </w:pPr>
            <w:r w:rsidRPr="00206B30">
              <w:rPr>
                <w:rFonts w:ascii="Lato" w:hAnsi="Lato" w:cs="Lato"/>
                <w:sz w:val="22"/>
                <w:szCs w:val="22"/>
              </w:rPr>
              <w:t xml:space="preserve">Health Care and Social </w:t>
            </w:r>
          </w:p>
          <w:p w:rsidR="00206B30" w:rsidRPr="00206B30" w:rsidRDefault="00206B30" w:rsidP="00206B30">
            <w:pPr>
              <w:pStyle w:val="BasicParagraph"/>
              <w:rPr>
                <w:rFonts w:ascii="Lato" w:hAnsi="Lato"/>
                <w:sz w:val="22"/>
                <w:szCs w:val="22"/>
              </w:rPr>
            </w:pPr>
            <w:r w:rsidRPr="00206B30">
              <w:rPr>
                <w:rFonts w:ascii="Lato" w:hAnsi="Lato" w:cs="Lato"/>
                <w:sz w:val="22"/>
                <w:szCs w:val="22"/>
              </w:rPr>
              <w:t>Assistance</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86%</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9%</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77%</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71%</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81%</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Arts and Recreation Services</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77%</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9%</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68%</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57%</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58%</w:t>
            </w:r>
          </w:p>
        </w:tc>
      </w:tr>
      <w:tr w:rsidR="00206B30" w:rsidRPr="00FC07B0" w:rsidTr="0065692B">
        <w:trPr>
          <w:trHeight w:hRule="exact" w:val="397"/>
        </w:trPr>
        <w:tc>
          <w:tcPr>
            <w:tcW w:w="3686" w:type="dxa"/>
            <w:tcBorders>
              <w:top w:val="single" w:sz="8" w:space="0" w:color="231F20"/>
              <w:bottom w:val="single" w:sz="8" w:space="0" w:color="231F20"/>
            </w:tcBorders>
            <w:shd w:val="clear" w:color="auto" w:fill="EBEBEC"/>
          </w:tcPr>
          <w:p w:rsidR="00206B30" w:rsidRPr="00206B30" w:rsidRDefault="00206B30" w:rsidP="00206B30">
            <w:pPr>
              <w:pStyle w:val="BasicParagraph"/>
              <w:rPr>
                <w:rFonts w:ascii="Lato" w:hAnsi="Lato"/>
                <w:sz w:val="22"/>
                <w:szCs w:val="22"/>
              </w:rPr>
            </w:pPr>
            <w:r w:rsidRPr="00206B30">
              <w:rPr>
                <w:rFonts w:ascii="Lato" w:hAnsi="Lato" w:cs="Lato"/>
                <w:sz w:val="22"/>
                <w:szCs w:val="22"/>
              </w:rPr>
              <w:t>Other Services</w:t>
            </w:r>
          </w:p>
        </w:tc>
        <w:tc>
          <w:tcPr>
            <w:tcW w:w="1276"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68%</w:t>
            </w:r>
          </w:p>
        </w:tc>
        <w:tc>
          <w:tcPr>
            <w:tcW w:w="1275"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8%</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b/>
                <w:bCs/>
                <w:sz w:val="22"/>
                <w:szCs w:val="22"/>
              </w:rPr>
              <w:t>60%</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63%</w:t>
            </w:r>
          </w:p>
        </w:tc>
        <w:tc>
          <w:tcPr>
            <w:tcW w:w="1134" w:type="dxa"/>
            <w:tcBorders>
              <w:top w:val="single" w:sz="8" w:space="0" w:color="231F20"/>
              <w:bottom w:val="single" w:sz="8" w:space="0" w:color="231F20"/>
            </w:tcBorders>
            <w:shd w:val="clear" w:color="auto" w:fill="EBEBEC"/>
          </w:tcPr>
          <w:p w:rsidR="00206B30" w:rsidRPr="00206B30" w:rsidRDefault="00206B30" w:rsidP="00206B30">
            <w:pPr>
              <w:pStyle w:val="BasicParagraph"/>
              <w:jc w:val="right"/>
              <w:rPr>
                <w:rFonts w:ascii="Lato" w:hAnsi="Lato"/>
                <w:sz w:val="22"/>
                <w:szCs w:val="22"/>
              </w:rPr>
            </w:pPr>
            <w:r w:rsidRPr="00206B30">
              <w:rPr>
                <w:rFonts w:ascii="Lato" w:hAnsi="Lato" w:cs="Lato"/>
                <w:sz w:val="22"/>
                <w:szCs w:val="22"/>
              </w:rPr>
              <w:t>44%</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A72A20" w:rsidRDefault="00A72A20" w:rsidP="00F902D8">
      <w:pPr>
        <w:pStyle w:val="Heading3"/>
      </w:pPr>
      <w:r>
        <w:t>Industry expectations</w:t>
      </w:r>
    </w:p>
    <w:p w:rsidR="00C16AD1" w:rsidRDefault="00206B30" w:rsidP="00C16AD1">
      <w:r w:rsidRPr="00206B30">
        <w:rPr>
          <w:noProof/>
          <w:lang w:eastAsia="en-AU"/>
        </w:rPr>
        <w:drawing>
          <wp:inline distT="0" distB="0" distL="0" distR="0">
            <wp:extent cx="5991225" cy="3257550"/>
            <wp:effectExtent l="0" t="0" r="9525" b="0"/>
            <wp:docPr id="15" name="Picture 15" descr="This graph shows the confidence levels by industry, listed from most confident (health care and social assistance)  to least confident (education and training).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1225" cy="3257550"/>
                    </a:xfrm>
                    <a:prstGeom prst="rect">
                      <a:avLst/>
                    </a:prstGeom>
                    <a:noFill/>
                    <a:ln>
                      <a:noFill/>
                    </a:ln>
                  </pic:spPr>
                </pic:pic>
              </a:graphicData>
            </a:graphic>
          </wp:inline>
        </w:drawing>
      </w:r>
    </w:p>
    <w:p w:rsidR="00DB6321" w:rsidRDefault="00DB6321">
      <w:pPr>
        <w:spacing w:after="200" w:line="276" w:lineRule="auto"/>
      </w:pPr>
      <w:r>
        <w:br w:type="page"/>
      </w:r>
    </w:p>
    <w:p w:rsidR="00C16AD1" w:rsidRPr="00C16AD1" w:rsidRDefault="00C16AD1" w:rsidP="00FC07B0">
      <w:pPr>
        <w:pStyle w:val="Heading2"/>
      </w:pPr>
      <w:r w:rsidRPr="00C16AD1">
        <w:lastRenderedPageBreak/>
        <w:t>Key business insights</w:t>
      </w:r>
    </w:p>
    <w:p w:rsidR="0010343D" w:rsidRPr="00FC07B0" w:rsidRDefault="00C16AD1" w:rsidP="00FC07B0">
      <w:pPr>
        <w:pStyle w:val="Heading3"/>
      </w:pPr>
      <w:r w:rsidRPr="00FC07B0">
        <w:t>C</w:t>
      </w:r>
      <w:r w:rsidR="00FC07B0">
        <w:t>onfident</w:t>
      </w:r>
    </w:p>
    <w:p w:rsidR="00C16AD1" w:rsidRPr="00FC07B0" w:rsidRDefault="00C16AD1" w:rsidP="00FC07B0">
      <w:r>
        <w:t xml:space="preserve">Of </w:t>
      </w:r>
      <w:r w:rsidR="002C0A92" w:rsidRPr="002C0A92">
        <w:t>the Territory businesses confident about their business prospects for the next 12 months, key reasons cited are: 'strong customer relations'; 'strong market position'; 'been in business a long time' and 'business opportunity'. The graph below shows the relative importance of the key reasons for confidence.</w:t>
      </w:r>
    </w:p>
    <w:p w:rsidR="00CA17D1" w:rsidRPr="0010343D" w:rsidRDefault="002C0A92" w:rsidP="00FC07B0">
      <w:pPr>
        <w:rPr>
          <w:lang w:val="en-US"/>
        </w:rPr>
      </w:pPr>
      <w:r w:rsidRPr="002C0A92">
        <w:rPr>
          <w:noProof/>
          <w:lang w:eastAsia="en-AU"/>
        </w:rPr>
        <w:drawing>
          <wp:inline distT="0" distB="0" distL="0" distR="0">
            <wp:extent cx="4099322" cy="2981325"/>
            <wp:effectExtent l="0" t="0" r="0" b="0"/>
            <wp:docPr id="16" name="Picture 16" descr="The chart outlines the key reasons why surveyed businesses were confident, over the past two quarters. Further detail provided in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2762" cy="2983827"/>
                    </a:xfrm>
                    <a:prstGeom prst="rect">
                      <a:avLst/>
                    </a:prstGeom>
                    <a:noFill/>
                    <a:ln>
                      <a:noFill/>
                    </a:ln>
                  </pic:spPr>
                </pic:pic>
              </a:graphicData>
            </a:graphic>
          </wp:inline>
        </w:drawing>
      </w:r>
    </w:p>
    <w:p w:rsidR="0010343D" w:rsidRPr="00FC07B0" w:rsidRDefault="00FC07B0" w:rsidP="00FC07B0">
      <w:pPr>
        <w:pStyle w:val="Heading3"/>
      </w:pPr>
      <w:r>
        <w:t>W</w:t>
      </w:r>
      <w:r w:rsidR="000128A1" w:rsidRPr="00FC07B0">
        <w:t>orried</w:t>
      </w:r>
    </w:p>
    <w:p w:rsidR="00C16AD1" w:rsidRDefault="00C16AD1" w:rsidP="00FC07B0">
      <w:r>
        <w:t xml:space="preserve">Of </w:t>
      </w:r>
      <w:r w:rsidR="002C0A92" w:rsidRPr="002C0A92">
        <w:t>those Territory businesses worried about their business prospects for the next 12 months, the main reasons cited for being worried are: 'lack of suitably skilled workers'; 'decrease in business/sales'; and 'weak local economy'. The graph below shows the relative importance of the key reasons for being worried for the last two quarters.</w:t>
      </w:r>
    </w:p>
    <w:p w:rsidR="0010343D" w:rsidRPr="0010343D" w:rsidRDefault="002C0A92" w:rsidP="00745DE4">
      <w:pPr>
        <w:rPr>
          <w:lang w:val="en-US"/>
        </w:rPr>
      </w:pPr>
      <w:r w:rsidRPr="002C0A92">
        <w:rPr>
          <w:noProof/>
          <w:lang w:eastAsia="en-AU"/>
        </w:rPr>
        <w:drawing>
          <wp:inline distT="0" distB="0" distL="0" distR="0">
            <wp:extent cx="4098925" cy="2895271"/>
            <wp:effectExtent l="0" t="0" r="0" b="635"/>
            <wp:docPr id="18" name="Picture 18" descr="The chart outlines the key reasons why surveyed businesses were worried, over the past two quarters. Further detail provided in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3326" cy="2898379"/>
                    </a:xfrm>
                    <a:prstGeom prst="rect">
                      <a:avLst/>
                    </a:prstGeom>
                    <a:noFill/>
                    <a:ln>
                      <a:noFill/>
                    </a:ln>
                  </pic:spPr>
                </pic:pic>
              </a:graphicData>
            </a:graphic>
          </wp:inline>
        </w:drawing>
      </w:r>
    </w:p>
    <w:p w:rsidR="00FC07B0" w:rsidRDefault="00FC07B0" w:rsidP="00EF63F6">
      <w:r>
        <w:br w:type="page"/>
      </w:r>
    </w:p>
    <w:p w:rsidR="0010343D" w:rsidRPr="00C16AD1" w:rsidRDefault="007932AD" w:rsidP="00FC07B0">
      <w:pPr>
        <w:pStyle w:val="Heading2"/>
      </w:pPr>
      <w:r w:rsidRPr="00C16AD1">
        <w:lastRenderedPageBreak/>
        <w:t>Business performance</w:t>
      </w:r>
    </w:p>
    <w:p w:rsidR="0010343D" w:rsidRPr="007932AD" w:rsidRDefault="0010343D" w:rsidP="004204EC">
      <w:pPr>
        <w:pStyle w:val="Question"/>
      </w:pPr>
      <w:r w:rsidRPr="007932AD">
        <w:t>Q. How is your business performing this year compared to last year?</w:t>
      </w:r>
    </w:p>
    <w:p w:rsidR="00C16AD1" w:rsidRDefault="002C0A92" w:rsidP="00FC07B0">
      <w:r w:rsidRPr="002C0A92">
        <w:t>46% of Territory businesses noted that their business performance is better this year compared to last year, while 43% of the businesses stated that business performance is the same as last year, and 11% of businesses stated their business performance is worse than last year.</w:t>
      </w:r>
    </w:p>
    <w:p w:rsidR="0010343D" w:rsidRPr="0010343D" w:rsidRDefault="002C0A92" w:rsidP="008771F0">
      <w:pPr>
        <w:jc w:val="center"/>
        <w:rPr>
          <w:lang w:val="en-US"/>
        </w:rPr>
      </w:pPr>
      <w:r>
        <w:rPr>
          <w:noProof/>
          <w:lang w:eastAsia="en-AU"/>
        </w:rPr>
        <w:drawing>
          <wp:inline distT="0" distB="0" distL="0" distR="0" wp14:anchorId="56D4D1D7" wp14:editId="692D1109">
            <wp:extent cx="5429250" cy="1733550"/>
            <wp:effectExtent l="0" t="0" r="0" b="0"/>
            <wp:docPr id="28" name="Picture 28" descr="Detailed description of graph  in text above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29250" cy="1733550"/>
                    </a:xfrm>
                    <a:prstGeom prst="rect">
                      <a:avLst/>
                    </a:prstGeom>
                  </pic:spPr>
                </pic:pic>
              </a:graphicData>
            </a:graphic>
          </wp:inline>
        </w:drawing>
      </w:r>
    </w:p>
    <w:p w:rsidR="00C16AD1" w:rsidRDefault="00C16AD1" w:rsidP="00FC07B0">
      <w:pPr>
        <w:pStyle w:val="Heading3"/>
      </w:pPr>
      <w:r>
        <w:t>Trend in Business performance</w:t>
      </w:r>
    </w:p>
    <w:p w:rsidR="00BB59F0" w:rsidRDefault="00E559A2" w:rsidP="00BB59F0">
      <w:pPr>
        <w:rPr>
          <w:noProof/>
          <w:lang w:eastAsia="en-AU"/>
        </w:rPr>
      </w:pPr>
      <w:r>
        <w:t xml:space="preserve">Compared </w:t>
      </w:r>
      <w:r w:rsidR="002C0A92" w:rsidRPr="002C0A92">
        <w:t xml:space="preserve">to the same quarter in previous years, fewer businesses report that their performance was getting worse. The majority of businesses reported that their performance was the same or better compared to the previous year. </w:t>
      </w:r>
    </w:p>
    <w:p w:rsidR="002C0A92" w:rsidRPr="00BB59F0" w:rsidRDefault="002C0A92" w:rsidP="00BB59F0">
      <w:pPr>
        <w:rPr>
          <w:lang w:val="en-US"/>
        </w:rPr>
      </w:pPr>
      <w:r>
        <w:rPr>
          <w:noProof/>
          <w:lang w:eastAsia="en-AU"/>
        </w:rPr>
        <w:drawing>
          <wp:inline distT="0" distB="0" distL="0" distR="0" wp14:anchorId="1B42CD32" wp14:editId="13628EE5">
            <wp:extent cx="5779497" cy="2981325"/>
            <wp:effectExtent l="0" t="0" r="0" b="0"/>
            <wp:docPr id="31" name="Picture 31" descr="Detailed description of graph  in text above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81455" cy="2982335"/>
                    </a:xfrm>
                    <a:prstGeom prst="rect">
                      <a:avLst/>
                    </a:prstGeom>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this year compared to last year</w:t>
      </w:r>
      <w:r w:rsidR="008771F0" w:rsidRPr="00E559A2">
        <w:t xml:space="preserve"> </w:t>
      </w:r>
      <w:r w:rsidRPr="00E559A2">
        <w:t>by region</w:t>
      </w:r>
    </w:p>
    <w:p w:rsidR="00E559A2" w:rsidRDefault="00E559A2" w:rsidP="00FC07B0">
      <w:r>
        <w:t xml:space="preserve">The </w:t>
      </w:r>
      <w:r w:rsidR="002C0A92" w:rsidRPr="002C0A92">
        <w:t>table and graphs below highlight that business performance levels varied among businesses in the regions. Compared to the previous quarter, the Greater Darwin region show improved business performance, whereas expectations for business performance has declined in all other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FC07B0">
            <w:pPr>
              <w:spacing w:after="40"/>
              <w:jc w:val="center"/>
              <w:rPr>
                <w:b/>
              </w:rPr>
            </w:pPr>
            <w:r w:rsidRPr="00745DE4">
              <w:rPr>
                <w:b/>
              </w:rPr>
              <w:t>Better</w:t>
            </w:r>
          </w:p>
        </w:tc>
        <w:tc>
          <w:tcPr>
            <w:tcW w:w="1417" w:type="dxa"/>
            <w:shd w:val="clear" w:color="auto" w:fill="E6DDEE"/>
            <w:vAlign w:val="bottom"/>
          </w:tcPr>
          <w:p w:rsidR="0010343D" w:rsidRPr="00745DE4" w:rsidRDefault="0010343D" w:rsidP="00FC07B0">
            <w:pPr>
              <w:spacing w:after="40"/>
              <w:jc w:val="center"/>
              <w:rPr>
                <w:b/>
              </w:rPr>
            </w:pPr>
            <w:r w:rsidRPr="00745DE4">
              <w:rPr>
                <w:b/>
              </w:rPr>
              <w:t>Same</w:t>
            </w:r>
          </w:p>
        </w:tc>
        <w:tc>
          <w:tcPr>
            <w:tcW w:w="1328" w:type="dxa"/>
            <w:shd w:val="clear" w:color="auto" w:fill="E6DDEE"/>
            <w:vAlign w:val="bottom"/>
          </w:tcPr>
          <w:p w:rsidR="0010343D" w:rsidRPr="00745DE4" w:rsidRDefault="0010343D" w:rsidP="00FC07B0">
            <w:pPr>
              <w:spacing w:after="40"/>
              <w:jc w:val="center"/>
              <w:rPr>
                <w:b/>
              </w:rPr>
            </w:pPr>
            <w:r w:rsidRPr="00745DE4">
              <w:rPr>
                <w:b/>
              </w:rPr>
              <w:t>Worse</w:t>
            </w:r>
          </w:p>
        </w:tc>
      </w:tr>
      <w:tr w:rsidR="002C0A92" w:rsidRPr="0010343D" w:rsidTr="00671A9B">
        <w:trPr>
          <w:trHeight w:val="397"/>
        </w:trPr>
        <w:tc>
          <w:tcPr>
            <w:tcW w:w="5387" w:type="dxa"/>
            <w:tcBorders>
              <w:bottom w:val="single" w:sz="4" w:space="0" w:color="231F20"/>
            </w:tcBorders>
            <w:shd w:val="clear" w:color="auto" w:fill="EBEBEC"/>
            <w:vAlign w:val="bottom"/>
          </w:tcPr>
          <w:p w:rsidR="002C0A92" w:rsidRPr="00745DE4" w:rsidRDefault="002C0A92" w:rsidP="002C0A92">
            <w:pPr>
              <w:spacing w:after="40"/>
            </w:pPr>
            <w:r w:rsidRPr="00745DE4">
              <w:t>Greater Darwin</w:t>
            </w:r>
          </w:p>
        </w:tc>
        <w:tc>
          <w:tcPr>
            <w:tcW w:w="1276" w:type="dxa"/>
            <w:tcBorders>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42%</w:t>
            </w:r>
          </w:p>
        </w:tc>
        <w:tc>
          <w:tcPr>
            <w:tcW w:w="1417" w:type="dxa"/>
            <w:tcBorders>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47%</w:t>
            </w:r>
          </w:p>
        </w:tc>
        <w:tc>
          <w:tcPr>
            <w:tcW w:w="1328" w:type="dxa"/>
            <w:tcBorders>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11%</w:t>
            </w:r>
          </w:p>
        </w:tc>
      </w:tr>
      <w:tr w:rsidR="002C0A92" w:rsidRPr="0010343D" w:rsidTr="00671A9B">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Katherine (Big Rivers)</w:t>
            </w:r>
          </w:p>
        </w:tc>
        <w:tc>
          <w:tcPr>
            <w:tcW w:w="1276"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25%</w:t>
            </w:r>
          </w:p>
        </w:tc>
        <w:tc>
          <w:tcPr>
            <w:tcW w:w="1417"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54%</w:t>
            </w:r>
          </w:p>
        </w:tc>
        <w:tc>
          <w:tcPr>
            <w:tcW w:w="1328"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21%</w:t>
            </w:r>
          </w:p>
        </w:tc>
      </w:tr>
      <w:tr w:rsidR="002C0A92" w:rsidRPr="0010343D" w:rsidTr="00671A9B">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East Arnhem</w:t>
            </w:r>
          </w:p>
        </w:tc>
        <w:tc>
          <w:tcPr>
            <w:tcW w:w="1276"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51%</w:t>
            </w:r>
          </w:p>
        </w:tc>
        <w:tc>
          <w:tcPr>
            <w:tcW w:w="1417"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43%</w:t>
            </w:r>
          </w:p>
        </w:tc>
        <w:tc>
          <w:tcPr>
            <w:tcW w:w="1328"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6%</w:t>
            </w:r>
          </w:p>
        </w:tc>
      </w:tr>
      <w:tr w:rsidR="002C0A92" w:rsidRPr="0010343D" w:rsidTr="00671A9B">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11%</w:t>
            </w:r>
          </w:p>
        </w:tc>
        <w:tc>
          <w:tcPr>
            <w:tcW w:w="1417"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89%</w:t>
            </w:r>
          </w:p>
        </w:tc>
        <w:tc>
          <w:tcPr>
            <w:tcW w:w="1328"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0%</w:t>
            </w:r>
          </w:p>
        </w:tc>
      </w:tr>
      <w:tr w:rsidR="002C0A92" w:rsidRPr="0010343D" w:rsidTr="00671A9B">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0%</w:t>
            </w:r>
          </w:p>
        </w:tc>
        <w:tc>
          <w:tcPr>
            <w:tcW w:w="1417"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100%</w:t>
            </w:r>
          </w:p>
        </w:tc>
        <w:tc>
          <w:tcPr>
            <w:tcW w:w="1328" w:type="dxa"/>
            <w:tcBorders>
              <w:top w:val="single" w:sz="4" w:space="0" w:color="231F20"/>
              <w:bottom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0%</w:t>
            </w:r>
          </w:p>
        </w:tc>
      </w:tr>
      <w:tr w:rsidR="002C0A92" w:rsidRPr="0010343D" w:rsidTr="00671A9B">
        <w:trPr>
          <w:trHeight w:val="397"/>
        </w:trPr>
        <w:tc>
          <w:tcPr>
            <w:tcW w:w="5387" w:type="dxa"/>
            <w:tcBorders>
              <w:top w:val="single" w:sz="4" w:space="0" w:color="231F20"/>
            </w:tcBorders>
            <w:shd w:val="clear" w:color="auto" w:fill="EBEBEC"/>
            <w:vAlign w:val="bottom"/>
          </w:tcPr>
          <w:p w:rsidR="002C0A92" w:rsidRPr="00745DE4" w:rsidRDefault="002C0A92" w:rsidP="002C0A92">
            <w:pPr>
              <w:spacing w:after="40"/>
            </w:pPr>
            <w:r w:rsidRPr="00745DE4">
              <w:t>Alice Springs</w:t>
            </w:r>
          </w:p>
        </w:tc>
        <w:tc>
          <w:tcPr>
            <w:tcW w:w="1276" w:type="dxa"/>
            <w:tcBorders>
              <w:top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58%</w:t>
            </w:r>
          </w:p>
        </w:tc>
        <w:tc>
          <w:tcPr>
            <w:tcW w:w="1417" w:type="dxa"/>
            <w:tcBorders>
              <w:top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30%</w:t>
            </w:r>
          </w:p>
        </w:tc>
        <w:tc>
          <w:tcPr>
            <w:tcW w:w="1328" w:type="dxa"/>
            <w:tcBorders>
              <w:top w:val="single" w:sz="4" w:space="0" w:color="231F20"/>
            </w:tcBorders>
            <w:shd w:val="clear" w:color="auto" w:fill="EBEBEC"/>
          </w:tcPr>
          <w:p w:rsidR="002C0A92" w:rsidRPr="002C0A92" w:rsidRDefault="002C0A92" w:rsidP="002C0A92">
            <w:pPr>
              <w:pStyle w:val="BasicParagraph"/>
              <w:jc w:val="center"/>
              <w:rPr>
                <w:rFonts w:ascii="Lato" w:hAnsi="Lato"/>
                <w:sz w:val="22"/>
                <w:szCs w:val="22"/>
              </w:rPr>
            </w:pPr>
            <w:r w:rsidRPr="002C0A92">
              <w:rPr>
                <w:rFonts w:ascii="Lato" w:hAnsi="Lato" w:cs="Lato"/>
                <w:sz w:val="22"/>
                <w:szCs w:val="22"/>
              </w:rPr>
              <w:t>12%</w:t>
            </w:r>
          </w:p>
        </w:tc>
      </w:tr>
      <w:tr w:rsidR="002C0A92" w:rsidRPr="0010343D" w:rsidTr="00671A9B">
        <w:trPr>
          <w:trHeight w:val="397"/>
        </w:trPr>
        <w:tc>
          <w:tcPr>
            <w:tcW w:w="5387" w:type="dxa"/>
            <w:shd w:val="clear" w:color="auto" w:fill="E6DDEE"/>
            <w:vAlign w:val="bottom"/>
          </w:tcPr>
          <w:p w:rsidR="002C0A92" w:rsidRPr="00745DE4" w:rsidRDefault="002C0A92" w:rsidP="002C0A92">
            <w:pPr>
              <w:spacing w:after="40"/>
            </w:pPr>
            <w:r w:rsidRPr="00745DE4">
              <w:t>Territory-wide</w:t>
            </w:r>
          </w:p>
        </w:tc>
        <w:tc>
          <w:tcPr>
            <w:tcW w:w="1276" w:type="dxa"/>
            <w:shd w:val="clear" w:color="auto" w:fill="E6DDEE"/>
          </w:tcPr>
          <w:p w:rsidR="002C0A92" w:rsidRPr="002C0A92" w:rsidRDefault="002C0A92" w:rsidP="002C0A92">
            <w:pPr>
              <w:pStyle w:val="BasicParagraph"/>
              <w:jc w:val="center"/>
              <w:rPr>
                <w:rFonts w:ascii="Lato" w:hAnsi="Lato"/>
                <w:sz w:val="22"/>
                <w:szCs w:val="22"/>
              </w:rPr>
            </w:pPr>
            <w:r w:rsidRPr="002C0A92">
              <w:rPr>
                <w:rFonts w:ascii="Lato" w:hAnsi="Lato" w:cs="Lato"/>
                <w:b/>
                <w:bCs/>
                <w:sz w:val="22"/>
                <w:szCs w:val="22"/>
              </w:rPr>
              <w:t>46%</w:t>
            </w:r>
          </w:p>
        </w:tc>
        <w:tc>
          <w:tcPr>
            <w:tcW w:w="1417" w:type="dxa"/>
            <w:shd w:val="clear" w:color="auto" w:fill="E6DDEE"/>
          </w:tcPr>
          <w:p w:rsidR="002C0A92" w:rsidRPr="002C0A92" w:rsidRDefault="002C0A92" w:rsidP="002C0A92">
            <w:pPr>
              <w:pStyle w:val="BasicParagraph"/>
              <w:jc w:val="center"/>
              <w:rPr>
                <w:rFonts w:ascii="Lato" w:hAnsi="Lato"/>
                <w:sz w:val="22"/>
                <w:szCs w:val="22"/>
              </w:rPr>
            </w:pPr>
            <w:r w:rsidRPr="002C0A92">
              <w:rPr>
                <w:rFonts w:ascii="Lato" w:hAnsi="Lato" w:cs="Lato"/>
                <w:b/>
                <w:bCs/>
                <w:sz w:val="22"/>
                <w:szCs w:val="22"/>
              </w:rPr>
              <w:t>43%</w:t>
            </w:r>
          </w:p>
        </w:tc>
        <w:tc>
          <w:tcPr>
            <w:tcW w:w="1328" w:type="dxa"/>
            <w:shd w:val="clear" w:color="auto" w:fill="E6DDEE"/>
          </w:tcPr>
          <w:p w:rsidR="002C0A92" w:rsidRPr="002C0A92" w:rsidRDefault="002C0A92" w:rsidP="002C0A92">
            <w:pPr>
              <w:pStyle w:val="BasicParagraph"/>
              <w:jc w:val="center"/>
              <w:rPr>
                <w:rFonts w:ascii="Lato" w:hAnsi="Lato"/>
                <w:sz w:val="22"/>
                <w:szCs w:val="22"/>
              </w:rPr>
            </w:pPr>
            <w:r w:rsidRPr="002C0A92">
              <w:rPr>
                <w:rFonts w:ascii="Lato" w:hAnsi="Lato" w:cs="Lato"/>
                <w:b/>
                <w:bCs/>
                <w:sz w:val="22"/>
                <w:szCs w:val="22"/>
              </w:rPr>
              <w:t>11%</w:t>
            </w:r>
          </w:p>
        </w:tc>
      </w:tr>
    </w:tbl>
    <w:p w:rsidR="00DB5700" w:rsidRDefault="00DB5700" w:rsidP="008771F0"/>
    <w:p w:rsidR="00795E2B" w:rsidRDefault="00FA1425" w:rsidP="00DB5700">
      <w:pPr>
        <w:tabs>
          <w:tab w:val="left" w:pos="5103"/>
        </w:tabs>
        <w:rPr>
          <w:lang w:val="en-US"/>
        </w:rPr>
      </w:pPr>
      <w:r>
        <w:rPr>
          <w:noProof/>
          <w:lang w:eastAsia="en-AU"/>
        </w:rPr>
        <w:drawing>
          <wp:inline distT="0" distB="0" distL="0" distR="0" wp14:anchorId="5A7B4B9F" wp14:editId="715FB569">
            <wp:extent cx="2937950" cy="2343150"/>
            <wp:effectExtent l="0" t="0" r="0" b="0"/>
            <wp:docPr id="192" name="Picture 192" descr="The chart outlines the historical trends for the level business responses that were confident or worried about business prospects in the quarter, and the overall confidence levels in Darwin.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40240" cy="2344977"/>
                    </a:xfrm>
                    <a:prstGeom prst="rect">
                      <a:avLst/>
                    </a:prstGeom>
                  </pic:spPr>
                </pic:pic>
              </a:graphicData>
            </a:graphic>
          </wp:inline>
        </w:drawing>
      </w:r>
      <w:r>
        <w:rPr>
          <w:noProof/>
          <w:lang w:eastAsia="en-AU"/>
        </w:rPr>
        <w:drawing>
          <wp:inline distT="0" distB="0" distL="0" distR="0" wp14:anchorId="7E070BC6" wp14:editId="6F5B9F37">
            <wp:extent cx="2876550" cy="2342206"/>
            <wp:effectExtent l="0" t="0" r="0" b="1270"/>
            <wp:docPr id="193" name="Picture 193" descr="The chart outlines the historical trends for the level business responses that were confident or worried about business prospects in the quarter, and the overall confidence levels in East Arnhem.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412" cy="2345350"/>
                    </a:xfrm>
                    <a:prstGeom prst="rect">
                      <a:avLst/>
                    </a:prstGeom>
                  </pic:spPr>
                </pic:pic>
              </a:graphicData>
            </a:graphic>
          </wp:inline>
        </w:drawing>
      </w:r>
      <w:r w:rsidR="00DB5700">
        <w:rPr>
          <w:lang w:val="en-US"/>
        </w:rPr>
        <w:tab/>
      </w:r>
    </w:p>
    <w:p w:rsidR="00795E2B" w:rsidRDefault="00FA1425" w:rsidP="00DB5700">
      <w:pPr>
        <w:tabs>
          <w:tab w:val="left" w:pos="5103"/>
        </w:tabs>
        <w:rPr>
          <w:lang w:val="en-US"/>
        </w:rPr>
      </w:pPr>
      <w:r>
        <w:rPr>
          <w:noProof/>
          <w:lang w:eastAsia="en-AU"/>
        </w:rPr>
        <w:drawing>
          <wp:inline distT="0" distB="0" distL="0" distR="0" wp14:anchorId="61A659AD" wp14:editId="72EE9153">
            <wp:extent cx="2948384" cy="2409825"/>
            <wp:effectExtent l="0" t="0" r="4445" b="0"/>
            <wp:docPr id="194" name="Picture 194" descr="The chart outlines the historical trends for the level business responses that were confident or worried about business prospects in the quarter, and the overall confidence levels in East Arnhem.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51863" cy="2412669"/>
                    </a:xfrm>
                    <a:prstGeom prst="rect">
                      <a:avLst/>
                    </a:prstGeom>
                  </pic:spPr>
                </pic:pic>
              </a:graphicData>
            </a:graphic>
          </wp:inline>
        </w:drawing>
      </w:r>
      <w:r>
        <w:rPr>
          <w:noProof/>
          <w:lang w:eastAsia="en-AU"/>
        </w:rPr>
        <w:drawing>
          <wp:inline distT="0" distB="0" distL="0" distR="0" wp14:anchorId="18E4EA30" wp14:editId="48289468">
            <wp:extent cx="2857500" cy="2412999"/>
            <wp:effectExtent l="0" t="0" r="0" b="6985"/>
            <wp:docPr id="195" name="Picture 195" descr="The chart outlines the historical trends for the level business responses that were confident or worried about business prospects in the quarter, and the overall confidence levels in Daly-Tiwi-West Arnhem.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74063" cy="2426986"/>
                    </a:xfrm>
                    <a:prstGeom prst="rect">
                      <a:avLst/>
                    </a:prstGeom>
                  </pic:spPr>
                </pic:pic>
              </a:graphicData>
            </a:graphic>
          </wp:inline>
        </w:drawing>
      </w:r>
    </w:p>
    <w:p w:rsidR="00DB5700" w:rsidRDefault="00DB5700" w:rsidP="00EF63F6">
      <w:pPr>
        <w:rPr>
          <w:lang w:val="en-US"/>
        </w:rPr>
      </w:pPr>
      <w:r>
        <w:rPr>
          <w:lang w:val="en-US"/>
        </w:rPr>
        <w:br w:type="page"/>
      </w:r>
    </w:p>
    <w:p w:rsidR="00795E2B" w:rsidRDefault="00FA1425" w:rsidP="00DB5700">
      <w:pPr>
        <w:tabs>
          <w:tab w:val="left" w:pos="5103"/>
        </w:tabs>
        <w:rPr>
          <w:lang w:val="en-US"/>
        </w:rPr>
      </w:pPr>
      <w:r>
        <w:rPr>
          <w:noProof/>
          <w:lang w:eastAsia="en-AU"/>
        </w:rPr>
        <w:lastRenderedPageBreak/>
        <w:drawing>
          <wp:inline distT="0" distB="0" distL="0" distR="0" wp14:anchorId="28C61474" wp14:editId="359B2971">
            <wp:extent cx="2853368" cy="2495550"/>
            <wp:effectExtent l="0" t="0" r="4445" b="0"/>
            <wp:docPr id="196" name="Picture 196" descr="The chart outlines the historical trends for the level business responses that were confident or worried about business prospects in the quarter, and the overall confidence levels in Barkly.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6527" cy="2498313"/>
                    </a:xfrm>
                    <a:prstGeom prst="rect">
                      <a:avLst/>
                    </a:prstGeom>
                  </pic:spPr>
                </pic:pic>
              </a:graphicData>
            </a:graphic>
          </wp:inline>
        </w:drawing>
      </w:r>
      <w:r>
        <w:rPr>
          <w:noProof/>
          <w:lang w:eastAsia="en-AU"/>
        </w:rPr>
        <w:drawing>
          <wp:inline distT="0" distB="0" distL="0" distR="0" wp14:anchorId="1B5D5F0C" wp14:editId="07620E2C">
            <wp:extent cx="2971800" cy="2474938"/>
            <wp:effectExtent l="0" t="0" r="0" b="1905"/>
            <wp:docPr id="197" name="Picture 197" descr="The chart outlines the historical trends for the level business responses that were confident or worried about business prospects in the quarter, and the overall confidence levels in Alice Springs. See table above for detail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75028" cy="2477626"/>
                    </a:xfrm>
                    <a:prstGeom prst="rect">
                      <a:avLst/>
                    </a:prstGeom>
                  </pic:spPr>
                </pic:pic>
              </a:graphicData>
            </a:graphic>
          </wp:inline>
        </w:drawing>
      </w:r>
    </w:p>
    <w:p w:rsidR="0010343D" w:rsidRPr="00DB5700" w:rsidRDefault="00745DE4" w:rsidP="00DB5700">
      <w:pPr>
        <w:pStyle w:val="Heading2"/>
      </w:pPr>
      <w:r w:rsidRPr="00DB5700">
        <w:t>Survey methodology</w:t>
      </w:r>
    </w:p>
    <w:p w:rsidR="00745DE4" w:rsidRPr="00EF63F6" w:rsidRDefault="00745DE4" w:rsidP="00EF63F6">
      <w:r w:rsidRPr="00EF63F6">
        <w:t xml:space="preserve">A face-to-face survey of businesses operating in the Territory is conducted by the Department of Trade, Business and Innovation (DTBI) on a quarterly basis. Business confidence is estimated using the business confidence index. </w:t>
      </w:r>
    </w:p>
    <w:p w:rsidR="00745DE4" w:rsidRPr="00EF63F6" w:rsidRDefault="00745DE4" w:rsidP="00EF63F6">
      <w:r w:rsidRPr="00EF63F6">
        <w:t>There are approximately 14,000 operating businesses in the Territory. Therefore, for the sample survey to achieve a 95% confidence level with a margin of error of 5%, 375 survey responses are required.</w:t>
      </w:r>
    </w:p>
    <w:p w:rsidR="00745DE4" w:rsidRPr="00EF63F6" w:rsidRDefault="00745DE4" w:rsidP="00EF63F6">
      <w:r w:rsidRPr="00EF63F6">
        <w:t xml:space="preserve">Business confidence index is calculated as the difference between the proportion of businesses that are ‘confident about their business prospects for the next 12 months' minus the proportion of businesses that are ‘worried about their business prospects for the next 12 months’ (net balance approach). </w:t>
      </w:r>
    </w:p>
    <w:p w:rsidR="00745DE4" w:rsidRPr="00EF63F6" w:rsidRDefault="00745DE4" w:rsidP="00EF63F6">
      <w:r w:rsidRPr="00EF63F6">
        <w:t>The higher the net balance the greater the level of business confidence. For example, if 60% of businesses are confident and 40% of businesses are worried, the net balance is +20%. Survey responses are also analysed by region and industry sector of businesses.</w:t>
      </w:r>
    </w:p>
    <w:p w:rsidR="00745DE4" w:rsidRPr="00EF63F6" w:rsidRDefault="00745DE4" w:rsidP="00EF63F6">
      <w:r w:rsidRPr="00EF63F6">
        <w:t>The business confidence results are presented for overall Northern Territory, Greater Darwin (Darwin City, Darwin suburbs, Palmerston and Litchfield) and for individual regions.</w:t>
      </w:r>
    </w:p>
    <w:p w:rsidR="0010343D" w:rsidRPr="00EF63F6" w:rsidRDefault="00745DE4" w:rsidP="00EF63F6">
      <w:r w:rsidRPr="00EF63F6">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DB5700">
      <w:headerReference w:type="default" r:id="rId24"/>
      <w:footerReference w:type="default" r:id="rId25"/>
      <w:footerReference w:type="first" r:id="rId26"/>
      <w:type w:val="continuous"/>
      <w:pgSz w:w="11910" w:h="16840"/>
      <w:pgMar w:top="1247"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07" w:rsidRDefault="00BE4C07" w:rsidP="00C5531E">
      <w:pPr>
        <w:spacing w:after="0" w:line="240" w:lineRule="auto"/>
      </w:pPr>
      <w:r>
        <w:separator/>
      </w:r>
    </w:p>
  </w:endnote>
  <w:endnote w:type="continuationSeparator" w:id="0">
    <w:p w:rsidR="00BE4C07" w:rsidRDefault="00BE4C07"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07" w:rsidRPr="00C5531E" w:rsidRDefault="00BE4C07" w:rsidP="00C5531E">
    <w:pPr>
      <w:pStyle w:val="Footer"/>
    </w:pPr>
    <w:r w:rsidRPr="00C5531E">
      <w:rPr>
        <w:b/>
        <w:caps/>
      </w:rPr>
      <w:t>Northern Territory Business Confidence</w:t>
    </w:r>
    <w:r w:rsidRPr="00C5531E">
      <w:t xml:space="preserve"> </w:t>
    </w:r>
    <w:r w:rsidR="006848A1">
      <w:t>December</w:t>
    </w:r>
    <w:r w:rsidRPr="003517A1">
      <w:t xml:space="preserve"> Quarter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07" w:rsidRPr="00C50254" w:rsidRDefault="00BE4C07"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07" w:rsidRDefault="00BE4C07" w:rsidP="00C5531E">
      <w:pPr>
        <w:spacing w:after="0" w:line="240" w:lineRule="auto"/>
      </w:pPr>
      <w:r>
        <w:separator/>
      </w:r>
    </w:p>
  </w:footnote>
  <w:footnote w:type="continuationSeparator" w:id="0">
    <w:p w:rsidR="00BE4C07" w:rsidRDefault="00BE4C07"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BE4C07" w:rsidRPr="00C5531E" w:rsidRDefault="00BE4C07">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DB6321">
          <w:rPr>
            <w:noProof/>
            <w:color w:val="8D52A2"/>
          </w:rPr>
          <w:t>12</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C2E7E"/>
    <w:rsid w:val="000E0050"/>
    <w:rsid w:val="0010005A"/>
    <w:rsid w:val="0010343D"/>
    <w:rsid w:val="001105A6"/>
    <w:rsid w:val="001267FA"/>
    <w:rsid w:val="00134235"/>
    <w:rsid w:val="001353C3"/>
    <w:rsid w:val="00157995"/>
    <w:rsid w:val="0017490A"/>
    <w:rsid w:val="00190A2A"/>
    <w:rsid w:val="001A2F42"/>
    <w:rsid w:val="001B7955"/>
    <w:rsid w:val="001E032D"/>
    <w:rsid w:val="001F25A9"/>
    <w:rsid w:val="001F3406"/>
    <w:rsid w:val="00206B30"/>
    <w:rsid w:val="002112D6"/>
    <w:rsid w:val="00235580"/>
    <w:rsid w:val="002622C9"/>
    <w:rsid w:val="00286879"/>
    <w:rsid w:val="00291DFA"/>
    <w:rsid w:val="002B363C"/>
    <w:rsid w:val="002C0A92"/>
    <w:rsid w:val="002C0BB9"/>
    <w:rsid w:val="002E1235"/>
    <w:rsid w:val="002F49FF"/>
    <w:rsid w:val="00306DA4"/>
    <w:rsid w:val="003517A1"/>
    <w:rsid w:val="00373B9C"/>
    <w:rsid w:val="003A0787"/>
    <w:rsid w:val="003B6ED5"/>
    <w:rsid w:val="00402483"/>
    <w:rsid w:val="004204EC"/>
    <w:rsid w:val="004307E0"/>
    <w:rsid w:val="004440A6"/>
    <w:rsid w:val="004C4044"/>
    <w:rsid w:val="00547091"/>
    <w:rsid w:val="0055229B"/>
    <w:rsid w:val="00593821"/>
    <w:rsid w:val="005D1A98"/>
    <w:rsid w:val="005F0BBE"/>
    <w:rsid w:val="005F4F96"/>
    <w:rsid w:val="00604BE0"/>
    <w:rsid w:val="00607DDF"/>
    <w:rsid w:val="00616613"/>
    <w:rsid w:val="0062550A"/>
    <w:rsid w:val="006848A1"/>
    <w:rsid w:val="006B44DD"/>
    <w:rsid w:val="006C19EE"/>
    <w:rsid w:val="00745DE4"/>
    <w:rsid w:val="007932AD"/>
    <w:rsid w:val="00795E2B"/>
    <w:rsid w:val="007C715D"/>
    <w:rsid w:val="00801BB0"/>
    <w:rsid w:val="00847CBF"/>
    <w:rsid w:val="00871C7C"/>
    <w:rsid w:val="008771F0"/>
    <w:rsid w:val="008857F0"/>
    <w:rsid w:val="008A0E1A"/>
    <w:rsid w:val="008A5F8B"/>
    <w:rsid w:val="008C0825"/>
    <w:rsid w:val="008D0EDB"/>
    <w:rsid w:val="008D6DA6"/>
    <w:rsid w:val="008F22F4"/>
    <w:rsid w:val="00900CAC"/>
    <w:rsid w:val="009220DC"/>
    <w:rsid w:val="00937D3E"/>
    <w:rsid w:val="009441AF"/>
    <w:rsid w:val="00944308"/>
    <w:rsid w:val="009728DA"/>
    <w:rsid w:val="009F726D"/>
    <w:rsid w:val="00A51310"/>
    <w:rsid w:val="00A72A20"/>
    <w:rsid w:val="00AA09B9"/>
    <w:rsid w:val="00AC07C4"/>
    <w:rsid w:val="00AD6BD6"/>
    <w:rsid w:val="00AF4A01"/>
    <w:rsid w:val="00B056F9"/>
    <w:rsid w:val="00B407EE"/>
    <w:rsid w:val="00B41926"/>
    <w:rsid w:val="00B60F9E"/>
    <w:rsid w:val="00B7070B"/>
    <w:rsid w:val="00B74B09"/>
    <w:rsid w:val="00BB59F0"/>
    <w:rsid w:val="00BE4C07"/>
    <w:rsid w:val="00C063A8"/>
    <w:rsid w:val="00C16AD1"/>
    <w:rsid w:val="00C21DF2"/>
    <w:rsid w:val="00C44C97"/>
    <w:rsid w:val="00C52DCD"/>
    <w:rsid w:val="00C5531E"/>
    <w:rsid w:val="00C61F3B"/>
    <w:rsid w:val="00C87745"/>
    <w:rsid w:val="00CA17D1"/>
    <w:rsid w:val="00CA2E4B"/>
    <w:rsid w:val="00CB6E6C"/>
    <w:rsid w:val="00CC2926"/>
    <w:rsid w:val="00CD6581"/>
    <w:rsid w:val="00D348DA"/>
    <w:rsid w:val="00D856C5"/>
    <w:rsid w:val="00D915CE"/>
    <w:rsid w:val="00DB5700"/>
    <w:rsid w:val="00DB6321"/>
    <w:rsid w:val="00E0155E"/>
    <w:rsid w:val="00E043FE"/>
    <w:rsid w:val="00E25268"/>
    <w:rsid w:val="00E33CAE"/>
    <w:rsid w:val="00E559A2"/>
    <w:rsid w:val="00EF3A1E"/>
    <w:rsid w:val="00EF63F6"/>
    <w:rsid w:val="00F14E79"/>
    <w:rsid w:val="00F155B1"/>
    <w:rsid w:val="00F6305A"/>
    <w:rsid w:val="00F902D8"/>
    <w:rsid w:val="00F9118E"/>
    <w:rsid w:val="00FA1425"/>
    <w:rsid w:val="00FC07B0"/>
    <w:rsid w:val="00FC3E63"/>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7643-6C06-427F-A3B3-B7933024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NT business confidence survey - December quarter 2019</vt:lpstr>
    </vt:vector>
  </TitlesOfParts>
  <Company>Department of Trade, Business and Innovation</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December quarter 2019</dc:title>
  <dc:creator>Northern Territory Government</dc:creator>
  <cp:lastModifiedBy>Marlene Woods</cp:lastModifiedBy>
  <cp:revision>7</cp:revision>
  <dcterms:created xsi:type="dcterms:W3CDTF">2020-01-20T22:18:00Z</dcterms:created>
  <dcterms:modified xsi:type="dcterms:W3CDTF">2020-01-21T23:37:00Z</dcterms:modified>
</cp:coreProperties>
</file>