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8ADBA" w14:textId="219E254A" w:rsidR="00E33B7E" w:rsidRDefault="005824FA" w:rsidP="000B1B74">
      <w:pPr>
        <w:pStyle w:val="Heading1"/>
        <w:spacing w:before="0" w:after="120"/>
        <w:rPr>
          <w:noProof/>
          <w:lang w:eastAsia="en-AU"/>
        </w:rPr>
      </w:pPr>
      <w:r>
        <w:rPr>
          <w:noProof/>
          <w:lang w:eastAsia="en-AU"/>
        </w:rPr>
        <w:t>Key points</w:t>
      </w:r>
    </w:p>
    <w:p w14:paraId="7761987E" w14:textId="6EA132D1" w:rsidR="008C61DE" w:rsidRDefault="004770BA" w:rsidP="000B1B74">
      <w:pPr>
        <w:pStyle w:val="ListParagraph"/>
        <w:numPr>
          <w:ilvl w:val="0"/>
          <w:numId w:val="9"/>
        </w:numPr>
        <w:spacing w:after="80"/>
        <w:ind w:left="714" w:hanging="357"/>
        <w:rPr>
          <w:lang w:eastAsia="en-AU"/>
        </w:rPr>
      </w:pPr>
      <w:r>
        <w:rPr>
          <w:lang w:eastAsia="en-AU"/>
        </w:rPr>
        <w:t>Territory-wide bus</w:t>
      </w:r>
      <w:r w:rsidR="006623FB">
        <w:rPr>
          <w:lang w:eastAsia="en-AU"/>
        </w:rPr>
        <w:t xml:space="preserve">iness confidence </w:t>
      </w:r>
      <w:r w:rsidR="008C61DE">
        <w:rPr>
          <w:lang w:eastAsia="en-AU"/>
        </w:rPr>
        <w:t>was</w:t>
      </w:r>
      <w:r w:rsidR="006623FB">
        <w:rPr>
          <w:lang w:eastAsia="en-AU"/>
        </w:rPr>
        <w:t xml:space="preserve"> +43</w:t>
      </w:r>
      <w:r>
        <w:rPr>
          <w:lang w:eastAsia="en-AU"/>
        </w:rPr>
        <w:t xml:space="preserve">% in the June quarter 2023, </w:t>
      </w:r>
      <w:r w:rsidR="008C61DE">
        <w:rPr>
          <w:lang w:eastAsia="en-AU"/>
        </w:rPr>
        <w:t xml:space="preserve">down from </w:t>
      </w:r>
      <w:r w:rsidR="00EF37CB">
        <w:rPr>
          <w:lang w:eastAsia="en-AU"/>
        </w:rPr>
        <w:t xml:space="preserve">+68% in </w:t>
      </w:r>
      <w:r w:rsidR="008C61DE">
        <w:rPr>
          <w:lang w:eastAsia="en-AU"/>
        </w:rPr>
        <w:t xml:space="preserve">the March quarter 2023, and </w:t>
      </w:r>
      <w:r w:rsidR="007208ED">
        <w:rPr>
          <w:lang w:eastAsia="en-AU"/>
        </w:rPr>
        <w:t xml:space="preserve">down </w:t>
      </w:r>
      <w:r w:rsidR="008C61DE">
        <w:rPr>
          <w:lang w:eastAsia="en-AU"/>
        </w:rPr>
        <w:t>from</w:t>
      </w:r>
      <w:r w:rsidR="00D11E38">
        <w:rPr>
          <w:lang w:eastAsia="en-AU"/>
        </w:rPr>
        <w:t xml:space="preserve"> +72%</w:t>
      </w:r>
      <w:r w:rsidR="008C61DE">
        <w:rPr>
          <w:lang w:eastAsia="en-AU"/>
        </w:rPr>
        <w:t xml:space="preserve"> </w:t>
      </w:r>
      <w:r w:rsidR="00D11E38">
        <w:rPr>
          <w:lang w:eastAsia="en-AU"/>
        </w:rPr>
        <w:t xml:space="preserve">in </w:t>
      </w:r>
      <w:r w:rsidR="00417EF1">
        <w:rPr>
          <w:lang w:eastAsia="en-AU"/>
        </w:rPr>
        <w:t>the June quarter 2022</w:t>
      </w:r>
      <w:r w:rsidR="00D11E38">
        <w:rPr>
          <w:lang w:eastAsia="en-AU"/>
        </w:rPr>
        <w:t>.</w:t>
      </w:r>
    </w:p>
    <w:p w14:paraId="68087C59" w14:textId="4ACB3B59" w:rsidR="00D53872" w:rsidRDefault="008C61DE" w:rsidP="000B1B74">
      <w:pPr>
        <w:pStyle w:val="ListParagraph"/>
        <w:numPr>
          <w:ilvl w:val="0"/>
          <w:numId w:val="9"/>
        </w:numPr>
        <w:spacing w:after="80"/>
        <w:ind w:left="714" w:hanging="357"/>
        <w:rPr>
          <w:lang w:eastAsia="en-AU"/>
        </w:rPr>
      </w:pPr>
      <w:r>
        <w:rPr>
          <w:lang w:eastAsia="en-AU"/>
        </w:rPr>
        <w:t xml:space="preserve">The fall in the quarter </w:t>
      </w:r>
      <w:proofErr w:type="gramStart"/>
      <w:r>
        <w:rPr>
          <w:lang w:eastAsia="en-AU"/>
        </w:rPr>
        <w:t>was driven</w:t>
      </w:r>
      <w:proofErr w:type="gramEnd"/>
      <w:r>
        <w:rPr>
          <w:lang w:eastAsia="en-AU"/>
        </w:rPr>
        <w:t xml:space="preserve"> by </w:t>
      </w:r>
      <w:r w:rsidR="007A3CFB">
        <w:rPr>
          <w:lang w:eastAsia="en-AU"/>
        </w:rPr>
        <w:t>weaker</w:t>
      </w:r>
      <w:r>
        <w:rPr>
          <w:lang w:eastAsia="en-AU"/>
        </w:rPr>
        <w:t xml:space="preserve"> confidence in Darwin</w:t>
      </w:r>
      <w:r w:rsidR="00833AD6">
        <w:rPr>
          <w:lang w:eastAsia="en-AU"/>
        </w:rPr>
        <w:t>, which</w:t>
      </w:r>
      <w:r>
        <w:rPr>
          <w:lang w:eastAsia="en-AU"/>
        </w:rPr>
        <w:t xml:space="preserve"> coincide</w:t>
      </w:r>
      <w:r w:rsidR="00183276">
        <w:rPr>
          <w:lang w:eastAsia="en-AU"/>
        </w:rPr>
        <w:t>s</w:t>
      </w:r>
      <w:r>
        <w:rPr>
          <w:lang w:eastAsia="en-AU"/>
        </w:rPr>
        <w:t xml:space="preserve"> with </w:t>
      </w:r>
      <w:r w:rsidR="00AB5EB7">
        <w:rPr>
          <w:lang w:eastAsia="en-AU"/>
        </w:rPr>
        <w:t>growing concerns about community safety and anti-social behaviour</w:t>
      </w:r>
      <w:r w:rsidR="00833AD6">
        <w:rPr>
          <w:lang w:eastAsia="en-AU"/>
        </w:rPr>
        <w:t>.</w:t>
      </w:r>
      <w:bookmarkStart w:id="0" w:name="_GoBack"/>
      <w:bookmarkEnd w:id="0"/>
    </w:p>
    <w:p w14:paraId="4C610424" w14:textId="0B8F0BD3" w:rsidR="004770BA" w:rsidRDefault="004770BA" w:rsidP="000B1B74">
      <w:pPr>
        <w:pStyle w:val="ListParagraph"/>
        <w:numPr>
          <w:ilvl w:val="0"/>
          <w:numId w:val="9"/>
        </w:numPr>
        <w:spacing w:after="80"/>
        <w:ind w:left="714" w:hanging="357"/>
        <w:rPr>
          <w:lang w:eastAsia="en-AU"/>
        </w:rPr>
      </w:pPr>
      <w:r>
        <w:rPr>
          <w:lang w:eastAsia="en-AU"/>
        </w:rPr>
        <w:t>The most commonly cited reasons for confidence this quarter were ‘strong customer relations’, ‘business opportunity’ and ‘strong market position’.</w:t>
      </w:r>
    </w:p>
    <w:p w14:paraId="17B9F0A6" w14:textId="791BAB59" w:rsidR="004770BA" w:rsidRPr="004770BA" w:rsidRDefault="00041AC0" w:rsidP="000B1B74">
      <w:pPr>
        <w:pStyle w:val="ListParagraph"/>
        <w:numPr>
          <w:ilvl w:val="0"/>
          <w:numId w:val="9"/>
        </w:numPr>
        <w:spacing w:after="80"/>
        <w:ind w:left="714" w:hanging="357"/>
        <w:rPr>
          <w:lang w:eastAsia="en-AU"/>
        </w:rPr>
      </w:pPr>
      <w:r>
        <w:rPr>
          <w:lang w:eastAsia="en-AU"/>
        </w:rPr>
        <w:t>‘</w:t>
      </w:r>
      <w:r w:rsidR="00833AD6">
        <w:rPr>
          <w:lang w:eastAsia="en-AU"/>
        </w:rPr>
        <w:t>L</w:t>
      </w:r>
      <w:r>
        <w:rPr>
          <w:lang w:eastAsia="en-AU"/>
        </w:rPr>
        <w:t>ack of suitably skilled workers’ remained the most common</w:t>
      </w:r>
      <w:r w:rsidR="008362BF">
        <w:rPr>
          <w:lang w:eastAsia="en-AU"/>
        </w:rPr>
        <w:t xml:space="preserve"> reason for</w:t>
      </w:r>
      <w:r>
        <w:rPr>
          <w:lang w:eastAsia="en-AU"/>
        </w:rPr>
        <w:t xml:space="preserve"> concern, </w:t>
      </w:r>
      <w:r w:rsidR="00833AD6">
        <w:rPr>
          <w:lang w:eastAsia="en-AU"/>
        </w:rPr>
        <w:t xml:space="preserve">though </w:t>
      </w:r>
      <w:r>
        <w:rPr>
          <w:lang w:eastAsia="en-AU"/>
        </w:rPr>
        <w:t xml:space="preserve">fewer businesses reported this </w:t>
      </w:r>
      <w:r w:rsidR="007A3CFB">
        <w:rPr>
          <w:lang w:eastAsia="en-AU"/>
        </w:rPr>
        <w:t xml:space="preserve">as an issue </w:t>
      </w:r>
      <w:r>
        <w:rPr>
          <w:lang w:eastAsia="en-AU"/>
        </w:rPr>
        <w:t xml:space="preserve">compared </w:t>
      </w:r>
      <w:r w:rsidR="00833AD6">
        <w:rPr>
          <w:lang w:eastAsia="en-AU"/>
        </w:rPr>
        <w:t>with</w:t>
      </w:r>
      <w:r>
        <w:rPr>
          <w:lang w:eastAsia="en-AU"/>
        </w:rPr>
        <w:t xml:space="preserve"> </w:t>
      </w:r>
      <w:r w:rsidR="00833AD6">
        <w:rPr>
          <w:lang w:eastAsia="en-AU"/>
        </w:rPr>
        <w:t>recent</w:t>
      </w:r>
      <w:r>
        <w:rPr>
          <w:lang w:eastAsia="en-AU"/>
        </w:rPr>
        <w:t xml:space="preserve"> quarters</w:t>
      </w:r>
      <w:r w:rsidR="00483655">
        <w:rPr>
          <w:lang w:eastAsia="en-AU"/>
        </w:rPr>
        <w:t>.</w:t>
      </w:r>
    </w:p>
    <w:p w14:paraId="60BCC408" w14:textId="37677870" w:rsidR="00CE5FED" w:rsidRDefault="00B14E97" w:rsidP="007F5744">
      <w:pPr>
        <w:pStyle w:val="Heading1"/>
        <w:spacing w:before="120" w:after="120"/>
        <w:rPr>
          <w:noProof/>
          <w:lang w:eastAsia="en-AU"/>
        </w:rPr>
      </w:pPr>
      <w:r>
        <w:rPr>
          <w:noProof/>
          <w:lang w:eastAsia="en-AU"/>
        </w:rPr>
        <w:t xml:space="preserve">Territory </w:t>
      </w:r>
      <w:r w:rsidR="00610D0F">
        <w:rPr>
          <w:noProof/>
          <w:lang w:eastAsia="en-AU"/>
        </w:rPr>
        <w:t xml:space="preserve">businesses </w:t>
      </w:r>
      <w:r w:rsidR="00754666">
        <w:rPr>
          <w:noProof/>
          <w:lang w:eastAsia="en-AU"/>
        </w:rPr>
        <w:t xml:space="preserve">confidence </w:t>
      </w:r>
      <w:r w:rsidR="00D17D5D">
        <w:rPr>
          <w:noProof/>
          <w:lang w:eastAsia="en-AU"/>
        </w:rPr>
        <w:t>declines</w:t>
      </w:r>
    </w:p>
    <w:p w14:paraId="374E66CB" w14:textId="6E6BA875" w:rsidR="002D1F5B" w:rsidRPr="000B1B74" w:rsidRDefault="00611AEA" w:rsidP="000B1B74">
      <w:pPr>
        <w:spacing w:after="80"/>
        <w:rPr>
          <w:spacing w:val="-2"/>
          <w:lang w:eastAsia="en-AU"/>
        </w:rPr>
      </w:pPr>
      <w:r w:rsidRPr="000B1B74">
        <w:rPr>
          <w:spacing w:val="-2"/>
          <w:lang w:eastAsia="en-AU"/>
        </w:rPr>
        <w:t xml:space="preserve">Territory-wide </w:t>
      </w:r>
      <w:r w:rsidR="004770BA" w:rsidRPr="000B1B74">
        <w:rPr>
          <w:spacing w:val="-2"/>
          <w:lang w:eastAsia="en-AU"/>
        </w:rPr>
        <w:t>business confidence was +4</w:t>
      </w:r>
      <w:r w:rsidR="004E0486" w:rsidRPr="000B1B74">
        <w:rPr>
          <w:spacing w:val="-2"/>
          <w:lang w:eastAsia="en-AU"/>
        </w:rPr>
        <w:t>3</w:t>
      </w:r>
      <w:r w:rsidRPr="000B1B74">
        <w:rPr>
          <w:spacing w:val="-2"/>
          <w:lang w:eastAsia="en-AU"/>
        </w:rPr>
        <w:t>% for the June quarter 2023 in response to the question ‘How confident are you about your business prospects over t</w:t>
      </w:r>
      <w:r w:rsidR="004E0486" w:rsidRPr="000B1B74">
        <w:rPr>
          <w:spacing w:val="-2"/>
          <w:lang w:eastAsia="en-AU"/>
        </w:rPr>
        <w:t xml:space="preserve">he next 12 months?’ This is a </w:t>
      </w:r>
      <w:proofErr w:type="gramStart"/>
      <w:r w:rsidR="004E0486" w:rsidRPr="000B1B74">
        <w:rPr>
          <w:spacing w:val="-2"/>
          <w:lang w:eastAsia="en-AU"/>
        </w:rPr>
        <w:t>25</w:t>
      </w:r>
      <w:r w:rsidR="00D17D5D" w:rsidRPr="000B1B74">
        <w:rPr>
          <w:spacing w:val="-2"/>
          <w:lang w:eastAsia="en-AU"/>
        </w:rPr>
        <w:t> </w:t>
      </w:r>
      <w:r w:rsidRPr="000B1B74">
        <w:rPr>
          <w:spacing w:val="-2"/>
          <w:lang w:eastAsia="en-AU"/>
        </w:rPr>
        <w:t>percentage</w:t>
      </w:r>
      <w:proofErr w:type="gramEnd"/>
      <w:r w:rsidRPr="000B1B74">
        <w:rPr>
          <w:spacing w:val="-2"/>
          <w:lang w:eastAsia="en-AU"/>
        </w:rPr>
        <w:t xml:space="preserve"> point</w:t>
      </w:r>
      <w:r w:rsidR="000F62A3" w:rsidRPr="000B1B74">
        <w:rPr>
          <w:spacing w:val="-2"/>
          <w:lang w:eastAsia="en-AU"/>
        </w:rPr>
        <w:t> </w:t>
      </w:r>
      <w:r w:rsidR="00D17D5D" w:rsidRPr="000B1B74">
        <w:rPr>
          <w:spacing w:val="-2"/>
          <w:lang w:eastAsia="en-AU"/>
        </w:rPr>
        <w:t xml:space="preserve">(ppt) </w:t>
      </w:r>
      <w:r w:rsidRPr="000B1B74">
        <w:rPr>
          <w:spacing w:val="-2"/>
          <w:lang w:eastAsia="en-AU"/>
        </w:rPr>
        <w:t xml:space="preserve">decrease </w:t>
      </w:r>
      <w:r w:rsidR="000F62A3">
        <w:rPr>
          <w:spacing w:val="-2"/>
          <w:lang w:eastAsia="en-AU"/>
        </w:rPr>
        <w:t>i</w:t>
      </w:r>
      <w:r w:rsidR="004E0486" w:rsidRPr="000B1B74">
        <w:rPr>
          <w:spacing w:val="-2"/>
          <w:lang w:eastAsia="en-AU"/>
        </w:rPr>
        <w:t>n the quarter and a 29</w:t>
      </w:r>
      <w:r w:rsidR="009354AE" w:rsidRPr="000B1B74">
        <w:rPr>
          <w:spacing w:val="-2"/>
          <w:lang w:eastAsia="en-AU"/>
        </w:rPr>
        <w:t xml:space="preserve"> </w:t>
      </w:r>
      <w:r w:rsidR="00D17D5D" w:rsidRPr="000B1B74">
        <w:rPr>
          <w:spacing w:val="-2"/>
          <w:lang w:eastAsia="en-AU"/>
        </w:rPr>
        <w:t xml:space="preserve">ppt </w:t>
      </w:r>
      <w:r w:rsidRPr="000B1B74">
        <w:rPr>
          <w:spacing w:val="-2"/>
          <w:lang w:eastAsia="en-AU"/>
        </w:rPr>
        <w:t>decrease annually (Table</w:t>
      </w:r>
      <w:r w:rsidR="00D17D5D" w:rsidRPr="000B1B74">
        <w:rPr>
          <w:spacing w:val="-2"/>
          <w:lang w:eastAsia="en-AU"/>
        </w:rPr>
        <w:t> </w:t>
      </w:r>
      <w:r w:rsidRPr="000B1B74">
        <w:rPr>
          <w:spacing w:val="-2"/>
          <w:lang w:eastAsia="en-AU"/>
        </w:rPr>
        <w:t>1).</w:t>
      </w:r>
    </w:p>
    <w:p w14:paraId="26D3B9BA" w14:textId="01A4AB91" w:rsidR="000F62A3" w:rsidRDefault="00B01041" w:rsidP="000B1B74">
      <w:pPr>
        <w:spacing w:after="80"/>
      </w:pPr>
      <w:r w:rsidRPr="007A3CFB">
        <w:rPr>
          <w:spacing w:val="-2"/>
          <w:lang w:eastAsia="en-AU"/>
        </w:rPr>
        <w:t>Concerns a</w:t>
      </w:r>
      <w:r w:rsidR="007A3CFB" w:rsidRPr="007A3CFB">
        <w:rPr>
          <w:spacing w:val="-2"/>
          <w:lang w:eastAsia="en-AU"/>
        </w:rPr>
        <w:t>bout</w:t>
      </w:r>
      <w:r w:rsidRPr="007A3CFB">
        <w:rPr>
          <w:spacing w:val="-2"/>
          <w:lang w:eastAsia="en-AU"/>
        </w:rPr>
        <w:t xml:space="preserve"> anti</w:t>
      </w:r>
      <w:r w:rsidRPr="007A3CFB">
        <w:rPr>
          <w:spacing w:val="-2"/>
          <w:lang w:eastAsia="en-AU"/>
        </w:rPr>
        <w:noBreakHyphen/>
        <w:t xml:space="preserve">social behaviour contributed to the quarterly decline, while inflation </w:t>
      </w:r>
      <w:r w:rsidR="000864F7">
        <w:rPr>
          <w:spacing w:val="-2"/>
          <w:lang w:eastAsia="en-AU"/>
        </w:rPr>
        <w:t xml:space="preserve">risks </w:t>
      </w:r>
      <w:r w:rsidRPr="007A3CFB">
        <w:rPr>
          <w:spacing w:val="-2"/>
          <w:lang w:eastAsia="en-AU"/>
        </w:rPr>
        <w:t xml:space="preserve">and </w:t>
      </w:r>
      <w:r w:rsidR="002D1F5B" w:rsidRPr="007A3CFB">
        <w:rPr>
          <w:spacing w:val="-2"/>
          <w:lang w:eastAsia="en-AU"/>
        </w:rPr>
        <w:t xml:space="preserve">the </w:t>
      </w:r>
      <w:r w:rsidR="00C60203" w:rsidRPr="007A3CFB">
        <w:rPr>
          <w:spacing w:val="-2"/>
          <w:lang w:eastAsia="en-AU"/>
        </w:rPr>
        <w:t>higher</w:t>
      </w:r>
      <w:r w:rsidR="002D1F5B" w:rsidRPr="007A3CFB">
        <w:rPr>
          <w:spacing w:val="-2"/>
          <w:lang w:eastAsia="en-AU"/>
        </w:rPr>
        <w:t xml:space="preserve"> </w:t>
      </w:r>
      <w:r w:rsidR="000864F7">
        <w:rPr>
          <w:spacing w:val="-2"/>
          <w:lang w:eastAsia="en-AU"/>
        </w:rPr>
        <w:t>cash</w:t>
      </w:r>
      <w:r w:rsidRPr="007A3CFB">
        <w:rPr>
          <w:spacing w:val="-2"/>
          <w:lang w:eastAsia="en-AU"/>
        </w:rPr>
        <w:t xml:space="preserve"> rate </w:t>
      </w:r>
      <w:r w:rsidR="00591673" w:rsidRPr="007A3CFB">
        <w:rPr>
          <w:spacing w:val="-2"/>
          <w:lang w:eastAsia="en-AU"/>
        </w:rPr>
        <w:t>are also factors</w:t>
      </w:r>
      <w:r w:rsidR="007A3CFB" w:rsidRPr="007A3CFB">
        <w:rPr>
          <w:spacing w:val="-2"/>
          <w:lang w:eastAsia="en-AU"/>
        </w:rPr>
        <w:t xml:space="preserve"> (the average cash rate was </w:t>
      </w:r>
      <w:r w:rsidR="004D0208">
        <w:rPr>
          <w:spacing w:val="-2"/>
          <w:lang w:eastAsia="en-AU"/>
        </w:rPr>
        <w:t>0.39</w:t>
      </w:r>
      <w:r w:rsidR="007A3CFB" w:rsidRPr="007A3CFB">
        <w:rPr>
          <w:spacing w:val="-2"/>
          <w:lang w:eastAsia="en-AU"/>
        </w:rPr>
        <w:t xml:space="preserve">% in the June quarter 2022, and </w:t>
      </w:r>
      <w:r w:rsidR="004D0208">
        <w:rPr>
          <w:spacing w:val="-2"/>
          <w:lang w:eastAsia="en-AU"/>
        </w:rPr>
        <w:t>3.83</w:t>
      </w:r>
      <w:r w:rsidR="007A3CFB" w:rsidRPr="007A3CFB">
        <w:rPr>
          <w:spacing w:val="-2"/>
          <w:lang w:eastAsia="en-AU"/>
        </w:rPr>
        <w:t>% in the June quarter 2023)</w:t>
      </w:r>
      <w:r w:rsidRPr="007A3CFB">
        <w:rPr>
          <w:spacing w:val="-2"/>
          <w:lang w:eastAsia="en-AU"/>
        </w:rPr>
        <w:t>.</w:t>
      </w:r>
      <w:r w:rsidR="000F62A3">
        <w:rPr>
          <w:spacing w:val="-2"/>
          <w:lang w:eastAsia="en-AU"/>
        </w:rPr>
        <w:t xml:space="preserve"> More businesses reported increased business costs and weaker sales in the quarter, reflecting the high inflation environment, and the impact of the higher cash rate on investment and consumer spending.</w:t>
      </w:r>
    </w:p>
    <w:p w14:paraId="79B2C788" w14:textId="77777777" w:rsidR="0058290D" w:rsidRPr="00262EC5" w:rsidRDefault="0058290D" w:rsidP="000B1B74">
      <w:pPr>
        <w:pStyle w:val="Caption"/>
        <w:keepNext/>
        <w:spacing w:before="120" w:after="60"/>
        <w:rPr>
          <w:b/>
        </w:rPr>
      </w:pPr>
      <w:r w:rsidRPr="00262EC5">
        <w:rPr>
          <w:b/>
        </w:rPr>
        <w:t>Table 1: Business confidence index</w:t>
      </w:r>
    </w:p>
    <w:tbl>
      <w:tblPr>
        <w:tblStyle w:val="NTGtable"/>
        <w:tblW w:w="10404" w:type="dxa"/>
        <w:jc w:val="center"/>
        <w:tblLook w:val="04A0" w:firstRow="1" w:lastRow="0" w:firstColumn="1" w:lastColumn="0" w:noHBand="0" w:noVBand="1"/>
      </w:tblPr>
      <w:tblGrid>
        <w:gridCol w:w="2600"/>
        <w:gridCol w:w="2600"/>
        <w:gridCol w:w="2450"/>
        <w:gridCol w:w="152"/>
        <w:gridCol w:w="2602"/>
      </w:tblGrid>
      <w:tr w:rsidR="0058290D" w:rsidRPr="00EE1932" w14:paraId="6F20FA20" w14:textId="77777777" w:rsidTr="00A573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8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00" w:type="dxa"/>
            <w:vAlign w:val="bottom"/>
          </w:tcPr>
          <w:p w14:paraId="5A9DA0B2" w14:textId="77777777" w:rsidR="0058290D" w:rsidRPr="00EE1932" w:rsidRDefault="0058290D" w:rsidP="00A469C5">
            <w:pPr>
              <w:spacing w:before="40" w:after="40"/>
              <w:jc w:val="center"/>
              <w:rPr>
                <w:rFonts w:cs="Calibri"/>
                <w:color w:val="FFFFFF" w:themeColor="background1"/>
                <w:sz w:val="20"/>
              </w:rPr>
            </w:pPr>
          </w:p>
        </w:tc>
        <w:tc>
          <w:tcPr>
            <w:tcW w:w="2600" w:type="dxa"/>
          </w:tcPr>
          <w:p w14:paraId="6C2AA2E7" w14:textId="3459594C" w:rsidR="0058290D" w:rsidRPr="00EE1932" w:rsidRDefault="00E3169E" w:rsidP="00A469C5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Cs/>
                <w:color w:val="FFFFFF" w:themeColor="background1"/>
                <w:sz w:val="20"/>
              </w:rPr>
            </w:pPr>
            <w:r>
              <w:rPr>
                <w:rFonts w:asciiTheme="minorHAnsi" w:hAnsiTheme="minorHAnsi" w:cs="Calibri"/>
                <w:bCs/>
                <w:color w:val="FFFFFF" w:themeColor="background1"/>
                <w:sz w:val="20"/>
              </w:rPr>
              <w:t>Jun</w:t>
            </w:r>
            <w:r w:rsidRPr="00A408A8">
              <w:rPr>
                <w:rFonts w:asciiTheme="minorHAnsi" w:hAnsiTheme="minorHAnsi" w:cs="Calibri"/>
                <w:bCs/>
                <w:color w:val="FFFFFF" w:themeColor="background1"/>
                <w:sz w:val="20"/>
              </w:rPr>
              <w:t xml:space="preserve"> </w:t>
            </w:r>
            <w:proofErr w:type="spellStart"/>
            <w:r w:rsidR="00B14E97" w:rsidRPr="00A408A8">
              <w:rPr>
                <w:rFonts w:asciiTheme="minorHAnsi" w:hAnsiTheme="minorHAnsi" w:cs="Calibri"/>
                <w:bCs/>
                <w:color w:val="FFFFFF" w:themeColor="background1"/>
                <w:sz w:val="20"/>
              </w:rPr>
              <w:t>q</w:t>
            </w:r>
            <w:r w:rsidR="0058290D" w:rsidRPr="00A408A8">
              <w:rPr>
                <w:rFonts w:asciiTheme="minorHAnsi" w:hAnsiTheme="minorHAnsi" w:cs="Calibri"/>
                <w:bCs/>
                <w:color w:val="FFFFFF" w:themeColor="background1"/>
                <w:sz w:val="20"/>
              </w:rPr>
              <w:t>tr</w:t>
            </w:r>
            <w:proofErr w:type="spellEnd"/>
            <w:r w:rsidR="0058290D" w:rsidRPr="00A408A8">
              <w:rPr>
                <w:rFonts w:asciiTheme="minorHAnsi" w:hAnsiTheme="minorHAnsi" w:cs="Calibri"/>
                <w:bCs/>
                <w:color w:val="FFFFFF" w:themeColor="background1"/>
                <w:sz w:val="20"/>
              </w:rPr>
              <w:t xml:space="preserve"> 202</w:t>
            </w:r>
            <w:r w:rsidR="00BA0377" w:rsidRPr="00A408A8">
              <w:rPr>
                <w:rFonts w:asciiTheme="minorHAnsi" w:hAnsiTheme="minorHAnsi" w:cs="Calibri"/>
                <w:bCs/>
                <w:color w:val="FFFFFF" w:themeColor="background1"/>
                <w:sz w:val="20"/>
              </w:rPr>
              <w:t>3</w:t>
            </w:r>
          </w:p>
        </w:tc>
        <w:tc>
          <w:tcPr>
            <w:tcW w:w="2450" w:type="dxa"/>
          </w:tcPr>
          <w:p w14:paraId="3AB87ABE" w14:textId="77777777" w:rsidR="0058290D" w:rsidRPr="00A408A8" w:rsidRDefault="0058290D" w:rsidP="00A469C5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</w:pPr>
            <w:r w:rsidRPr="00A408A8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>Quarterly change</w:t>
            </w:r>
          </w:p>
        </w:tc>
        <w:tc>
          <w:tcPr>
            <w:tcW w:w="2754" w:type="dxa"/>
            <w:gridSpan w:val="2"/>
          </w:tcPr>
          <w:p w14:paraId="5249AA8E" w14:textId="192B0419" w:rsidR="0058290D" w:rsidRPr="00A408A8" w:rsidRDefault="00B14E97" w:rsidP="00A469C5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</w:pPr>
            <w:r w:rsidRPr="00A408A8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>Annual</w:t>
            </w:r>
            <w:r w:rsidR="0058290D" w:rsidRPr="00A408A8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 xml:space="preserve"> change</w:t>
            </w:r>
            <w:r w:rsidR="00902069" w:rsidRPr="00A408A8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>*</w:t>
            </w:r>
          </w:p>
        </w:tc>
      </w:tr>
      <w:tr w:rsidR="00AD11BC" w:rsidRPr="00EE1932" w14:paraId="5B3E0DC5" w14:textId="77777777" w:rsidTr="00F62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vAlign w:val="bottom"/>
          </w:tcPr>
          <w:p w14:paraId="5F289715" w14:textId="77777777" w:rsidR="00AD11BC" w:rsidRPr="00A408A8" w:rsidRDefault="00AD11BC" w:rsidP="00A469C5">
            <w:pPr>
              <w:rPr>
                <w:rFonts w:asciiTheme="minorHAnsi" w:hAnsiTheme="minorHAnsi" w:cs="Calibri"/>
                <w:color w:val="000000"/>
                <w:sz w:val="20"/>
              </w:rPr>
            </w:pPr>
            <w:r w:rsidRPr="00A408A8">
              <w:rPr>
                <w:rFonts w:asciiTheme="minorHAnsi" w:hAnsiTheme="minorHAnsi" w:cs="Calibri"/>
                <w:color w:val="000000"/>
                <w:sz w:val="20"/>
              </w:rPr>
              <w:t>Confident</w:t>
            </w:r>
          </w:p>
        </w:tc>
        <w:tc>
          <w:tcPr>
            <w:tcW w:w="2600" w:type="dxa"/>
            <w:vAlign w:val="bottom"/>
          </w:tcPr>
          <w:p w14:paraId="3338EB67" w14:textId="14E6D13F" w:rsidR="00AD11BC" w:rsidRPr="00A408A8" w:rsidRDefault="000F5E96" w:rsidP="00A469C5">
            <w:pPr>
              <w:ind w:right="84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57</w:t>
            </w:r>
            <w:r w:rsidR="00AD11BC" w:rsidRPr="00A408A8">
              <w:rPr>
                <w:rFonts w:asciiTheme="minorHAnsi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2602" w:type="dxa"/>
            <w:gridSpan w:val="2"/>
            <w:vAlign w:val="bottom"/>
          </w:tcPr>
          <w:p w14:paraId="29ABA20A" w14:textId="315C4B7A" w:rsidR="00AD11BC" w:rsidRPr="00A408A8" w:rsidRDefault="006623FB" w:rsidP="000B1B74">
            <w:pPr>
              <w:ind w:right="84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-19</w:t>
            </w:r>
            <w:r w:rsidR="00AD11BC" w:rsidRPr="00A408A8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2602" w:type="dxa"/>
            <w:vAlign w:val="bottom"/>
          </w:tcPr>
          <w:p w14:paraId="38742862" w14:textId="7E21CB93" w:rsidR="00AD11BC" w:rsidRPr="00A408A8" w:rsidRDefault="000F5E96" w:rsidP="000B1B74">
            <w:pPr>
              <w:ind w:right="84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-22</w:t>
            </w:r>
            <w:r w:rsidR="00AD11BC" w:rsidRPr="00A408A8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</w:tr>
      <w:tr w:rsidR="00AD11BC" w:rsidRPr="00EE1932" w14:paraId="1ADC4834" w14:textId="77777777" w:rsidTr="00F627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vAlign w:val="bottom"/>
          </w:tcPr>
          <w:p w14:paraId="76A3140E" w14:textId="77777777" w:rsidR="00AD11BC" w:rsidRPr="00A408A8" w:rsidRDefault="00AD11BC" w:rsidP="00A469C5">
            <w:pPr>
              <w:rPr>
                <w:rFonts w:asciiTheme="minorHAnsi" w:hAnsiTheme="minorHAnsi" w:cs="Calibri"/>
                <w:color w:val="000000"/>
                <w:sz w:val="20"/>
              </w:rPr>
            </w:pPr>
            <w:r w:rsidRPr="00A408A8">
              <w:rPr>
                <w:rFonts w:asciiTheme="minorHAnsi" w:hAnsiTheme="minorHAnsi" w:cs="Calibri"/>
                <w:color w:val="000000"/>
                <w:sz w:val="20"/>
              </w:rPr>
              <w:t>Worried</w:t>
            </w:r>
          </w:p>
        </w:tc>
        <w:tc>
          <w:tcPr>
            <w:tcW w:w="2600" w:type="dxa"/>
            <w:vAlign w:val="bottom"/>
          </w:tcPr>
          <w:p w14:paraId="694566F4" w14:textId="001F4A36" w:rsidR="00AD11BC" w:rsidRPr="00A408A8" w:rsidRDefault="000F5E96" w:rsidP="00A469C5">
            <w:pPr>
              <w:ind w:right="84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13</w:t>
            </w:r>
            <w:r w:rsidR="00AD11BC" w:rsidRPr="00A408A8">
              <w:rPr>
                <w:rFonts w:asciiTheme="minorHAnsi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2602" w:type="dxa"/>
            <w:gridSpan w:val="2"/>
            <w:vAlign w:val="bottom"/>
          </w:tcPr>
          <w:p w14:paraId="268B80E0" w14:textId="17B510D7" w:rsidR="00AD11BC" w:rsidRPr="00A408A8" w:rsidRDefault="000F5E96" w:rsidP="000B1B74">
            <w:pPr>
              <w:ind w:right="84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+6</w:t>
            </w:r>
            <w:r w:rsidR="00AD11BC" w:rsidRPr="00A408A8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2602" w:type="dxa"/>
            <w:vAlign w:val="bottom"/>
          </w:tcPr>
          <w:p w14:paraId="50DBC9DF" w14:textId="3D5BED3E" w:rsidR="00AD11BC" w:rsidRPr="00A408A8" w:rsidRDefault="000F5E96" w:rsidP="000B1B74">
            <w:pPr>
              <w:ind w:right="84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+7</w:t>
            </w:r>
            <w:r w:rsidR="00AD11BC" w:rsidRPr="00A408A8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</w:tr>
      <w:tr w:rsidR="00AD11BC" w:rsidRPr="00EE1932" w14:paraId="54F06BA0" w14:textId="77777777" w:rsidTr="00F62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vAlign w:val="bottom"/>
          </w:tcPr>
          <w:p w14:paraId="0FCAC4B7" w14:textId="77777777" w:rsidR="00AD11BC" w:rsidRPr="00A408A8" w:rsidRDefault="00AD11BC" w:rsidP="00A469C5">
            <w:pPr>
              <w:rPr>
                <w:rFonts w:asciiTheme="minorHAnsi" w:hAnsiTheme="minorHAnsi" w:cs="Calibri"/>
                <w:color w:val="000000"/>
                <w:sz w:val="20"/>
              </w:rPr>
            </w:pPr>
            <w:r w:rsidRPr="00A408A8">
              <w:rPr>
                <w:rFonts w:asciiTheme="minorHAnsi" w:hAnsiTheme="minorHAnsi" w:cs="Calibri"/>
                <w:color w:val="000000"/>
                <w:sz w:val="20"/>
              </w:rPr>
              <w:t>Net Balance</w:t>
            </w:r>
          </w:p>
        </w:tc>
        <w:tc>
          <w:tcPr>
            <w:tcW w:w="2600" w:type="dxa"/>
            <w:vAlign w:val="bottom"/>
          </w:tcPr>
          <w:p w14:paraId="70E96171" w14:textId="497F8830" w:rsidR="00AD11BC" w:rsidRPr="00A408A8" w:rsidRDefault="006623FB" w:rsidP="00A469C5">
            <w:pPr>
              <w:ind w:right="84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43</w:t>
            </w:r>
            <w:r w:rsidR="00AD11BC" w:rsidRPr="00A408A8">
              <w:rPr>
                <w:rFonts w:asciiTheme="minorHAnsi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2602" w:type="dxa"/>
            <w:gridSpan w:val="2"/>
            <w:vAlign w:val="bottom"/>
          </w:tcPr>
          <w:p w14:paraId="444C1866" w14:textId="5AD5F74F" w:rsidR="00AD11BC" w:rsidRPr="00A408A8" w:rsidRDefault="007345C0" w:rsidP="00A469C5">
            <w:pPr>
              <w:ind w:right="84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A408A8">
              <w:rPr>
                <w:rFonts w:asciiTheme="minorHAnsi" w:hAnsiTheme="minorHAnsi" w:cs="Calibri"/>
                <w:color w:val="000000"/>
                <w:sz w:val="20"/>
              </w:rPr>
              <w:t>-</w:t>
            </w:r>
            <w:r w:rsidR="006623FB">
              <w:rPr>
                <w:rFonts w:asciiTheme="minorHAnsi" w:hAnsiTheme="minorHAnsi" w:cs="Calibri"/>
                <w:color w:val="000000"/>
                <w:sz w:val="20"/>
              </w:rPr>
              <w:t>25</w:t>
            </w:r>
            <w:r w:rsidR="00AD11BC" w:rsidRPr="00A408A8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2602" w:type="dxa"/>
            <w:vAlign w:val="bottom"/>
          </w:tcPr>
          <w:p w14:paraId="3650CDB5" w14:textId="7CB928D0" w:rsidR="00AD11BC" w:rsidRPr="00A408A8" w:rsidRDefault="000F5E96" w:rsidP="000B1B74">
            <w:pPr>
              <w:ind w:right="84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-2</w:t>
            </w:r>
            <w:r w:rsidR="006623FB">
              <w:rPr>
                <w:rFonts w:asciiTheme="minorHAnsi" w:hAnsiTheme="minorHAnsi" w:cs="Calibri"/>
                <w:color w:val="000000"/>
                <w:sz w:val="20"/>
              </w:rPr>
              <w:t>9</w:t>
            </w:r>
            <w:r w:rsidR="00AD11BC" w:rsidRPr="00A408A8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</w:tr>
    </w:tbl>
    <w:p w14:paraId="265DAEEB" w14:textId="2BC52441" w:rsidR="00902069" w:rsidRPr="004F3864" w:rsidRDefault="00902069" w:rsidP="000B1B74">
      <w:pPr>
        <w:spacing w:after="120"/>
        <w:rPr>
          <w:sz w:val="16"/>
          <w:szCs w:val="16"/>
        </w:rPr>
      </w:pPr>
      <w:r w:rsidRPr="004F3864">
        <w:rPr>
          <w:sz w:val="16"/>
          <w:szCs w:val="16"/>
        </w:rPr>
        <w:t>*Current quarter compared with the same quarter</w:t>
      </w:r>
      <w:r w:rsidR="008C0F3A" w:rsidRPr="004F3864">
        <w:rPr>
          <w:sz w:val="16"/>
          <w:szCs w:val="16"/>
        </w:rPr>
        <w:t xml:space="preserve"> in</w:t>
      </w:r>
      <w:r w:rsidRPr="004F3864">
        <w:rPr>
          <w:sz w:val="16"/>
          <w:szCs w:val="16"/>
        </w:rPr>
        <w:t xml:space="preserve"> the previous year.</w:t>
      </w:r>
    </w:p>
    <w:p w14:paraId="730C4662" w14:textId="77777777" w:rsidR="0058290D" w:rsidRPr="006523C6" w:rsidRDefault="00F86A0D" w:rsidP="000B1B74">
      <w:pPr>
        <w:pStyle w:val="Caption"/>
        <w:keepNext/>
        <w:spacing w:before="120" w:after="60"/>
        <w:rPr>
          <w:b/>
        </w:rPr>
      </w:pPr>
      <w:r w:rsidRPr="006523C6">
        <w:rPr>
          <w:b/>
        </w:rPr>
        <w:t>Figure 1: Response</w:t>
      </w:r>
      <w:r w:rsidR="00DC5EB5" w:rsidRPr="006523C6">
        <w:rPr>
          <w:b/>
        </w:rPr>
        <w:t>s</w:t>
      </w:r>
      <w:r w:rsidRPr="006523C6">
        <w:rPr>
          <w:b/>
        </w:rPr>
        <w:t xml:space="preserve"> to</w:t>
      </w:r>
      <w:r w:rsidR="007509C4" w:rsidRPr="006523C6">
        <w:rPr>
          <w:b/>
        </w:rPr>
        <w:t xml:space="preserve"> the</w:t>
      </w:r>
      <w:r w:rsidRPr="006523C6">
        <w:rPr>
          <w:b/>
        </w:rPr>
        <w:t xml:space="preserve"> business confidence </w:t>
      </w:r>
      <w:r w:rsidR="00DC5EB5" w:rsidRPr="006523C6">
        <w:rPr>
          <w:b/>
        </w:rPr>
        <w:t>question</w:t>
      </w:r>
      <w:r w:rsidR="00AD11BC" w:rsidRPr="006523C6">
        <w:rPr>
          <w:b/>
        </w:rPr>
        <w:t xml:space="preserve"> and change from previous quarter </w:t>
      </w:r>
    </w:p>
    <w:tbl>
      <w:tblPr>
        <w:tblStyle w:val="NTGtable"/>
        <w:tblW w:w="10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3452"/>
        <w:gridCol w:w="3452"/>
        <w:gridCol w:w="3452"/>
      </w:tblGrid>
      <w:tr w:rsidR="00EF102E" w14:paraId="351E549E" w14:textId="77777777" w:rsidTr="00AD11BC">
        <w:trPr>
          <w:trHeight w:val="21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14:paraId="38F515B6" w14:textId="62C38290" w:rsidR="00F83801" w:rsidRDefault="00EB09B0" w:rsidP="008C61DE">
            <w:pPr>
              <w:spacing w:before="0" w:after="120"/>
              <w:jc w:val="center"/>
            </w:pPr>
            <w:r>
              <w:rPr>
                <w:noProof/>
              </w:rPr>
              <w:drawing>
                <wp:inline distT="0" distB="0" distL="0" distR="0" wp14:anchorId="66FAF56B" wp14:editId="6AD8CE53">
                  <wp:extent cx="1360800" cy="13608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0" cy="1360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2" w:type="dxa"/>
          </w:tcPr>
          <w:p w14:paraId="2D4EC78D" w14:textId="38B578A3" w:rsidR="00F83801" w:rsidRDefault="00EB09B0" w:rsidP="008C61DE">
            <w:pPr>
              <w:spacing w:before="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00BF91B0" wp14:editId="74360B59">
                  <wp:extent cx="1360800" cy="13608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0" cy="1360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2" w:type="dxa"/>
          </w:tcPr>
          <w:p w14:paraId="424A3D4C" w14:textId="7F7D12F6" w:rsidR="00F83801" w:rsidRDefault="00EB09B0" w:rsidP="008C61DE">
            <w:pPr>
              <w:spacing w:before="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47459F74" wp14:editId="3BA9D557">
                  <wp:extent cx="1364400" cy="1360800"/>
                  <wp:effectExtent l="0" t="0" r="762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400" cy="1360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02E" w14:paraId="5FB5FDC3" w14:textId="77777777" w:rsidTr="00D95605">
        <w:trPr>
          <w:trHeight w:val="2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14:paraId="67A0FA3A" w14:textId="35038447" w:rsidR="00F83801" w:rsidRDefault="00EB09B0" w:rsidP="00F62791">
            <w:pPr>
              <w:spacing w:before="0" w:after="0"/>
              <w:jc w:val="center"/>
            </w:pPr>
            <w:r>
              <w:rPr>
                <w:noProof/>
              </w:rPr>
              <w:drawing>
                <wp:inline distT="0" distB="0" distL="0" distR="0" wp14:anchorId="51C690C3" wp14:editId="72ED34CD">
                  <wp:extent cx="1364400" cy="1360800"/>
                  <wp:effectExtent l="0" t="0" r="762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400" cy="1360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2" w:type="dxa"/>
          </w:tcPr>
          <w:p w14:paraId="25AC7231" w14:textId="74773176" w:rsidR="00F83801" w:rsidRDefault="00EB09B0" w:rsidP="00F6279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462448F6" wp14:editId="302CD690">
                  <wp:extent cx="1360800" cy="136080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0" cy="1360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2" w:type="dxa"/>
          </w:tcPr>
          <w:p w14:paraId="63A58396" w14:textId="4B0CC6DE" w:rsidR="00F83801" w:rsidRDefault="00D95605" w:rsidP="00F62791">
            <w:pPr>
              <w:keepNext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t xml:space="preserve"> </w:t>
            </w:r>
            <w:r w:rsidR="00C60203">
              <w:rPr>
                <w:noProof/>
              </w:rPr>
              <w:drawing>
                <wp:inline distT="0" distB="0" distL="0" distR="0" wp14:anchorId="44C35867" wp14:editId="6DE41925">
                  <wp:extent cx="1364400" cy="1360800"/>
                  <wp:effectExtent l="0" t="0" r="762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400" cy="1360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D50DBC" w14:textId="5FDA288D" w:rsidR="00480CFA" w:rsidRPr="00291A08" w:rsidRDefault="00AD11BC" w:rsidP="00F62791">
      <w:pPr>
        <w:pStyle w:val="Caption"/>
        <w:spacing w:after="0"/>
        <w:rPr>
          <w:sz w:val="16"/>
          <w:szCs w:val="16"/>
        </w:rPr>
      </w:pPr>
      <w:r w:rsidRPr="00291A08">
        <w:rPr>
          <w:sz w:val="16"/>
          <w:szCs w:val="16"/>
        </w:rPr>
        <w:t xml:space="preserve">Note: Individual categories may not add to the net balance figure due to rounding. </w:t>
      </w:r>
    </w:p>
    <w:p w14:paraId="72F94E23" w14:textId="37C01140" w:rsidR="00480CFA" w:rsidRDefault="00CE7105" w:rsidP="00641F59">
      <w:pPr>
        <w:pStyle w:val="Heading1"/>
        <w:spacing w:before="120" w:after="120"/>
      </w:pPr>
      <w:r>
        <w:lastRenderedPageBreak/>
        <w:t>Average annual b</w:t>
      </w:r>
      <w:r w:rsidR="00480CFA">
        <w:t xml:space="preserve">usiness confidence remains </w:t>
      </w:r>
      <w:r>
        <w:t>high</w:t>
      </w:r>
    </w:p>
    <w:p w14:paraId="61379703" w14:textId="66CD66F5" w:rsidR="00AD11BC" w:rsidRPr="000864F7" w:rsidRDefault="000864F7" w:rsidP="000B1B74">
      <w:pPr>
        <w:rPr>
          <w:b/>
          <w:sz w:val="20"/>
          <w:szCs w:val="20"/>
        </w:rPr>
      </w:pPr>
      <w:r w:rsidRPr="000864F7">
        <w:rPr>
          <w:spacing w:val="-2"/>
          <w:lang w:eastAsia="en-AU"/>
        </w:rPr>
        <w:t>The proportion of ‘extremely confident’ businesses was unchanged in the quarter at 9%, with a sharp decline in ‘fairly confident’ businesses (down by 19 ppt to 48%) driving the drop, with most transferring to a ‘neutral’ rating and some to the ‘fairly worried’ rating</w:t>
      </w:r>
      <w:r w:rsidR="00553F6A">
        <w:rPr>
          <w:spacing w:val="-2"/>
          <w:lang w:eastAsia="en-AU"/>
        </w:rPr>
        <w:t xml:space="preserve"> </w:t>
      </w:r>
      <w:r w:rsidR="009354AE" w:rsidRPr="000864F7">
        <w:rPr>
          <w:spacing w:val="-2"/>
        </w:rPr>
        <w:t xml:space="preserve">(Chart 1). </w:t>
      </w:r>
      <w:r>
        <w:rPr>
          <w:spacing w:val="-2"/>
        </w:rPr>
        <w:t>A</w:t>
      </w:r>
      <w:r w:rsidR="00882578" w:rsidRPr="000864F7">
        <w:rPr>
          <w:spacing w:val="-2"/>
        </w:rPr>
        <w:t xml:space="preserve">verage business confidence </w:t>
      </w:r>
      <w:r w:rsidR="009354AE" w:rsidRPr="000864F7">
        <w:rPr>
          <w:spacing w:val="-2"/>
        </w:rPr>
        <w:t xml:space="preserve">across </w:t>
      </w:r>
      <w:r w:rsidR="00882578" w:rsidRPr="000864F7">
        <w:rPr>
          <w:spacing w:val="-2"/>
        </w:rPr>
        <w:t xml:space="preserve">2022-23 </w:t>
      </w:r>
      <w:r w:rsidR="000329EB" w:rsidRPr="000864F7">
        <w:rPr>
          <w:spacing w:val="-2"/>
        </w:rPr>
        <w:t xml:space="preserve">was </w:t>
      </w:r>
      <w:r w:rsidR="007C68A0" w:rsidRPr="000864F7">
        <w:rPr>
          <w:spacing w:val="-2"/>
        </w:rPr>
        <w:t>+</w:t>
      </w:r>
      <w:r w:rsidR="000329EB" w:rsidRPr="000864F7">
        <w:rPr>
          <w:spacing w:val="-2"/>
        </w:rPr>
        <w:t xml:space="preserve">66%, slightly </w:t>
      </w:r>
      <w:r w:rsidR="007C68A0" w:rsidRPr="000864F7">
        <w:rPr>
          <w:spacing w:val="-2"/>
        </w:rPr>
        <w:t>above</w:t>
      </w:r>
      <w:r w:rsidR="000329EB" w:rsidRPr="000864F7">
        <w:rPr>
          <w:spacing w:val="-2"/>
        </w:rPr>
        <w:t xml:space="preserve"> </w:t>
      </w:r>
      <w:r w:rsidR="008C76CE" w:rsidRPr="000864F7">
        <w:rPr>
          <w:spacing w:val="-2"/>
        </w:rPr>
        <w:t>2021</w:t>
      </w:r>
      <w:r w:rsidR="008C76CE" w:rsidRPr="000864F7">
        <w:rPr>
          <w:spacing w:val="-2"/>
        </w:rPr>
        <w:noBreakHyphen/>
        <w:t>22 and the highest in the series</w:t>
      </w:r>
      <w:r w:rsidR="00882578" w:rsidRPr="000864F7">
        <w:rPr>
          <w:spacing w:val="-2"/>
        </w:rPr>
        <w:t xml:space="preserve"> (Chart 2).</w:t>
      </w:r>
    </w:p>
    <w:tbl>
      <w:tblPr>
        <w:tblStyle w:val="TableGridLigh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EF2D64" w14:paraId="2E4612CA" w14:textId="77777777" w:rsidTr="00EB5AA1">
        <w:trPr>
          <w:jc w:val="center"/>
        </w:trPr>
        <w:tc>
          <w:tcPr>
            <w:tcW w:w="10308" w:type="dxa"/>
          </w:tcPr>
          <w:p w14:paraId="37BED033" w14:textId="10CC4E55" w:rsidR="00EF2D64" w:rsidRPr="00782660" w:rsidRDefault="00EF2D64" w:rsidP="000864F7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782660">
              <w:rPr>
                <w:b/>
                <w:sz w:val="20"/>
                <w:szCs w:val="20"/>
              </w:rPr>
              <w:t>Chart 1</w:t>
            </w:r>
          </w:p>
        </w:tc>
      </w:tr>
      <w:tr w:rsidR="00EF2D64" w14:paraId="5BCDA23A" w14:textId="77777777" w:rsidTr="00EB5AA1">
        <w:trPr>
          <w:jc w:val="center"/>
        </w:trPr>
        <w:tc>
          <w:tcPr>
            <w:tcW w:w="10308" w:type="dxa"/>
          </w:tcPr>
          <w:p w14:paraId="514B9630" w14:textId="4B8683D4" w:rsidR="00EF2D64" w:rsidRPr="00782660" w:rsidRDefault="003171D9" w:rsidP="00EB5A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="00EF2D64" w:rsidRPr="00782660">
              <w:rPr>
                <w:b/>
                <w:sz w:val="20"/>
                <w:szCs w:val="20"/>
              </w:rPr>
              <w:t xml:space="preserve">usiness </w:t>
            </w:r>
            <w:r w:rsidR="00A94CBF" w:rsidRPr="00782660">
              <w:rPr>
                <w:b/>
                <w:sz w:val="20"/>
                <w:szCs w:val="20"/>
              </w:rPr>
              <w:t>c</w:t>
            </w:r>
            <w:r w:rsidR="00EF2D64" w:rsidRPr="00782660">
              <w:rPr>
                <w:b/>
                <w:sz w:val="20"/>
                <w:szCs w:val="20"/>
              </w:rPr>
              <w:t>onfidence</w:t>
            </w:r>
            <w:r>
              <w:rPr>
                <w:b/>
                <w:sz w:val="20"/>
                <w:szCs w:val="20"/>
              </w:rPr>
              <w:t xml:space="preserve"> by quarter (%)</w:t>
            </w:r>
          </w:p>
        </w:tc>
      </w:tr>
      <w:tr w:rsidR="00EF2D64" w14:paraId="691F7E35" w14:textId="77777777" w:rsidTr="00EB5AA1">
        <w:trPr>
          <w:jc w:val="center"/>
        </w:trPr>
        <w:tc>
          <w:tcPr>
            <w:tcW w:w="10308" w:type="dxa"/>
          </w:tcPr>
          <w:p w14:paraId="7AD56F65" w14:textId="027C40E0" w:rsidR="00EF2D64" w:rsidRDefault="003171D9" w:rsidP="00EF2D64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288C30F7" wp14:editId="300BE1A1">
                  <wp:extent cx="5169600" cy="332280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9600" cy="3322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D64" w14:paraId="1ECD35CB" w14:textId="77777777" w:rsidTr="00EB5AA1">
        <w:tblPrEx>
          <w:jc w:val="left"/>
        </w:tblPrEx>
        <w:tc>
          <w:tcPr>
            <w:tcW w:w="10308" w:type="dxa"/>
          </w:tcPr>
          <w:p w14:paraId="12D8B610" w14:textId="62D71226" w:rsidR="00EF2D64" w:rsidRPr="00782660" w:rsidRDefault="00EF2D64" w:rsidP="000864F7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782660">
              <w:rPr>
                <w:b/>
                <w:sz w:val="20"/>
                <w:szCs w:val="20"/>
              </w:rPr>
              <w:t>Chart 2</w:t>
            </w:r>
          </w:p>
        </w:tc>
      </w:tr>
      <w:tr w:rsidR="00EF2D64" w14:paraId="1B7C522A" w14:textId="77777777" w:rsidTr="00EB5AA1">
        <w:tblPrEx>
          <w:jc w:val="left"/>
        </w:tblPrEx>
        <w:tc>
          <w:tcPr>
            <w:tcW w:w="10308" w:type="dxa"/>
          </w:tcPr>
          <w:p w14:paraId="41956624" w14:textId="28B57F1A" w:rsidR="00EF2D64" w:rsidRPr="00782660" w:rsidRDefault="0031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Average b</w:t>
            </w:r>
            <w:r w:rsidR="00EF2D64" w:rsidRPr="00782660">
              <w:rPr>
                <w:b/>
                <w:sz w:val="20"/>
                <w:szCs w:val="20"/>
              </w:rPr>
              <w:t xml:space="preserve">usiness </w:t>
            </w:r>
            <w:r w:rsidR="00A94CBF" w:rsidRPr="00782660">
              <w:rPr>
                <w:b/>
                <w:sz w:val="20"/>
                <w:szCs w:val="20"/>
              </w:rPr>
              <w:t>c</w:t>
            </w:r>
            <w:r w:rsidR="00EF2D64" w:rsidRPr="00782660">
              <w:rPr>
                <w:b/>
                <w:sz w:val="20"/>
                <w:szCs w:val="20"/>
              </w:rPr>
              <w:t xml:space="preserve">onfidence by </w:t>
            </w:r>
            <w:r w:rsidR="00A94CBF" w:rsidRPr="00782660">
              <w:rPr>
                <w:b/>
                <w:sz w:val="20"/>
                <w:szCs w:val="20"/>
              </w:rPr>
              <w:t>f</w:t>
            </w:r>
            <w:r w:rsidR="00EF2D64" w:rsidRPr="00782660">
              <w:rPr>
                <w:b/>
                <w:sz w:val="20"/>
                <w:szCs w:val="20"/>
              </w:rPr>
              <w:t xml:space="preserve">inancial </w:t>
            </w:r>
            <w:r w:rsidR="00A94CBF" w:rsidRPr="00782660">
              <w:rPr>
                <w:b/>
                <w:sz w:val="20"/>
                <w:szCs w:val="20"/>
              </w:rPr>
              <w:t>y</w:t>
            </w:r>
            <w:r w:rsidR="00EF2D64" w:rsidRPr="00782660">
              <w:rPr>
                <w:b/>
                <w:sz w:val="20"/>
                <w:szCs w:val="20"/>
              </w:rPr>
              <w:t>ear</w:t>
            </w:r>
            <w:r>
              <w:rPr>
                <w:b/>
                <w:sz w:val="20"/>
                <w:szCs w:val="20"/>
              </w:rPr>
              <w:t xml:space="preserve"> (%)</w:t>
            </w:r>
          </w:p>
        </w:tc>
      </w:tr>
      <w:tr w:rsidR="00EF2D64" w14:paraId="50CC64BB" w14:textId="77777777" w:rsidTr="00EB5AA1">
        <w:tblPrEx>
          <w:jc w:val="left"/>
        </w:tblPrEx>
        <w:tc>
          <w:tcPr>
            <w:tcW w:w="10308" w:type="dxa"/>
          </w:tcPr>
          <w:p w14:paraId="0B68DBFE" w14:textId="55D9D0AD" w:rsidR="00EF2D64" w:rsidRDefault="009B79BD" w:rsidP="00EF2D64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7B5E263F" wp14:editId="5B127D44">
                  <wp:extent cx="5173200" cy="3182400"/>
                  <wp:effectExtent l="0" t="0" r="889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3200" cy="318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0BB374" w14:textId="77777777" w:rsidR="008430AE" w:rsidRPr="000864F7" w:rsidRDefault="008430AE">
      <w:pPr>
        <w:rPr>
          <w:sz w:val="2"/>
          <w:szCs w:val="2"/>
        </w:rPr>
      </w:pPr>
      <w:r w:rsidRPr="000864F7">
        <w:rPr>
          <w:sz w:val="2"/>
          <w:szCs w:val="2"/>
        </w:rPr>
        <w:br w:type="page"/>
      </w:r>
    </w:p>
    <w:p w14:paraId="03BA6F30" w14:textId="0E36FFC2" w:rsidR="00DA7FD9" w:rsidRDefault="00FB00C3" w:rsidP="00A408A8">
      <w:pPr>
        <w:pStyle w:val="Heading1"/>
        <w:spacing w:before="60" w:after="60"/>
      </w:pPr>
      <w:r>
        <w:lastRenderedPageBreak/>
        <w:t xml:space="preserve">Business performance </w:t>
      </w:r>
      <w:r w:rsidR="001D47B4">
        <w:t>decreased</w:t>
      </w:r>
      <w:r>
        <w:t xml:space="preserve"> this quarter</w:t>
      </w:r>
    </w:p>
    <w:p w14:paraId="6EFE6820" w14:textId="4DE56D97" w:rsidR="00882578" w:rsidRPr="00882578" w:rsidRDefault="00882578" w:rsidP="00882578">
      <w:r>
        <w:t xml:space="preserve">When asked ‘How’s your business performing this year compared to last year?’, 45% of businesses responded </w:t>
      </w:r>
      <w:r w:rsidR="00507F76">
        <w:t>with ‘better’, representing a 9</w:t>
      </w:r>
      <w:r>
        <w:t xml:space="preserve"> </w:t>
      </w:r>
      <w:r w:rsidR="008E5612">
        <w:t>ppt</w:t>
      </w:r>
      <w:r>
        <w:t xml:space="preserve"> decrease from March quarter 2023</w:t>
      </w:r>
      <w:r w:rsidR="008E5612">
        <w:t xml:space="preserve"> and </w:t>
      </w:r>
      <w:r w:rsidR="001605A7">
        <w:t xml:space="preserve">a </w:t>
      </w:r>
      <w:r w:rsidR="008E5612">
        <w:t>16</w:t>
      </w:r>
      <w:r>
        <w:t xml:space="preserve"> </w:t>
      </w:r>
      <w:r w:rsidR="008E5612">
        <w:t>ppt</w:t>
      </w:r>
      <w:r>
        <w:t xml:space="preserve"> </w:t>
      </w:r>
      <w:r w:rsidR="008E5612">
        <w:t xml:space="preserve">decrease </w:t>
      </w:r>
      <w:r>
        <w:t>from June quarter 2022</w:t>
      </w:r>
      <w:r w:rsidR="008E5612">
        <w:t xml:space="preserve"> (Table 2)</w:t>
      </w:r>
      <w:r w:rsidR="0035311F">
        <w:t>.</w:t>
      </w:r>
    </w:p>
    <w:p w14:paraId="470BE3E3" w14:textId="77777777" w:rsidR="00DA7FD9" w:rsidRPr="00782660" w:rsidRDefault="00DA7FD9" w:rsidP="00A408A8">
      <w:pPr>
        <w:pStyle w:val="Caption"/>
        <w:keepNext/>
        <w:spacing w:before="40" w:after="40"/>
        <w:rPr>
          <w:b/>
          <w:szCs w:val="20"/>
        </w:rPr>
      </w:pPr>
      <w:r w:rsidRPr="00782660">
        <w:rPr>
          <w:b/>
          <w:szCs w:val="20"/>
        </w:rPr>
        <w:t xml:space="preserve">Table 2: Business performance </w:t>
      </w:r>
      <w:r w:rsidR="00663EC8" w:rsidRPr="00782660">
        <w:rPr>
          <w:b/>
          <w:szCs w:val="20"/>
        </w:rPr>
        <w:t>compared to last year</w:t>
      </w:r>
    </w:p>
    <w:tbl>
      <w:tblPr>
        <w:tblStyle w:val="NTGtable"/>
        <w:tblW w:w="10354" w:type="dxa"/>
        <w:tblLook w:val="04A0" w:firstRow="1" w:lastRow="0" w:firstColumn="1" w:lastColumn="0" w:noHBand="0" w:noVBand="1"/>
      </w:tblPr>
      <w:tblGrid>
        <w:gridCol w:w="2588"/>
        <w:gridCol w:w="2588"/>
        <w:gridCol w:w="2474"/>
        <w:gridCol w:w="2704"/>
      </w:tblGrid>
      <w:tr w:rsidR="00DA7FD9" w:rsidRPr="00EE1932" w14:paraId="22FC96AF" w14:textId="77777777" w:rsidTr="00A53E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88" w:type="dxa"/>
          </w:tcPr>
          <w:p w14:paraId="2E325ADA" w14:textId="77777777" w:rsidR="00DA7FD9" w:rsidRPr="00A408A8" w:rsidRDefault="00DA7FD9" w:rsidP="00026D9E">
            <w:pPr>
              <w:rPr>
                <w:sz w:val="20"/>
              </w:rPr>
            </w:pPr>
          </w:p>
        </w:tc>
        <w:tc>
          <w:tcPr>
            <w:tcW w:w="2588" w:type="dxa"/>
          </w:tcPr>
          <w:p w14:paraId="5CD41970" w14:textId="6FD29835" w:rsidR="00DA7FD9" w:rsidRPr="00A408A8" w:rsidRDefault="00882578" w:rsidP="00A53E5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</w:pPr>
            <w:r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>Jun</w:t>
            </w:r>
            <w:r w:rsidR="00DA7FD9" w:rsidRPr="00A408A8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 xml:space="preserve"> </w:t>
            </w:r>
            <w:proofErr w:type="spellStart"/>
            <w:r w:rsidR="00C233C1" w:rsidRPr="00A408A8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>q</w:t>
            </w:r>
            <w:r w:rsidR="00DA7FD9" w:rsidRPr="00A408A8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>tr</w:t>
            </w:r>
            <w:proofErr w:type="spellEnd"/>
            <w:r w:rsidR="00DA7FD9" w:rsidRPr="00A408A8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 xml:space="preserve"> 202</w:t>
            </w:r>
            <w:r w:rsidR="00256313" w:rsidRPr="00A408A8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>3</w:t>
            </w:r>
          </w:p>
        </w:tc>
        <w:tc>
          <w:tcPr>
            <w:tcW w:w="2474" w:type="dxa"/>
          </w:tcPr>
          <w:p w14:paraId="4FE0B906" w14:textId="77777777" w:rsidR="00DA7FD9" w:rsidRPr="00A408A8" w:rsidRDefault="00DA7FD9" w:rsidP="00A53E5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</w:pPr>
            <w:r w:rsidRPr="00A408A8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>Quarterly change</w:t>
            </w:r>
          </w:p>
        </w:tc>
        <w:tc>
          <w:tcPr>
            <w:tcW w:w="2704" w:type="dxa"/>
          </w:tcPr>
          <w:p w14:paraId="7B270520" w14:textId="1487CDDE" w:rsidR="00DA7FD9" w:rsidRPr="00A408A8" w:rsidRDefault="00C233C1" w:rsidP="00A53E5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</w:pPr>
            <w:r w:rsidRPr="00A408A8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>Annual</w:t>
            </w:r>
            <w:r w:rsidR="00DA7FD9" w:rsidRPr="00A408A8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 xml:space="preserve"> change</w:t>
            </w:r>
            <w:r w:rsidR="00B21D6C" w:rsidRPr="00A408A8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>*</w:t>
            </w:r>
          </w:p>
        </w:tc>
      </w:tr>
      <w:tr w:rsidR="00DA7FD9" w:rsidRPr="00EE1932" w14:paraId="065C3E77" w14:textId="77777777" w:rsidTr="00B21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</w:tcPr>
          <w:p w14:paraId="4F2D8D5E" w14:textId="77777777" w:rsidR="00DA7FD9" w:rsidRPr="00A408A8" w:rsidRDefault="00DA7FD9" w:rsidP="00026D9E">
            <w:pPr>
              <w:rPr>
                <w:sz w:val="20"/>
              </w:rPr>
            </w:pPr>
            <w:r w:rsidRPr="00A408A8">
              <w:rPr>
                <w:sz w:val="20"/>
              </w:rPr>
              <w:t>Better</w:t>
            </w:r>
          </w:p>
        </w:tc>
        <w:tc>
          <w:tcPr>
            <w:tcW w:w="2588" w:type="dxa"/>
            <w:vAlign w:val="bottom"/>
          </w:tcPr>
          <w:p w14:paraId="2195282A" w14:textId="44AB06D4" w:rsidR="00DA7FD9" w:rsidRPr="00A408A8" w:rsidRDefault="00AD44ED" w:rsidP="008C61DE">
            <w:pPr>
              <w:ind w:right="81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45</w:t>
            </w:r>
            <w:r w:rsidR="00DA7FD9" w:rsidRPr="00A408A8">
              <w:rPr>
                <w:rFonts w:asciiTheme="minorHAnsi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2474" w:type="dxa"/>
            <w:vAlign w:val="bottom"/>
          </w:tcPr>
          <w:p w14:paraId="7232A500" w14:textId="34298220" w:rsidR="00DA7FD9" w:rsidRPr="00A408A8" w:rsidRDefault="006623FB" w:rsidP="008C61DE">
            <w:pPr>
              <w:ind w:right="81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-9</w:t>
            </w:r>
            <w:r w:rsidR="00DA7FD9" w:rsidRPr="00A408A8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2704" w:type="dxa"/>
            <w:vAlign w:val="bottom"/>
          </w:tcPr>
          <w:p w14:paraId="1BF0F7B9" w14:textId="0AC364A2" w:rsidR="00DA7FD9" w:rsidRPr="00A408A8" w:rsidRDefault="00AD44ED" w:rsidP="008C61DE">
            <w:pPr>
              <w:ind w:right="81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-16</w:t>
            </w:r>
            <w:r w:rsidR="00DA7FD9" w:rsidRPr="00A408A8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</w:tr>
      <w:tr w:rsidR="00DA7FD9" w:rsidRPr="00EE1932" w14:paraId="4F32A993" w14:textId="77777777" w:rsidTr="00B21D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</w:tcPr>
          <w:p w14:paraId="1BD50EEF" w14:textId="77777777" w:rsidR="00DA7FD9" w:rsidRPr="00A408A8" w:rsidRDefault="00DA7FD9" w:rsidP="00026D9E">
            <w:pPr>
              <w:rPr>
                <w:sz w:val="20"/>
              </w:rPr>
            </w:pPr>
            <w:r w:rsidRPr="00A408A8">
              <w:rPr>
                <w:sz w:val="20"/>
              </w:rPr>
              <w:t>Same</w:t>
            </w:r>
          </w:p>
        </w:tc>
        <w:tc>
          <w:tcPr>
            <w:tcW w:w="2588" w:type="dxa"/>
            <w:vAlign w:val="bottom"/>
          </w:tcPr>
          <w:p w14:paraId="57AAA709" w14:textId="46832912" w:rsidR="00DA7FD9" w:rsidRPr="00A408A8" w:rsidRDefault="00AD44ED" w:rsidP="008C61DE">
            <w:pPr>
              <w:ind w:right="816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35</w:t>
            </w:r>
            <w:r w:rsidR="00DA7FD9" w:rsidRPr="00A408A8">
              <w:rPr>
                <w:rFonts w:asciiTheme="minorHAnsi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2474" w:type="dxa"/>
            <w:vAlign w:val="bottom"/>
          </w:tcPr>
          <w:p w14:paraId="48D6F7A9" w14:textId="6345A78A" w:rsidR="00DA7FD9" w:rsidRPr="00A408A8" w:rsidRDefault="00AD44ED" w:rsidP="008C61DE">
            <w:pPr>
              <w:ind w:right="816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+2</w:t>
            </w:r>
            <w:r w:rsidR="00DA7FD9" w:rsidRPr="00A408A8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2704" w:type="dxa"/>
            <w:vAlign w:val="bottom"/>
          </w:tcPr>
          <w:p w14:paraId="79E7DDBE" w14:textId="42959386" w:rsidR="00DA7FD9" w:rsidRPr="00A408A8" w:rsidRDefault="00AD44ED" w:rsidP="008C61DE">
            <w:pPr>
              <w:ind w:right="816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+7</w:t>
            </w:r>
            <w:r w:rsidR="00DA7FD9" w:rsidRPr="00A408A8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</w:tr>
      <w:tr w:rsidR="00DA7FD9" w:rsidRPr="00EE1932" w14:paraId="353E0F38" w14:textId="77777777" w:rsidTr="00B21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</w:tcPr>
          <w:p w14:paraId="65A04770" w14:textId="77777777" w:rsidR="00DA7FD9" w:rsidRPr="00A408A8" w:rsidRDefault="00DA7FD9" w:rsidP="00026D9E">
            <w:pPr>
              <w:rPr>
                <w:sz w:val="20"/>
              </w:rPr>
            </w:pPr>
            <w:r w:rsidRPr="00A408A8">
              <w:rPr>
                <w:sz w:val="20"/>
              </w:rPr>
              <w:t>Worse</w:t>
            </w:r>
          </w:p>
        </w:tc>
        <w:tc>
          <w:tcPr>
            <w:tcW w:w="2588" w:type="dxa"/>
            <w:vAlign w:val="bottom"/>
          </w:tcPr>
          <w:p w14:paraId="50E18820" w14:textId="1866A72D" w:rsidR="00DA7FD9" w:rsidRPr="00A408A8" w:rsidRDefault="00AD44ED" w:rsidP="008C61DE">
            <w:pPr>
              <w:ind w:right="81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20</w:t>
            </w:r>
            <w:r w:rsidR="00DA7FD9" w:rsidRPr="00A408A8">
              <w:rPr>
                <w:rFonts w:asciiTheme="minorHAnsi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2474" w:type="dxa"/>
            <w:vAlign w:val="bottom"/>
          </w:tcPr>
          <w:p w14:paraId="773017CD" w14:textId="137EA347" w:rsidR="00DA7FD9" w:rsidRPr="00A408A8" w:rsidRDefault="00AD44ED" w:rsidP="008C61DE">
            <w:pPr>
              <w:ind w:right="81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+8</w:t>
            </w:r>
            <w:r w:rsidR="00DA7FD9" w:rsidRPr="00A408A8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2704" w:type="dxa"/>
            <w:vAlign w:val="bottom"/>
          </w:tcPr>
          <w:p w14:paraId="0B0E0E0F" w14:textId="4FF8DABC" w:rsidR="00DA7FD9" w:rsidRPr="00A408A8" w:rsidRDefault="00AD44ED" w:rsidP="008C61DE">
            <w:pPr>
              <w:ind w:right="81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+9</w:t>
            </w:r>
            <w:r w:rsidR="00DA7FD9" w:rsidRPr="00A408A8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</w:tr>
    </w:tbl>
    <w:p w14:paraId="28DAB2E8" w14:textId="1333FEFB" w:rsidR="00B21D6C" w:rsidRPr="004F3864" w:rsidRDefault="00B21D6C" w:rsidP="0069766D">
      <w:pPr>
        <w:spacing w:after="120"/>
        <w:rPr>
          <w:sz w:val="16"/>
          <w:szCs w:val="16"/>
        </w:rPr>
      </w:pPr>
      <w:r w:rsidRPr="004F3864">
        <w:rPr>
          <w:sz w:val="16"/>
          <w:szCs w:val="16"/>
        </w:rPr>
        <w:t xml:space="preserve">*Current quarter compared with the same quarter </w:t>
      </w:r>
      <w:r w:rsidR="00D41A0A" w:rsidRPr="004F3864">
        <w:rPr>
          <w:sz w:val="16"/>
          <w:szCs w:val="16"/>
        </w:rPr>
        <w:t xml:space="preserve">in </w:t>
      </w:r>
      <w:r w:rsidRPr="004F3864">
        <w:rPr>
          <w:sz w:val="16"/>
          <w:szCs w:val="16"/>
        </w:rPr>
        <w:t>the previous year.</w:t>
      </w:r>
    </w:p>
    <w:p w14:paraId="690E46C5" w14:textId="77777777" w:rsidR="007509C4" w:rsidRPr="006523C6" w:rsidRDefault="007509C4" w:rsidP="0069766D">
      <w:pPr>
        <w:pStyle w:val="Caption"/>
        <w:keepNext/>
        <w:spacing w:before="120" w:after="120"/>
        <w:rPr>
          <w:b/>
        </w:rPr>
      </w:pPr>
      <w:r w:rsidRPr="006523C6">
        <w:rPr>
          <w:b/>
        </w:rPr>
        <w:t>Figure 2: Responses to the business performance question</w:t>
      </w:r>
      <w:r w:rsidR="000B7FF7" w:rsidRPr="006523C6">
        <w:rPr>
          <w:b/>
        </w:rPr>
        <w:t xml:space="preserve"> and quarterly change </w:t>
      </w:r>
    </w:p>
    <w:tbl>
      <w:tblPr>
        <w:tblStyle w:val="NTGtab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3435"/>
        <w:gridCol w:w="3407"/>
        <w:gridCol w:w="3476"/>
      </w:tblGrid>
      <w:tr w:rsidR="00D95605" w14:paraId="2812845E" w14:textId="77777777" w:rsidTr="00663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</w:tcPr>
          <w:p w14:paraId="63BDE142" w14:textId="5E8FEF5C" w:rsidR="00F1601A" w:rsidRDefault="00150DB0" w:rsidP="00F1601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2B6B8F5" wp14:editId="35D20402">
                  <wp:extent cx="1620000" cy="162360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7" w:type="dxa"/>
          </w:tcPr>
          <w:p w14:paraId="06779E30" w14:textId="75B6D5E8" w:rsidR="00F1601A" w:rsidRDefault="00E82AAF" w:rsidP="000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38F4A8C6" wp14:editId="653810C9">
                  <wp:extent cx="1620000" cy="162360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6" w:type="dxa"/>
          </w:tcPr>
          <w:p w14:paraId="35FC388F" w14:textId="5BCA0415" w:rsidR="00F1601A" w:rsidRDefault="00E82AAF" w:rsidP="000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4C919FD9" wp14:editId="5897B989">
                  <wp:extent cx="1620000" cy="162360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6CC963" w14:textId="77777777" w:rsidR="00663EC8" w:rsidRPr="004F3864" w:rsidRDefault="00663EC8" w:rsidP="00D64CFB">
      <w:pPr>
        <w:pStyle w:val="Caption"/>
        <w:rPr>
          <w:sz w:val="16"/>
          <w:szCs w:val="16"/>
        </w:rPr>
      </w:pPr>
      <w:r w:rsidRPr="004F3864">
        <w:rPr>
          <w:sz w:val="16"/>
          <w:szCs w:val="16"/>
        </w:rPr>
        <w:t xml:space="preserve">Note: Individual categories may not sum to 100 due to rounding. </w:t>
      </w:r>
    </w:p>
    <w:p w14:paraId="0BE5C853" w14:textId="3827A86E" w:rsidR="00EF2D64" w:rsidRPr="00D64CFB" w:rsidRDefault="0088230B" w:rsidP="0069766D">
      <w:pPr>
        <w:spacing w:after="120"/>
        <w:rPr>
          <w:spacing w:val="-2"/>
        </w:rPr>
      </w:pPr>
      <w:r>
        <w:rPr>
          <w:spacing w:val="-2"/>
        </w:rPr>
        <w:t>Businesses stating</w:t>
      </w:r>
      <w:r w:rsidR="009A2189">
        <w:rPr>
          <w:spacing w:val="-2"/>
        </w:rPr>
        <w:t xml:space="preserve"> </w:t>
      </w:r>
      <w:r>
        <w:rPr>
          <w:spacing w:val="-2"/>
        </w:rPr>
        <w:t xml:space="preserve">performance this year </w:t>
      </w:r>
      <w:r w:rsidR="00A86169">
        <w:rPr>
          <w:spacing w:val="-2"/>
        </w:rPr>
        <w:t xml:space="preserve">is </w:t>
      </w:r>
      <w:r>
        <w:rPr>
          <w:spacing w:val="-2"/>
        </w:rPr>
        <w:t xml:space="preserve">worse than last year increased by 8 </w:t>
      </w:r>
      <w:r w:rsidR="00A86169">
        <w:rPr>
          <w:spacing w:val="-2"/>
        </w:rPr>
        <w:t xml:space="preserve">ppt </w:t>
      </w:r>
      <w:r>
        <w:rPr>
          <w:spacing w:val="-2"/>
        </w:rPr>
        <w:t xml:space="preserve">to 20% </w:t>
      </w:r>
      <w:r w:rsidR="004661A3">
        <w:rPr>
          <w:spacing w:val="-2"/>
        </w:rPr>
        <w:t xml:space="preserve">in the June </w:t>
      </w:r>
      <w:r>
        <w:rPr>
          <w:spacing w:val="-2"/>
        </w:rPr>
        <w:t>quarter</w:t>
      </w:r>
      <w:r w:rsidR="004661A3">
        <w:rPr>
          <w:spacing w:val="-2"/>
        </w:rPr>
        <w:t>,</w:t>
      </w:r>
      <w:r w:rsidR="00A71907">
        <w:rPr>
          <w:spacing w:val="-2"/>
        </w:rPr>
        <w:t xml:space="preserve"> </w:t>
      </w:r>
      <w:r w:rsidR="004661A3">
        <w:rPr>
          <w:spacing w:val="-2"/>
        </w:rPr>
        <w:t>the highest level since 2020</w:t>
      </w:r>
      <w:r w:rsidR="00A71DD4">
        <w:rPr>
          <w:spacing w:val="-2"/>
        </w:rPr>
        <w:t xml:space="preserve"> (Chart 3)</w:t>
      </w:r>
      <w:r w:rsidR="004661A3">
        <w:rPr>
          <w:spacing w:val="-2"/>
        </w:rPr>
        <w:t xml:space="preserve">. This follows a 6 ppt increase the previous quarter (March 2023) coming </w:t>
      </w:r>
      <w:r w:rsidR="00A8171C">
        <w:rPr>
          <w:spacing w:val="-2"/>
        </w:rPr>
        <w:t xml:space="preserve">off </w:t>
      </w:r>
      <w:r w:rsidR="004661A3">
        <w:rPr>
          <w:spacing w:val="-2"/>
        </w:rPr>
        <w:t>the low point in the series (7% in the December quarter 2022)</w:t>
      </w:r>
      <w:r>
        <w:rPr>
          <w:spacing w:val="-2"/>
        </w:rPr>
        <w:t xml:space="preserve">. 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EF2D64" w14:paraId="37443132" w14:textId="77777777" w:rsidTr="00A94CBF">
        <w:tc>
          <w:tcPr>
            <w:tcW w:w="10308" w:type="dxa"/>
          </w:tcPr>
          <w:p w14:paraId="650CCDE8" w14:textId="17113FB4" w:rsidR="00EF2D64" w:rsidRPr="00782660" w:rsidRDefault="00EF2D64" w:rsidP="00AB5FCC">
            <w:pPr>
              <w:jc w:val="center"/>
              <w:rPr>
                <w:b/>
                <w:sz w:val="20"/>
                <w:szCs w:val="20"/>
              </w:rPr>
            </w:pPr>
            <w:r w:rsidRPr="00782660">
              <w:rPr>
                <w:b/>
                <w:sz w:val="20"/>
                <w:szCs w:val="20"/>
              </w:rPr>
              <w:t>Chart 3</w:t>
            </w:r>
          </w:p>
        </w:tc>
      </w:tr>
      <w:tr w:rsidR="00EF2D64" w14:paraId="4235892A" w14:textId="77777777" w:rsidTr="00A94CBF">
        <w:tc>
          <w:tcPr>
            <w:tcW w:w="10308" w:type="dxa"/>
          </w:tcPr>
          <w:p w14:paraId="4E2024ED" w14:textId="656F4BFE" w:rsidR="00EF2D64" w:rsidRPr="00782660" w:rsidRDefault="006A4E4D">
            <w:pPr>
              <w:spacing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="00EF2D64" w:rsidRPr="00782660">
              <w:rPr>
                <w:b/>
                <w:sz w:val="20"/>
                <w:szCs w:val="20"/>
              </w:rPr>
              <w:t xml:space="preserve">usiness </w:t>
            </w:r>
            <w:r w:rsidR="00A94CBF" w:rsidRPr="00782660">
              <w:rPr>
                <w:b/>
                <w:sz w:val="20"/>
                <w:szCs w:val="20"/>
              </w:rPr>
              <w:t>p</w:t>
            </w:r>
            <w:r w:rsidR="00EF2D64" w:rsidRPr="00782660">
              <w:rPr>
                <w:b/>
                <w:sz w:val="20"/>
                <w:szCs w:val="20"/>
              </w:rPr>
              <w:t>erformance</w:t>
            </w:r>
            <w:r w:rsidR="0074250B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comparing this year to last</w:t>
            </w:r>
            <w:r w:rsidR="0074250B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by quarter (%)</w:t>
            </w:r>
          </w:p>
        </w:tc>
      </w:tr>
      <w:tr w:rsidR="00EF2D64" w14:paraId="023D6C6C" w14:textId="77777777" w:rsidTr="00A94CBF">
        <w:tc>
          <w:tcPr>
            <w:tcW w:w="10308" w:type="dxa"/>
          </w:tcPr>
          <w:p w14:paraId="1ADBEDC5" w14:textId="247E3DEF" w:rsidR="00EF2D64" w:rsidRDefault="00A8171C" w:rsidP="00EF2D64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163B8B37" wp14:editId="6BF6FAF2">
                  <wp:extent cx="4433397" cy="3194656"/>
                  <wp:effectExtent l="0" t="0" r="5715" b="635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8259" cy="32269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0A9342" w14:textId="6145E6C9" w:rsidR="00795C02" w:rsidRPr="00886A99" w:rsidRDefault="0017100B" w:rsidP="00FF567E">
      <w:pPr>
        <w:pStyle w:val="Heading1"/>
        <w:spacing w:after="120"/>
      </w:pPr>
      <w:r w:rsidRPr="00886A99">
        <w:lastRenderedPageBreak/>
        <w:t>Customer relations and b</w:t>
      </w:r>
      <w:r w:rsidR="00F977F7" w:rsidRPr="00886A99">
        <w:t xml:space="preserve">usiness opportunities drive </w:t>
      </w:r>
      <w:r w:rsidR="008E75A8" w:rsidRPr="00886A99">
        <w:t>confidence</w:t>
      </w:r>
    </w:p>
    <w:p w14:paraId="147489E5" w14:textId="0F611E49" w:rsidR="00EF2D64" w:rsidRDefault="002166F7" w:rsidP="008430AE">
      <w:r>
        <w:t>Consistent with recent quarters</w:t>
      </w:r>
      <w:r w:rsidR="0017100B" w:rsidRPr="002166F7">
        <w:t>,</w:t>
      </w:r>
      <w:r w:rsidR="009B4230" w:rsidRPr="002166F7">
        <w:t xml:space="preserve"> the key reasons cited for business confidence </w:t>
      </w:r>
      <w:r>
        <w:t>in the June</w:t>
      </w:r>
      <w:r w:rsidRPr="002166F7">
        <w:t xml:space="preserve"> </w:t>
      </w:r>
      <w:r w:rsidR="009B4230" w:rsidRPr="002166F7">
        <w:t>quarter</w:t>
      </w:r>
      <w:r>
        <w:t xml:space="preserve"> 2023</w:t>
      </w:r>
      <w:r w:rsidR="009B4230" w:rsidRPr="002166F7">
        <w:t xml:space="preserve"> </w:t>
      </w:r>
      <w:r w:rsidR="00F57EF7" w:rsidRPr="002166F7">
        <w:t xml:space="preserve">were </w:t>
      </w:r>
      <w:r w:rsidR="009B4230" w:rsidRPr="002166F7">
        <w:t>‘</w:t>
      </w:r>
      <w:r w:rsidR="0017100B" w:rsidRPr="002166F7">
        <w:t>strong customer relations</w:t>
      </w:r>
      <w:r w:rsidR="009B4230" w:rsidRPr="002166F7">
        <w:t>’, ‘</w:t>
      </w:r>
      <w:r w:rsidR="0017100B" w:rsidRPr="002166F7">
        <w:t>business opportunity</w:t>
      </w:r>
      <w:r w:rsidR="009B4230" w:rsidRPr="002166F7">
        <w:t>’ and ‘strong market position’</w:t>
      </w:r>
      <w:r w:rsidR="00A573D9" w:rsidRPr="002166F7">
        <w:t xml:space="preserve"> (Chart 4)</w:t>
      </w:r>
      <w:r w:rsidR="009B4230" w:rsidRPr="002166F7">
        <w:t xml:space="preserve">. </w:t>
      </w:r>
      <w:r w:rsidR="008A7933">
        <w:t>Around 35% of businesses c</w:t>
      </w:r>
      <w:r w:rsidR="00A14039" w:rsidRPr="002166F7">
        <w:t xml:space="preserve">ited ‘business opportunity’ </w:t>
      </w:r>
      <w:r w:rsidR="008A7933">
        <w:t>as a reason for</w:t>
      </w:r>
      <w:r w:rsidR="00A14039" w:rsidRPr="002166F7">
        <w:t xml:space="preserve"> confidence this quarter</w:t>
      </w:r>
      <w:r w:rsidR="008A7933">
        <w:t>, in line with the historical average, but down from the high point in the series one year ago (49%). This is consistent with Territory final demand growth</w:t>
      </w:r>
      <w:r w:rsidR="00A80913">
        <w:t xml:space="preserve"> – </w:t>
      </w:r>
      <w:r w:rsidR="008A7933">
        <w:t xml:space="preserve">still positive but moderating </w:t>
      </w:r>
      <w:r w:rsidR="00A14039" w:rsidRPr="002166F7">
        <w:t>in</w:t>
      </w:r>
      <w:r w:rsidR="008A7933">
        <w:t xml:space="preserve"> 2023</w:t>
      </w:r>
      <w:r w:rsidR="004D002B">
        <w:t xml:space="preserve"> after strong growth in 2022</w:t>
      </w:r>
      <w:r w:rsidR="008A7933">
        <w:t xml:space="preserve"> (Chart 5).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EF2D64" w14:paraId="261E1D7D" w14:textId="77777777" w:rsidTr="008430AE">
        <w:tc>
          <w:tcPr>
            <w:tcW w:w="10308" w:type="dxa"/>
          </w:tcPr>
          <w:p w14:paraId="4FDB2B6F" w14:textId="0D415AA8" w:rsidR="00EF2D64" w:rsidRPr="00782660" w:rsidRDefault="00EF2D64" w:rsidP="008430AE">
            <w:pPr>
              <w:jc w:val="center"/>
              <w:rPr>
                <w:b/>
                <w:sz w:val="20"/>
                <w:szCs w:val="20"/>
              </w:rPr>
            </w:pPr>
            <w:r w:rsidRPr="00782660">
              <w:rPr>
                <w:b/>
                <w:sz w:val="20"/>
                <w:szCs w:val="20"/>
              </w:rPr>
              <w:t>Chart 4</w:t>
            </w:r>
          </w:p>
        </w:tc>
      </w:tr>
      <w:tr w:rsidR="00EF2D64" w14:paraId="6E62B575" w14:textId="77777777" w:rsidTr="008430AE">
        <w:trPr>
          <w:trHeight w:val="147"/>
        </w:trPr>
        <w:tc>
          <w:tcPr>
            <w:tcW w:w="10308" w:type="dxa"/>
          </w:tcPr>
          <w:p w14:paraId="6C5E07EB" w14:textId="6561F880" w:rsidR="00EF2D64" w:rsidRPr="00782660" w:rsidRDefault="00EF2D64" w:rsidP="008430AE">
            <w:pPr>
              <w:jc w:val="center"/>
              <w:rPr>
                <w:b/>
                <w:sz w:val="20"/>
                <w:szCs w:val="20"/>
              </w:rPr>
            </w:pPr>
            <w:r w:rsidRPr="00782660">
              <w:rPr>
                <w:b/>
                <w:sz w:val="20"/>
                <w:szCs w:val="20"/>
              </w:rPr>
              <w:t>Reasons for confidence</w:t>
            </w:r>
            <w:r w:rsidR="003C19DB">
              <w:rPr>
                <w:b/>
                <w:sz w:val="20"/>
                <w:szCs w:val="20"/>
              </w:rPr>
              <w:t xml:space="preserve"> cited</w:t>
            </w:r>
            <w:r w:rsidR="008A7933">
              <w:rPr>
                <w:b/>
                <w:sz w:val="20"/>
                <w:szCs w:val="20"/>
              </w:rPr>
              <w:t>, share of businesses (%)</w:t>
            </w:r>
          </w:p>
        </w:tc>
      </w:tr>
      <w:tr w:rsidR="00EF2D64" w14:paraId="13907681" w14:textId="77777777" w:rsidTr="008430AE">
        <w:tc>
          <w:tcPr>
            <w:tcW w:w="10308" w:type="dxa"/>
          </w:tcPr>
          <w:p w14:paraId="62732A1E" w14:textId="7D27112E" w:rsidR="00EF2D64" w:rsidRDefault="00A80913" w:rsidP="00EF2D64">
            <w:pPr>
              <w:spacing w:after="60"/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70FF0D87" wp14:editId="149972C3">
                  <wp:extent cx="6282000" cy="2980800"/>
                  <wp:effectExtent l="0" t="0" r="508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2000" cy="2980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6B76AED" w14:textId="77777777" w:rsidR="00CC2789" w:rsidRDefault="00CC2789" w:rsidP="00B40EEB">
            <w:pPr>
              <w:spacing w:after="60"/>
            </w:pPr>
          </w:p>
          <w:p w14:paraId="7E3ECBBD" w14:textId="573C1326" w:rsidR="00A14039" w:rsidRDefault="00331F1F" w:rsidP="00B40EEB">
            <w:pPr>
              <w:spacing w:after="60"/>
            </w:pPr>
            <w:r w:rsidRPr="00627CE5">
              <w:t>In the June quarter 2023,</w:t>
            </w:r>
            <w:r>
              <w:t xml:space="preserve"> 23% of businesses reported ‘plenty of work coming up’ as a reason to be confident</w:t>
            </w:r>
            <w:r w:rsidR="009A2189">
              <w:t>, which is</w:t>
            </w:r>
            <w:r>
              <w:t xml:space="preserve"> </w:t>
            </w:r>
            <w:r w:rsidR="00B40EEB">
              <w:t xml:space="preserve">consistent with </w:t>
            </w:r>
            <w:r w:rsidR="00621312">
              <w:t xml:space="preserve">the </w:t>
            </w:r>
            <w:r w:rsidR="00B40EEB">
              <w:t xml:space="preserve">Territory’s final demand </w:t>
            </w:r>
            <w:r w:rsidR="00621312">
              <w:t xml:space="preserve">results in the year to March, including increases in </w:t>
            </w:r>
            <w:r w:rsidR="005F02A0">
              <w:t xml:space="preserve">private investment </w:t>
            </w:r>
            <w:r w:rsidR="00621312">
              <w:t>(</w:t>
            </w:r>
            <w:r w:rsidR="005F02A0">
              <w:t>7.9%</w:t>
            </w:r>
            <w:r w:rsidR="00621312">
              <w:t>)</w:t>
            </w:r>
            <w:r w:rsidR="005F02A0">
              <w:t xml:space="preserve"> and public investment </w:t>
            </w:r>
            <w:r w:rsidR="00621312">
              <w:t>(</w:t>
            </w:r>
            <w:r w:rsidR="005F02A0">
              <w:t>14.3%</w:t>
            </w:r>
            <w:r w:rsidR="00621312">
              <w:t>)</w:t>
            </w:r>
            <w:r w:rsidR="00B40EEB">
              <w:t xml:space="preserve">. </w:t>
            </w:r>
            <w:r w:rsidR="00621312">
              <w:t xml:space="preserve">Further, building work yet to </w:t>
            </w:r>
            <w:proofErr w:type="gramStart"/>
            <w:r w:rsidR="00621312">
              <w:t>be done</w:t>
            </w:r>
            <w:proofErr w:type="gramEnd"/>
            <w:r w:rsidR="00621312">
              <w:t xml:space="preserve"> – a forward indicator of construction activity – has been trending up since 2020 and was valued at $1.14 billion in the March quarter, strongly supported by non</w:t>
            </w:r>
            <w:r w:rsidR="00621312">
              <w:noBreakHyphen/>
              <w:t xml:space="preserve">residential works </w:t>
            </w:r>
            <w:r w:rsidR="003F49D2">
              <w:t>(Chart 6).</w:t>
            </w:r>
          </w:p>
          <w:tbl>
            <w:tblPr>
              <w:tblStyle w:val="TableGridLigh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41"/>
              <w:gridCol w:w="5041"/>
            </w:tblGrid>
            <w:tr w:rsidR="005F02A0" w14:paraId="5632AB64" w14:textId="77777777" w:rsidTr="003F49D2">
              <w:tc>
                <w:tcPr>
                  <w:tcW w:w="5041" w:type="dxa"/>
                </w:tcPr>
                <w:p w14:paraId="4D0E97D3" w14:textId="6B9410AE" w:rsidR="005F02A0" w:rsidRDefault="003F49D2" w:rsidP="00AB5FCC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Chart 5</w:t>
                  </w:r>
                </w:p>
                <w:p w14:paraId="0BBC0F38" w14:textId="77777777" w:rsidR="003F49D2" w:rsidRDefault="003F49D2" w:rsidP="003F49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Territory state final demand</w:t>
                  </w:r>
                </w:p>
                <w:p w14:paraId="16DA46E7" w14:textId="63E4EE32" w:rsidR="003F49D2" w:rsidRPr="004D002B" w:rsidRDefault="003F49D2" w:rsidP="00627CE5">
                  <w:pPr>
                    <w:jc w:val="center"/>
                    <w:rPr>
                      <w:sz w:val="16"/>
                      <w:szCs w:val="16"/>
                    </w:rPr>
                  </w:pPr>
                  <w:r w:rsidRPr="00627CE5">
                    <w:rPr>
                      <w:sz w:val="16"/>
                      <w:szCs w:val="16"/>
                    </w:rPr>
                    <w:t>Component</w:t>
                  </w:r>
                  <w:r w:rsidR="004D002B" w:rsidRPr="00627CE5">
                    <w:rPr>
                      <w:sz w:val="16"/>
                      <w:szCs w:val="16"/>
                    </w:rPr>
                    <w:t xml:space="preserve"> contribution</w:t>
                  </w:r>
                  <w:r w:rsidRPr="00627CE5">
                    <w:rPr>
                      <w:sz w:val="16"/>
                      <w:szCs w:val="16"/>
                    </w:rPr>
                    <w:t xml:space="preserve">, year-on-year </w:t>
                  </w:r>
                  <w:r w:rsidR="004D002B" w:rsidRPr="004D002B">
                    <w:rPr>
                      <w:sz w:val="16"/>
                      <w:szCs w:val="16"/>
                    </w:rPr>
                    <w:t>growth (%)</w:t>
                  </w:r>
                </w:p>
              </w:tc>
              <w:tc>
                <w:tcPr>
                  <w:tcW w:w="5041" w:type="dxa"/>
                </w:tcPr>
                <w:p w14:paraId="0CD3E112" w14:textId="56A5DC2D" w:rsidR="005F02A0" w:rsidRDefault="003F49D2" w:rsidP="00AB5FCC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Chart 6</w:t>
                  </w:r>
                </w:p>
                <w:p w14:paraId="779E2F6E" w14:textId="6092CE27" w:rsidR="003F49D2" w:rsidRDefault="00332920" w:rsidP="003F49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Value of b</w:t>
                  </w:r>
                  <w:r w:rsidR="004D002B">
                    <w:rPr>
                      <w:b/>
                      <w:sz w:val="20"/>
                      <w:szCs w:val="20"/>
                    </w:rPr>
                    <w:t xml:space="preserve">uilding </w:t>
                  </w:r>
                  <w:r w:rsidR="003F49D2">
                    <w:rPr>
                      <w:b/>
                      <w:sz w:val="20"/>
                      <w:szCs w:val="20"/>
                    </w:rPr>
                    <w:t xml:space="preserve">work </w:t>
                  </w:r>
                  <w:r w:rsidR="004D002B">
                    <w:rPr>
                      <w:b/>
                      <w:sz w:val="20"/>
                      <w:szCs w:val="20"/>
                    </w:rPr>
                    <w:t xml:space="preserve">yet to be </w:t>
                  </w:r>
                  <w:r w:rsidR="003F49D2">
                    <w:rPr>
                      <w:b/>
                      <w:sz w:val="20"/>
                      <w:szCs w:val="20"/>
                    </w:rPr>
                    <w:t xml:space="preserve">done </w:t>
                  </w:r>
                </w:p>
                <w:p w14:paraId="4EDED8DE" w14:textId="7AFB8DC6" w:rsidR="003F49D2" w:rsidRPr="003F49D2" w:rsidRDefault="00332920" w:rsidP="00627CE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Quarterly</w:t>
                  </w:r>
                  <w:r w:rsidR="00BF525D">
                    <w:rPr>
                      <w:sz w:val="16"/>
                      <w:szCs w:val="16"/>
                    </w:rPr>
                    <w:t>, current prices ($M)</w:t>
                  </w:r>
                </w:p>
              </w:tc>
            </w:tr>
            <w:tr w:rsidR="005F02A0" w14:paraId="07EE3C9E" w14:textId="77777777" w:rsidTr="003F49D2">
              <w:tc>
                <w:tcPr>
                  <w:tcW w:w="5041" w:type="dxa"/>
                </w:tcPr>
                <w:p w14:paraId="70E606FF" w14:textId="1F7ADC71" w:rsidR="005F02A0" w:rsidRDefault="00275459" w:rsidP="00EF2D64">
                  <w:pPr>
                    <w:spacing w:after="60"/>
                    <w:jc w:val="center"/>
                  </w:pPr>
                  <w:r>
                    <w:rPr>
                      <w:noProof/>
                      <w:lang w:eastAsia="en-AU"/>
                    </w:rPr>
                    <w:drawing>
                      <wp:inline distT="0" distB="0" distL="0" distR="0" wp14:anchorId="22FACA8A" wp14:editId="7A045581">
                        <wp:extent cx="2833200" cy="2325600"/>
                        <wp:effectExtent l="0" t="0" r="5715" b="0"/>
                        <wp:docPr id="38" name="Picture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3200" cy="23256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41" w:type="dxa"/>
                </w:tcPr>
                <w:p w14:paraId="43A76583" w14:textId="7A13F28C" w:rsidR="005F02A0" w:rsidRDefault="00332920" w:rsidP="00EF2D64">
                  <w:pPr>
                    <w:spacing w:after="60"/>
                    <w:jc w:val="center"/>
                  </w:pPr>
                  <w:r>
                    <w:rPr>
                      <w:noProof/>
                      <w:lang w:eastAsia="en-AU"/>
                    </w:rPr>
                    <w:drawing>
                      <wp:inline distT="0" distB="0" distL="0" distR="0" wp14:anchorId="246A3869" wp14:editId="4F4E5B78">
                        <wp:extent cx="2833200" cy="2325600"/>
                        <wp:effectExtent l="0" t="0" r="5715" b="0"/>
                        <wp:docPr id="43" name="Picture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3200" cy="23256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BD849B4" w14:textId="2ED125B9" w:rsidR="00A14039" w:rsidRDefault="00A14039" w:rsidP="00C25549">
            <w:pPr>
              <w:spacing w:after="60"/>
            </w:pPr>
          </w:p>
        </w:tc>
      </w:tr>
    </w:tbl>
    <w:p w14:paraId="1DE26566" w14:textId="41A55E3F" w:rsidR="000D707A" w:rsidRDefault="007A482E" w:rsidP="009809DD">
      <w:pPr>
        <w:pStyle w:val="Heading1"/>
        <w:spacing w:after="120"/>
      </w:pPr>
      <w:r>
        <w:lastRenderedPageBreak/>
        <w:t>L</w:t>
      </w:r>
      <w:r w:rsidR="00F109FE">
        <w:t>abour shortage</w:t>
      </w:r>
      <w:r w:rsidR="00970F67">
        <w:t>s</w:t>
      </w:r>
      <w:r w:rsidR="00F109FE">
        <w:t xml:space="preserve"> and rising costs </w:t>
      </w:r>
      <w:r w:rsidR="008E75A8">
        <w:t>are concerns</w:t>
      </w:r>
    </w:p>
    <w:p w14:paraId="4CAB9346" w14:textId="19A6B82C" w:rsidR="00294A06" w:rsidRDefault="00E30D7F" w:rsidP="004F3864">
      <w:r>
        <w:t xml:space="preserve">A ‘lack of suitably skilled workers’ remains the most commonly cited reason </w:t>
      </w:r>
      <w:r w:rsidR="00AB5FCC">
        <w:t>for concern in the June quarter</w:t>
      </w:r>
      <w:r w:rsidR="00007746">
        <w:t> </w:t>
      </w:r>
      <w:r>
        <w:t xml:space="preserve">2023, though this has eased significantly from the previous quarter and the year prior (Chart 7). These response levels are consistent with ABS reported job vacancies, which </w:t>
      </w:r>
      <w:r w:rsidR="00606344">
        <w:t>have fallen from the peak</w:t>
      </w:r>
      <w:r>
        <w:t xml:space="preserve"> in </w:t>
      </w:r>
      <w:r w:rsidR="00606344">
        <w:t xml:space="preserve">early </w:t>
      </w:r>
      <w:r>
        <w:t>2022</w:t>
      </w:r>
      <w:r w:rsidR="00AB5FCC">
        <w:t>,</w:t>
      </w:r>
      <w:r w:rsidR="00606344">
        <w:t xml:space="preserve"> but </w:t>
      </w:r>
      <w:r w:rsidR="00AB5FCC">
        <w:t>are still</w:t>
      </w:r>
      <w:r w:rsidR="00606344">
        <w:t xml:space="preserve"> well above the historical average (Chart 8). 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EF2D64" w14:paraId="22325229" w14:textId="77777777" w:rsidTr="00A94CBF">
        <w:tc>
          <w:tcPr>
            <w:tcW w:w="10308" w:type="dxa"/>
          </w:tcPr>
          <w:p w14:paraId="02FF9636" w14:textId="014B656F" w:rsidR="00EF2D64" w:rsidRPr="00782660" w:rsidRDefault="006C5C43" w:rsidP="00D35A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Chart 7</w:t>
            </w:r>
          </w:p>
        </w:tc>
      </w:tr>
      <w:tr w:rsidR="00EF2D64" w14:paraId="6F76CC7D" w14:textId="77777777" w:rsidTr="00A94CBF">
        <w:tc>
          <w:tcPr>
            <w:tcW w:w="10308" w:type="dxa"/>
          </w:tcPr>
          <w:p w14:paraId="7F86BFBE" w14:textId="32E289C0" w:rsidR="00EF2D64" w:rsidRPr="00782660" w:rsidRDefault="00173427">
            <w:pPr>
              <w:jc w:val="center"/>
              <w:rPr>
                <w:b/>
                <w:sz w:val="20"/>
                <w:szCs w:val="20"/>
              </w:rPr>
            </w:pPr>
            <w:r w:rsidRPr="00782660">
              <w:rPr>
                <w:b/>
                <w:sz w:val="20"/>
                <w:szCs w:val="20"/>
              </w:rPr>
              <w:t xml:space="preserve">Reasons for </w:t>
            </w:r>
            <w:r>
              <w:rPr>
                <w:b/>
                <w:sz w:val="20"/>
                <w:szCs w:val="20"/>
              </w:rPr>
              <w:t>worry cited, share of businesses (%)</w:t>
            </w:r>
          </w:p>
        </w:tc>
      </w:tr>
      <w:tr w:rsidR="00EF2D64" w14:paraId="16444B52" w14:textId="77777777" w:rsidTr="00A94CBF">
        <w:tc>
          <w:tcPr>
            <w:tcW w:w="10308" w:type="dxa"/>
          </w:tcPr>
          <w:p w14:paraId="49985854" w14:textId="37CB51EF" w:rsidR="00EF2D64" w:rsidRDefault="0057254D" w:rsidP="00D35AAE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18D7461F" wp14:editId="77CC4F0D">
                  <wp:extent cx="6138487" cy="290215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9184" cy="29072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023C6EA" w14:textId="03E85AC6" w:rsidR="00D257A0" w:rsidRDefault="005B0C33" w:rsidP="00AB5FCC">
            <w:pPr>
              <w:spacing w:before="120"/>
            </w:pPr>
            <w:r>
              <w:t xml:space="preserve">Almost 11% of businesses cited </w:t>
            </w:r>
            <w:r w:rsidR="00EB22C5">
              <w:t>‘increasing business costs’ a</w:t>
            </w:r>
            <w:r w:rsidR="009A2189">
              <w:t>s a reason for being worried,</w:t>
            </w:r>
            <w:r w:rsidR="00EB22C5">
              <w:t xml:space="preserve"> </w:t>
            </w:r>
            <w:r w:rsidR="000B107F">
              <w:t>an increase</w:t>
            </w:r>
            <w:r>
              <w:t xml:space="preserve"> in </w:t>
            </w:r>
            <w:r w:rsidR="00EB22C5">
              <w:t>both quarterly and through the year terms</w:t>
            </w:r>
            <w:r>
              <w:t>, and the highest level observed in the series</w:t>
            </w:r>
            <w:r w:rsidR="00EB22C5">
              <w:t>.</w:t>
            </w:r>
            <w:r>
              <w:t xml:space="preserve"> </w:t>
            </w:r>
            <w:r w:rsidR="009A2189">
              <w:t>Supply chain disruption and high</w:t>
            </w:r>
            <w:r w:rsidR="00247B3D">
              <w:t>er</w:t>
            </w:r>
            <w:r w:rsidR="009A2189">
              <w:t xml:space="preserve"> fuel prices resulting </w:t>
            </w:r>
            <w:r w:rsidR="00EB22C5">
              <w:t xml:space="preserve">from </w:t>
            </w:r>
            <w:r w:rsidR="00247B3D">
              <w:t xml:space="preserve">the return of global demand </w:t>
            </w:r>
            <w:r w:rsidR="009A2189">
              <w:t>have contributed to the increased cost of raw material</w:t>
            </w:r>
            <w:r w:rsidR="00247B3D">
              <w:t>s</w:t>
            </w:r>
            <w:r w:rsidR="00EB22C5">
              <w:t xml:space="preserve">. </w:t>
            </w:r>
            <w:r w:rsidR="009A2189">
              <w:t>I</w:t>
            </w:r>
            <w:r w:rsidR="00EB22C5">
              <w:t>ndustries</w:t>
            </w:r>
            <w:r w:rsidR="00247B3D">
              <w:t xml:space="preserve"> in Australia such as</w:t>
            </w:r>
            <w:r w:rsidR="00EB22C5">
              <w:t xml:space="preserve"> manufacturing </w:t>
            </w:r>
            <w:r w:rsidR="009A2189">
              <w:t>have faced heightened costs</w:t>
            </w:r>
            <w:r>
              <w:t xml:space="preserve"> for</w:t>
            </w:r>
            <w:r w:rsidR="009A2189">
              <w:t xml:space="preserve"> </w:t>
            </w:r>
            <w:r>
              <w:t xml:space="preserve">inputs to production, notably </w:t>
            </w:r>
            <w:r w:rsidR="009A2189">
              <w:t xml:space="preserve">for imported materials </w:t>
            </w:r>
            <w:r>
              <w:t>(Chart 9)</w:t>
            </w:r>
            <w:r w:rsidR="00247B3D">
              <w:t>, that have been passed on to consumers and businesses</w:t>
            </w:r>
            <w:r w:rsidR="009A2189">
              <w:t>.</w:t>
            </w:r>
            <w:r w:rsidR="00763A47">
              <w:t xml:space="preserve"> </w:t>
            </w:r>
            <w:r w:rsidR="009A2189">
              <w:t xml:space="preserve">However, </w:t>
            </w:r>
            <w:r w:rsidR="000F3485">
              <w:t xml:space="preserve">following two years of significant growth, the World Bank expects commodity prices overall to decrease by 21% </w:t>
            </w:r>
            <w:r w:rsidR="000B107F">
              <w:t>in</w:t>
            </w:r>
            <w:r w:rsidR="000F3485">
              <w:t xml:space="preserve"> 2023 before stabilising in 2024</w:t>
            </w:r>
            <w:r w:rsidR="00763A47">
              <w:t>.</w:t>
            </w:r>
          </w:p>
          <w:tbl>
            <w:tblPr>
              <w:tblStyle w:val="TableGridLigh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41"/>
              <w:gridCol w:w="5041"/>
            </w:tblGrid>
            <w:tr w:rsidR="00DE67CA" w14:paraId="7916CDEF" w14:textId="77777777" w:rsidTr="005E547C">
              <w:tc>
                <w:tcPr>
                  <w:tcW w:w="5041" w:type="dxa"/>
                </w:tcPr>
                <w:p w14:paraId="0D97CA66" w14:textId="401CD9D2" w:rsidR="005E547C" w:rsidRDefault="005E547C" w:rsidP="00AB5FCC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Chart 8</w:t>
                  </w:r>
                </w:p>
                <w:p w14:paraId="133C7610" w14:textId="2F85B3AC" w:rsidR="005E547C" w:rsidRDefault="005A596D" w:rsidP="005E547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J</w:t>
                  </w:r>
                  <w:r w:rsidR="005E547C">
                    <w:rPr>
                      <w:b/>
                      <w:sz w:val="20"/>
                      <w:szCs w:val="20"/>
                    </w:rPr>
                    <w:t>ob vacancies</w:t>
                  </w:r>
                  <w:r>
                    <w:rPr>
                      <w:b/>
                      <w:sz w:val="20"/>
                      <w:szCs w:val="20"/>
                    </w:rPr>
                    <w:t xml:space="preserve"> and </w:t>
                  </w:r>
                  <w:r w:rsidR="00AB5FCC">
                    <w:rPr>
                      <w:b/>
                      <w:sz w:val="20"/>
                      <w:szCs w:val="20"/>
                    </w:rPr>
                    <w:t>‘</w:t>
                  </w:r>
                  <w:r>
                    <w:rPr>
                      <w:b/>
                      <w:sz w:val="20"/>
                      <w:szCs w:val="20"/>
                    </w:rPr>
                    <w:t>labour concerns</w:t>
                  </w:r>
                  <w:r w:rsidR="00AB5FCC">
                    <w:rPr>
                      <w:b/>
                      <w:sz w:val="20"/>
                      <w:szCs w:val="20"/>
                    </w:rPr>
                    <w:t>’</w:t>
                  </w:r>
                </w:p>
                <w:p w14:paraId="69325035" w14:textId="02957889" w:rsidR="00DE67CA" w:rsidRDefault="005A596D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Vacancies (000); share of businesses (%)</w:t>
                  </w:r>
                </w:p>
              </w:tc>
              <w:tc>
                <w:tcPr>
                  <w:tcW w:w="5041" w:type="dxa"/>
                </w:tcPr>
                <w:p w14:paraId="6E94C9CB" w14:textId="7CC44E2F" w:rsidR="005E547C" w:rsidRDefault="005E547C" w:rsidP="00AB5FCC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Chart 9</w:t>
                  </w:r>
                </w:p>
                <w:p w14:paraId="5D0E6914" w14:textId="68B8434D" w:rsidR="005E547C" w:rsidRDefault="00CC1DCA" w:rsidP="005E547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Input</w:t>
                  </w:r>
                  <w:r w:rsidR="00B50B43">
                    <w:rPr>
                      <w:b/>
                      <w:sz w:val="20"/>
                      <w:szCs w:val="20"/>
                    </w:rPr>
                    <w:t xml:space="preserve"> prices</w:t>
                  </w:r>
                  <w:r>
                    <w:rPr>
                      <w:b/>
                      <w:sz w:val="20"/>
                      <w:szCs w:val="20"/>
                    </w:rPr>
                    <w:t xml:space="preserve"> to m</w:t>
                  </w:r>
                  <w:r w:rsidR="005E547C">
                    <w:rPr>
                      <w:b/>
                      <w:sz w:val="20"/>
                      <w:szCs w:val="20"/>
                    </w:rPr>
                    <w:t xml:space="preserve">anufacturing </w:t>
                  </w:r>
                </w:p>
                <w:p w14:paraId="4A3BF445" w14:textId="766CBADE" w:rsidR="00DE67CA" w:rsidRDefault="005E547C" w:rsidP="005E547C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Year-on-year growth</w:t>
                  </w:r>
                  <w:r w:rsidR="00B50B43">
                    <w:rPr>
                      <w:sz w:val="16"/>
                      <w:szCs w:val="16"/>
                    </w:rPr>
                    <w:t xml:space="preserve"> (%)</w:t>
                  </w:r>
                </w:p>
              </w:tc>
            </w:tr>
            <w:tr w:rsidR="00DE67CA" w14:paraId="32766139" w14:textId="77777777" w:rsidTr="005E547C">
              <w:tc>
                <w:tcPr>
                  <w:tcW w:w="5041" w:type="dxa"/>
                </w:tcPr>
                <w:p w14:paraId="7AE745FA" w14:textId="7FFABD95" w:rsidR="00DE67CA" w:rsidRDefault="00CC1DCA" w:rsidP="00D35AAE">
                  <w:pPr>
                    <w:jc w:val="center"/>
                  </w:pPr>
                  <w:r>
                    <w:rPr>
                      <w:noProof/>
                      <w:lang w:eastAsia="en-AU"/>
                    </w:rPr>
                    <w:drawing>
                      <wp:inline distT="0" distB="0" distL="0" distR="0" wp14:anchorId="68D0432D" wp14:editId="4C0F956F">
                        <wp:extent cx="2833200" cy="2325600"/>
                        <wp:effectExtent l="0" t="0" r="5715" b="0"/>
                        <wp:docPr id="64" name="Picture 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3200" cy="23256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41" w:type="dxa"/>
                </w:tcPr>
                <w:p w14:paraId="15748747" w14:textId="1E78081E" w:rsidR="00DE67CA" w:rsidRDefault="005B0C33" w:rsidP="00D35AAE">
                  <w:pPr>
                    <w:jc w:val="center"/>
                  </w:pPr>
                  <w:r>
                    <w:rPr>
                      <w:noProof/>
                      <w:lang w:eastAsia="en-AU"/>
                    </w:rPr>
                    <w:drawing>
                      <wp:inline distT="0" distB="0" distL="0" distR="0" wp14:anchorId="528E4440" wp14:editId="2F19B8EE">
                        <wp:extent cx="2833200" cy="2325600"/>
                        <wp:effectExtent l="0" t="0" r="5715" b="0"/>
                        <wp:docPr id="68" name="Picture 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3200" cy="23256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B8FC9FA" w14:textId="32473BCA" w:rsidR="00DE67CA" w:rsidRDefault="00DE67CA" w:rsidP="00763A47"/>
        </w:tc>
      </w:tr>
    </w:tbl>
    <w:p w14:paraId="4F190103" w14:textId="03271D48" w:rsidR="0059156C" w:rsidRPr="006623FB" w:rsidRDefault="0059156C" w:rsidP="00CE0A97">
      <w:pPr>
        <w:pStyle w:val="Heading1"/>
        <w:spacing w:before="0" w:after="60"/>
      </w:pPr>
      <w:r w:rsidRPr="006623FB">
        <w:lastRenderedPageBreak/>
        <w:t>Business confidence and performance vary among the regions</w:t>
      </w:r>
    </w:p>
    <w:p w14:paraId="07F9E48B" w14:textId="2575D345" w:rsidR="00870E6E" w:rsidRPr="006623FB" w:rsidRDefault="00AF23DA" w:rsidP="00CE0A97">
      <w:pPr>
        <w:spacing w:after="120"/>
      </w:pPr>
      <w:r w:rsidRPr="006623FB">
        <w:t>Business confidence and performance var</w:t>
      </w:r>
      <w:r w:rsidR="00ED6C9E" w:rsidRPr="006623FB">
        <w:t>ies</w:t>
      </w:r>
      <w:r w:rsidRPr="006623FB">
        <w:t xml:space="preserve"> </w:t>
      </w:r>
      <w:r w:rsidR="00211B97" w:rsidRPr="006623FB">
        <w:t xml:space="preserve">by </w:t>
      </w:r>
      <w:r w:rsidRPr="006623FB">
        <w:t xml:space="preserve">region (Table 3). </w:t>
      </w:r>
      <w:r w:rsidR="009A7C1B" w:rsidRPr="006623FB">
        <w:t>Business confidence was</w:t>
      </w:r>
      <w:r w:rsidR="00D21491" w:rsidRPr="006623FB">
        <w:t xml:space="preserve"> </w:t>
      </w:r>
      <w:r w:rsidR="009A7C1B" w:rsidRPr="006623FB">
        <w:t xml:space="preserve">highest in the Barkly region </w:t>
      </w:r>
      <w:r w:rsidR="00ED6C9E" w:rsidRPr="006623FB">
        <w:t>in the</w:t>
      </w:r>
      <w:r w:rsidR="009A7C1B" w:rsidRPr="006623FB">
        <w:t xml:space="preserve"> </w:t>
      </w:r>
      <w:r w:rsidR="00855040">
        <w:t xml:space="preserve">June </w:t>
      </w:r>
      <w:r w:rsidR="009A7C1B" w:rsidRPr="006623FB">
        <w:t>quarter with a net balance of +</w:t>
      </w:r>
      <w:r w:rsidR="00E63D9C">
        <w:t>75</w:t>
      </w:r>
      <w:r w:rsidR="009A7C1B" w:rsidRPr="006623FB">
        <w:t>%</w:t>
      </w:r>
      <w:r w:rsidR="00211B97" w:rsidRPr="006623FB">
        <w:t xml:space="preserve">. </w:t>
      </w:r>
      <w:r w:rsidR="002D2748">
        <w:t xml:space="preserve">Daly-Tiwi-East Arnhem region recorded </w:t>
      </w:r>
      <w:r w:rsidR="00855040">
        <w:t>a 7 ppt</w:t>
      </w:r>
      <w:r w:rsidR="001F51B5">
        <w:t xml:space="preserve"> </w:t>
      </w:r>
      <w:r w:rsidR="002D2748">
        <w:t>inc</w:t>
      </w:r>
      <w:r w:rsidR="001F51B5">
        <w:t xml:space="preserve">rease in business confidence to </w:t>
      </w:r>
      <w:r w:rsidR="00AF27E3">
        <w:t>+</w:t>
      </w:r>
      <w:r w:rsidR="001F51B5">
        <w:t>68%,</w:t>
      </w:r>
      <w:r w:rsidR="002D2748">
        <w:t xml:space="preserve"> </w:t>
      </w:r>
      <w:r w:rsidR="00083EBF">
        <w:t xml:space="preserve">supported by </w:t>
      </w:r>
      <w:r w:rsidR="002D2748">
        <w:t>61% of businesses</w:t>
      </w:r>
      <w:r w:rsidR="00083EBF">
        <w:t xml:space="preserve"> in the region</w:t>
      </w:r>
      <w:r w:rsidR="002D2748">
        <w:t xml:space="preserve"> reporting better performance</w:t>
      </w:r>
      <w:r w:rsidR="00083EBF">
        <w:t xml:space="preserve"> on a year ago</w:t>
      </w:r>
      <w:r w:rsidR="002D2748">
        <w:t xml:space="preserve">, </w:t>
      </w:r>
      <w:r w:rsidR="00083EBF">
        <w:t>an increase of</w:t>
      </w:r>
      <w:r w:rsidR="002D2748">
        <w:t xml:space="preserve"> 25 </w:t>
      </w:r>
      <w:r w:rsidR="00083EBF">
        <w:t xml:space="preserve">ppt </w:t>
      </w:r>
      <w:r w:rsidR="00AF27E3">
        <w:t>from</w:t>
      </w:r>
      <w:r w:rsidR="00083EBF">
        <w:t xml:space="preserve"> the previous quarter</w:t>
      </w:r>
      <w:r w:rsidR="002D2748">
        <w:t>.</w:t>
      </w:r>
    </w:p>
    <w:p w14:paraId="5F61FA3E" w14:textId="11198774" w:rsidR="009F4C61" w:rsidRPr="00163F00" w:rsidRDefault="00870E6E">
      <w:pPr>
        <w:spacing w:after="120"/>
        <w:rPr>
          <w:spacing w:val="-2"/>
        </w:rPr>
      </w:pPr>
      <w:r w:rsidRPr="00163F00">
        <w:rPr>
          <w:spacing w:val="-2"/>
        </w:rPr>
        <w:t xml:space="preserve">Business confidence in </w:t>
      </w:r>
      <w:r w:rsidR="00CA4E98" w:rsidRPr="00163F00">
        <w:rPr>
          <w:spacing w:val="-2"/>
        </w:rPr>
        <w:t>Greater Darwin</w:t>
      </w:r>
      <w:r w:rsidRPr="00163F00">
        <w:rPr>
          <w:spacing w:val="-2"/>
        </w:rPr>
        <w:t xml:space="preserve"> declined by 2</w:t>
      </w:r>
      <w:r w:rsidR="00CA4E98" w:rsidRPr="00163F00">
        <w:rPr>
          <w:spacing w:val="-2"/>
        </w:rPr>
        <w:t>9</w:t>
      </w:r>
      <w:r w:rsidRPr="00163F00">
        <w:rPr>
          <w:spacing w:val="-2"/>
        </w:rPr>
        <w:t xml:space="preserve"> </w:t>
      </w:r>
      <w:r w:rsidR="00CF00E6" w:rsidRPr="00163F00">
        <w:rPr>
          <w:spacing w:val="-2"/>
        </w:rPr>
        <w:t>ppt</w:t>
      </w:r>
      <w:r w:rsidRPr="00163F00">
        <w:rPr>
          <w:spacing w:val="-2"/>
        </w:rPr>
        <w:t xml:space="preserve"> </w:t>
      </w:r>
      <w:r w:rsidR="00211B97" w:rsidRPr="00163F00">
        <w:rPr>
          <w:spacing w:val="-2"/>
        </w:rPr>
        <w:t>in the</w:t>
      </w:r>
      <w:r w:rsidRPr="00163F00">
        <w:rPr>
          <w:spacing w:val="-2"/>
        </w:rPr>
        <w:t xml:space="preserve"> quarter to a net balance of +</w:t>
      </w:r>
      <w:r w:rsidR="00CA4E98" w:rsidRPr="00163F00">
        <w:rPr>
          <w:spacing w:val="-2"/>
        </w:rPr>
        <w:t>39</w:t>
      </w:r>
      <w:r w:rsidRPr="00163F00">
        <w:rPr>
          <w:spacing w:val="-2"/>
        </w:rPr>
        <w:t xml:space="preserve">%, </w:t>
      </w:r>
      <w:r w:rsidR="002D2748" w:rsidRPr="00163F00">
        <w:rPr>
          <w:spacing w:val="-2"/>
        </w:rPr>
        <w:t xml:space="preserve">the weakest </w:t>
      </w:r>
      <w:r w:rsidR="009A2189" w:rsidRPr="00163F00">
        <w:rPr>
          <w:spacing w:val="-2"/>
        </w:rPr>
        <w:t xml:space="preserve">level observed since the </w:t>
      </w:r>
      <w:r w:rsidR="007E1048" w:rsidRPr="00163F00">
        <w:rPr>
          <w:spacing w:val="-2"/>
        </w:rPr>
        <w:t>onset of the pandemic</w:t>
      </w:r>
      <w:r w:rsidRPr="00163F00">
        <w:rPr>
          <w:spacing w:val="-2"/>
        </w:rPr>
        <w:t xml:space="preserve">. </w:t>
      </w:r>
      <w:proofErr w:type="gramStart"/>
      <w:r w:rsidR="009A2189" w:rsidRPr="00163F00">
        <w:rPr>
          <w:spacing w:val="-2"/>
        </w:rPr>
        <w:t>43%</w:t>
      </w:r>
      <w:proofErr w:type="gramEnd"/>
      <w:r w:rsidR="009A2189" w:rsidRPr="00163F00">
        <w:rPr>
          <w:spacing w:val="-2"/>
        </w:rPr>
        <w:t xml:space="preserve"> of </w:t>
      </w:r>
      <w:r w:rsidR="00C11BA8">
        <w:rPr>
          <w:spacing w:val="-2"/>
        </w:rPr>
        <w:t xml:space="preserve">Darwin </w:t>
      </w:r>
      <w:r w:rsidR="009A2189" w:rsidRPr="00163F00">
        <w:rPr>
          <w:spacing w:val="-2"/>
        </w:rPr>
        <w:t xml:space="preserve">businesses </w:t>
      </w:r>
      <w:r w:rsidR="004D0208" w:rsidRPr="00163F00">
        <w:rPr>
          <w:spacing w:val="-2"/>
        </w:rPr>
        <w:t>report</w:t>
      </w:r>
      <w:r w:rsidR="00C11BA8">
        <w:rPr>
          <w:spacing w:val="-2"/>
        </w:rPr>
        <w:t>ed</w:t>
      </w:r>
      <w:r w:rsidR="004D0208" w:rsidRPr="00163F00">
        <w:rPr>
          <w:spacing w:val="-2"/>
        </w:rPr>
        <w:t xml:space="preserve"> </w:t>
      </w:r>
      <w:r w:rsidR="009A2189" w:rsidRPr="00163F00">
        <w:rPr>
          <w:spacing w:val="-2"/>
        </w:rPr>
        <w:t xml:space="preserve">better performance compared to last year, </w:t>
      </w:r>
      <w:r w:rsidR="00137C8E" w:rsidRPr="00163F00">
        <w:rPr>
          <w:spacing w:val="-2"/>
        </w:rPr>
        <w:t>a decrease of 11 ppt</w:t>
      </w:r>
      <w:r w:rsidR="004D0208">
        <w:rPr>
          <w:spacing w:val="-2"/>
        </w:rPr>
        <w:t xml:space="preserve"> </w:t>
      </w:r>
      <w:r w:rsidR="00183276">
        <w:rPr>
          <w:spacing w:val="-2"/>
        </w:rPr>
        <w:t xml:space="preserve">in the </w:t>
      </w:r>
      <w:r w:rsidR="004D0208">
        <w:rPr>
          <w:spacing w:val="-2"/>
        </w:rPr>
        <w:t>quarter and 18 ppt annually</w:t>
      </w:r>
      <w:r w:rsidRPr="00163F00">
        <w:rPr>
          <w:spacing w:val="-2"/>
        </w:rPr>
        <w:t xml:space="preserve">. </w:t>
      </w:r>
      <w:r w:rsidR="002D2748" w:rsidRPr="00163F00">
        <w:rPr>
          <w:spacing w:val="-2"/>
        </w:rPr>
        <w:t xml:space="preserve">Macroeconomic </w:t>
      </w:r>
      <w:r w:rsidR="003C2EFC" w:rsidRPr="00163F00">
        <w:rPr>
          <w:spacing w:val="-2"/>
        </w:rPr>
        <w:t xml:space="preserve">conditions </w:t>
      </w:r>
      <w:r w:rsidR="00390440">
        <w:rPr>
          <w:spacing w:val="-2"/>
        </w:rPr>
        <w:t xml:space="preserve">have </w:t>
      </w:r>
      <w:r w:rsidR="00C11BA8">
        <w:rPr>
          <w:spacing w:val="-2"/>
        </w:rPr>
        <w:t>affected</w:t>
      </w:r>
      <w:r w:rsidR="002D2748" w:rsidRPr="00163F00">
        <w:rPr>
          <w:spacing w:val="-2"/>
        </w:rPr>
        <w:t xml:space="preserve"> </w:t>
      </w:r>
      <w:r w:rsidR="00183276">
        <w:rPr>
          <w:spacing w:val="-2"/>
        </w:rPr>
        <w:t xml:space="preserve">consumer sentiment and </w:t>
      </w:r>
      <w:r w:rsidR="002D2748" w:rsidRPr="00163F00">
        <w:rPr>
          <w:spacing w:val="-2"/>
        </w:rPr>
        <w:t>business</w:t>
      </w:r>
      <w:r w:rsidR="00183276">
        <w:rPr>
          <w:spacing w:val="-2"/>
        </w:rPr>
        <w:t xml:space="preserve"> confidence broadly across the </w:t>
      </w:r>
      <w:r w:rsidR="002D2748" w:rsidRPr="00163F00">
        <w:rPr>
          <w:spacing w:val="-2"/>
        </w:rPr>
        <w:t>Territory</w:t>
      </w:r>
      <w:r w:rsidR="003C2EFC" w:rsidRPr="00163F00">
        <w:rPr>
          <w:spacing w:val="-2"/>
        </w:rPr>
        <w:t xml:space="preserve">, while </w:t>
      </w:r>
      <w:r w:rsidR="00183276">
        <w:rPr>
          <w:spacing w:val="-2"/>
        </w:rPr>
        <w:t>local factors have also had an immediate</w:t>
      </w:r>
      <w:r w:rsidR="00DC13FF">
        <w:rPr>
          <w:spacing w:val="-2"/>
        </w:rPr>
        <w:t xml:space="preserve"> and significant</w:t>
      </w:r>
      <w:r w:rsidR="00183276">
        <w:rPr>
          <w:spacing w:val="-2"/>
        </w:rPr>
        <w:t xml:space="preserve"> impact </w:t>
      </w:r>
      <w:r w:rsidR="00C33E55">
        <w:rPr>
          <w:spacing w:val="-2"/>
        </w:rPr>
        <w:t xml:space="preserve">in Darwin. The Territory Government is </w:t>
      </w:r>
      <w:r w:rsidR="00DC13FF">
        <w:rPr>
          <w:spacing w:val="-2"/>
        </w:rPr>
        <w:t xml:space="preserve">investigating options to </w:t>
      </w:r>
      <w:r w:rsidR="00C33E55">
        <w:rPr>
          <w:spacing w:val="-2"/>
        </w:rPr>
        <w:t>address</w:t>
      </w:r>
      <w:r w:rsidR="00DC13FF">
        <w:rPr>
          <w:spacing w:val="-2"/>
        </w:rPr>
        <w:t xml:space="preserve"> these local issues so it is unclear if the sudden decrease in confidence in the </w:t>
      </w:r>
      <w:r w:rsidR="0035115F">
        <w:rPr>
          <w:spacing w:val="-2"/>
        </w:rPr>
        <w:t>June</w:t>
      </w:r>
      <w:r w:rsidR="00DC13FF">
        <w:rPr>
          <w:spacing w:val="-2"/>
        </w:rPr>
        <w:t xml:space="preserve"> quarter 2023 will be enduring.</w:t>
      </w:r>
    </w:p>
    <w:p w14:paraId="5EC82CDB" w14:textId="1B6E384C" w:rsidR="00697073" w:rsidRPr="006623FB" w:rsidRDefault="009F4C61" w:rsidP="00CE0A97">
      <w:pPr>
        <w:spacing w:after="120"/>
      </w:pPr>
      <w:r>
        <w:t>Business confidence</w:t>
      </w:r>
      <w:r w:rsidR="00163F00">
        <w:t xml:space="preserve"> in Alice Springs </w:t>
      </w:r>
      <w:r w:rsidR="00BC551F">
        <w:t xml:space="preserve">declined </w:t>
      </w:r>
      <w:r w:rsidR="00163F00">
        <w:t>by</w:t>
      </w:r>
      <w:r>
        <w:t xml:space="preserve"> 6 ppt this quarter to a net balance of +66%, though this is still coming off the record high o</w:t>
      </w:r>
      <w:r w:rsidR="00163F00">
        <w:t>f +94% observed in the December quarter 2022.</w:t>
      </w:r>
    </w:p>
    <w:p w14:paraId="65772566" w14:textId="75143E3B" w:rsidR="00F22CCC" w:rsidRPr="006623FB" w:rsidRDefault="002F6C4D" w:rsidP="00EB5AA1">
      <w:pPr>
        <w:pStyle w:val="Caption"/>
        <w:keepNext/>
        <w:spacing w:before="60" w:after="60"/>
        <w:rPr>
          <w:b/>
        </w:rPr>
      </w:pPr>
      <w:r w:rsidRPr="006623FB">
        <w:rPr>
          <w:b/>
        </w:rPr>
        <w:t>Table 3</w:t>
      </w:r>
      <w:r w:rsidR="00314ED4" w:rsidRPr="006623FB">
        <w:rPr>
          <w:b/>
        </w:rPr>
        <w:t>: Business confi</w:t>
      </w:r>
      <w:r w:rsidR="006523C6" w:rsidRPr="006623FB">
        <w:rPr>
          <w:b/>
        </w:rPr>
        <w:t>dence and performance by region</w:t>
      </w:r>
    </w:p>
    <w:tbl>
      <w:tblPr>
        <w:tblStyle w:val="NTGtable"/>
        <w:tblW w:w="10343" w:type="dxa"/>
        <w:tblLayout w:type="fixed"/>
        <w:tblLook w:val="06A0" w:firstRow="1" w:lastRow="0" w:firstColumn="1" w:lastColumn="0" w:noHBand="1" w:noVBand="1"/>
      </w:tblPr>
      <w:tblGrid>
        <w:gridCol w:w="1338"/>
        <w:gridCol w:w="1300"/>
        <w:gridCol w:w="1301"/>
        <w:gridCol w:w="1301"/>
        <w:gridCol w:w="567"/>
        <w:gridCol w:w="861"/>
        <w:gridCol w:w="1225"/>
        <w:gridCol w:w="1225"/>
        <w:gridCol w:w="1225"/>
      </w:tblGrid>
      <w:tr w:rsidR="00103546" w:rsidRPr="006623FB" w14:paraId="1A869356" w14:textId="77777777" w:rsidTr="008C61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40" w:type="dxa"/>
            <w:gridSpan w:val="4"/>
            <w:tcBorders>
              <w:right w:val="nil"/>
            </w:tcBorders>
            <w:noWrap/>
          </w:tcPr>
          <w:p w14:paraId="26E2B5FD" w14:textId="77777777" w:rsidR="00103546" w:rsidRPr="006623FB" w:rsidRDefault="00103546" w:rsidP="00103546">
            <w:pPr>
              <w:spacing w:after="0"/>
              <w:jc w:val="center"/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>Business Confidence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26C6F05" w14:textId="77777777" w:rsidR="00103546" w:rsidRPr="006623FB" w:rsidRDefault="00103546" w:rsidP="00103546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 w:val="0"/>
                <w:color w:val="FFFFFF" w:themeColor="background1"/>
                <w:sz w:val="20"/>
              </w:rPr>
            </w:pPr>
          </w:p>
        </w:tc>
        <w:tc>
          <w:tcPr>
            <w:tcW w:w="4536" w:type="dxa"/>
            <w:gridSpan w:val="4"/>
            <w:tcBorders>
              <w:left w:val="nil"/>
            </w:tcBorders>
          </w:tcPr>
          <w:p w14:paraId="74EBF0EC" w14:textId="77777777" w:rsidR="00103546" w:rsidRPr="006623FB" w:rsidRDefault="00103546" w:rsidP="0010354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>Business Performance</w:t>
            </w:r>
          </w:p>
        </w:tc>
      </w:tr>
      <w:tr w:rsidR="00FD2A30" w:rsidRPr="006623FB" w14:paraId="4EA8377D" w14:textId="77777777" w:rsidTr="0085504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shd w:val="clear" w:color="auto" w:fill="FFFFFF" w:themeFill="background1"/>
            <w:noWrap/>
            <w:hideMark/>
          </w:tcPr>
          <w:p w14:paraId="37CEF8A0" w14:textId="77777777" w:rsidR="00103546" w:rsidRPr="006623FB" w:rsidRDefault="00103546" w:rsidP="00103546">
            <w:pPr>
              <w:spacing w:after="0"/>
              <w:rPr>
                <w:rFonts w:asciiTheme="minorHAnsi" w:eastAsia="Times New Roman" w:hAnsiTheme="minorHAnsi" w:cs="Calibri"/>
                <w:b/>
                <w:sz w:val="20"/>
              </w:rPr>
            </w:pP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14:paraId="1A24D650" w14:textId="47C22058" w:rsidR="00103546" w:rsidRPr="006623FB" w:rsidRDefault="00AC09CF" w:rsidP="00E9083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sz w:val="20"/>
              </w:rPr>
            </w:pPr>
            <w:r>
              <w:rPr>
                <w:rFonts w:asciiTheme="minorHAnsi" w:eastAsia="Times New Roman" w:hAnsiTheme="minorHAnsi" w:cs="Calibri"/>
                <w:b/>
                <w:sz w:val="20"/>
              </w:rPr>
              <w:t>Jun</w:t>
            </w:r>
            <w:r w:rsidR="00103546" w:rsidRPr="006623FB">
              <w:rPr>
                <w:rFonts w:asciiTheme="minorHAnsi" w:eastAsia="Times New Roman" w:hAnsiTheme="minorHAnsi" w:cs="Calibri"/>
                <w:b/>
                <w:sz w:val="20"/>
              </w:rPr>
              <w:t xml:space="preserve"> </w:t>
            </w:r>
            <w:proofErr w:type="spellStart"/>
            <w:r w:rsidR="00134782" w:rsidRPr="006623FB">
              <w:rPr>
                <w:rFonts w:asciiTheme="minorHAnsi" w:eastAsia="Times New Roman" w:hAnsiTheme="minorHAnsi" w:cs="Calibri"/>
                <w:b/>
                <w:sz w:val="20"/>
              </w:rPr>
              <w:t>q</w:t>
            </w:r>
            <w:r w:rsidR="00103546" w:rsidRPr="006623FB">
              <w:rPr>
                <w:rFonts w:asciiTheme="minorHAnsi" w:eastAsia="Times New Roman" w:hAnsiTheme="minorHAnsi" w:cs="Calibri"/>
                <w:b/>
                <w:sz w:val="20"/>
              </w:rPr>
              <w:t>tr</w:t>
            </w:r>
            <w:proofErr w:type="spellEnd"/>
            <w:r w:rsidR="00103546" w:rsidRPr="006623FB">
              <w:rPr>
                <w:rFonts w:asciiTheme="minorHAnsi" w:eastAsia="Times New Roman" w:hAnsiTheme="minorHAnsi" w:cs="Calibri"/>
                <w:b/>
                <w:sz w:val="20"/>
              </w:rPr>
              <w:t xml:space="preserve"> 202</w:t>
            </w:r>
            <w:r w:rsidR="00E90832" w:rsidRPr="006623FB">
              <w:rPr>
                <w:rFonts w:asciiTheme="minorHAnsi" w:eastAsia="Times New Roman" w:hAnsiTheme="minorHAnsi" w:cs="Calibri"/>
                <w:b/>
                <w:sz w:val="20"/>
              </w:rPr>
              <w:t>3</w:t>
            </w:r>
          </w:p>
        </w:tc>
        <w:tc>
          <w:tcPr>
            <w:tcW w:w="1301" w:type="dxa"/>
            <w:shd w:val="clear" w:color="auto" w:fill="FFFFFF" w:themeFill="background1"/>
            <w:noWrap/>
            <w:hideMark/>
          </w:tcPr>
          <w:p w14:paraId="123E79C8" w14:textId="77777777" w:rsidR="00103546" w:rsidRPr="006623FB" w:rsidRDefault="00103546" w:rsidP="00663EC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b/>
                <w:sz w:val="20"/>
              </w:rPr>
              <w:t>Quarterly change</w:t>
            </w:r>
          </w:p>
        </w:tc>
        <w:tc>
          <w:tcPr>
            <w:tcW w:w="1301" w:type="dxa"/>
            <w:tcBorders>
              <w:bottom w:val="nil"/>
            </w:tcBorders>
            <w:shd w:val="clear" w:color="auto" w:fill="FFFFFF" w:themeFill="background1"/>
            <w:noWrap/>
            <w:hideMark/>
          </w:tcPr>
          <w:p w14:paraId="01D2A269" w14:textId="3972752B" w:rsidR="00103546" w:rsidRPr="006623FB" w:rsidRDefault="00134782" w:rsidP="00663EC8">
            <w:pPr>
              <w:spacing w:before="6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b/>
                <w:sz w:val="20"/>
              </w:rPr>
              <w:t>Annual</w:t>
            </w:r>
            <w:r w:rsidR="00103546" w:rsidRPr="006623FB">
              <w:rPr>
                <w:rFonts w:asciiTheme="minorHAnsi" w:eastAsia="Times New Roman" w:hAnsiTheme="minorHAnsi" w:cs="Calibri"/>
                <w:b/>
                <w:sz w:val="20"/>
              </w:rPr>
              <w:t xml:space="preserve"> change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8AD44D4" w14:textId="77777777" w:rsidR="00103546" w:rsidRPr="006623FB" w:rsidRDefault="00103546" w:rsidP="00663EC8">
            <w:pPr>
              <w:spacing w:before="6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sz w:val="20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14:paraId="7A3632B6" w14:textId="77777777" w:rsidR="00103546" w:rsidRPr="006623FB" w:rsidRDefault="00103546" w:rsidP="00663EC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sz w:val="20"/>
              </w:rPr>
            </w:pPr>
          </w:p>
        </w:tc>
        <w:tc>
          <w:tcPr>
            <w:tcW w:w="1225" w:type="dxa"/>
            <w:shd w:val="clear" w:color="auto" w:fill="FFFFFF" w:themeFill="background1"/>
            <w:noWrap/>
            <w:hideMark/>
          </w:tcPr>
          <w:p w14:paraId="0C445BB5" w14:textId="7B106459" w:rsidR="00103546" w:rsidRPr="006623FB" w:rsidRDefault="00AC09CF" w:rsidP="00E9083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sz w:val="20"/>
              </w:rPr>
            </w:pPr>
            <w:r>
              <w:rPr>
                <w:rFonts w:asciiTheme="minorHAnsi" w:eastAsia="Times New Roman" w:hAnsiTheme="minorHAnsi" w:cs="Calibri"/>
                <w:b/>
                <w:sz w:val="20"/>
              </w:rPr>
              <w:t>Jun</w:t>
            </w:r>
            <w:r w:rsidR="00103546" w:rsidRPr="006623FB">
              <w:rPr>
                <w:rFonts w:asciiTheme="minorHAnsi" w:eastAsia="Times New Roman" w:hAnsiTheme="minorHAnsi" w:cs="Calibri"/>
                <w:b/>
                <w:sz w:val="20"/>
              </w:rPr>
              <w:t xml:space="preserve"> </w:t>
            </w:r>
            <w:proofErr w:type="spellStart"/>
            <w:r w:rsidR="00134782" w:rsidRPr="006623FB">
              <w:rPr>
                <w:rFonts w:asciiTheme="minorHAnsi" w:eastAsia="Times New Roman" w:hAnsiTheme="minorHAnsi" w:cs="Calibri"/>
                <w:b/>
                <w:sz w:val="20"/>
              </w:rPr>
              <w:t>q</w:t>
            </w:r>
            <w:r w:rsidR="00103546" w:rsidRPr="006623FB">
              <w:rPr>
                <w:rFonts w:asciiTheme="minorHAnsi" w:eastAsia="Times New Roman" w:hAnsiTheme="minorHAnsi" w:cs="Calibri"/>
                <w:b/>
                <w:sz w:val="20"/>
              </w:rPr>
              <w:t>tr</w:t>
            </w:r>
            <w:proofErr w:type="spellEnd"/>
            <w:r w:rsidR="00103546" w:rsidRPr="006623FB">
              <w:rPr>
                <w:rFonts w:asciiTheme="minorHAnsi" w:eastAsia="Times New Roman" w:hAnsiTheme="minorHAnsi" w:cs="Calibri"/>
                <w:b/>
                <w:sz w:val="20"/>
              </w:rPr>
              <w:t xml:space="preserve"> 202</w:t>
            </w:r>
            <w:r w:rsidR="00E90832" w:rsidRPr="006623FB">
              <w:rPr>
                <w:rFonts w:asciiTheme="minorHAnsi" w:eastAsia="Times New Roman" w:hAnsiTheme="minorHAnsi" w:cs="Calibri"/>
                <w:b/>
                <w:sz w:val="20"/>
              </w:rPr>
              <w:t>3</w:t>
            </w:r>
          </w:p>
        </w:tc>
        <w:tc>
          <w:tcPr>
            <w:tcW w:w="1225" w:type="dxa"/>
            <w:shd w:val="clear" w:color="auto" w:fill="FFFFFF" w:themeFill="background1"/>
            <w:noWrap/>
            <w:hideMark/>
          </w:tcPr>
          <w:p w14:paraId="357EF32A" w14:textId="77777777" w:rsidR="00103546" w:rsidRPr="006623FB" w:rsidRDefault="00103546" w:rsidP="00663EC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b/>
                <w:sz w:val="20"/>
              </w:rPr>
              <w:t>Quarterly change</w:t>
            </w:r>
          </w:p>
        </w:tc>
        <w:tc>
          <w:tcPr>
            <w:tcW w:w="1225" w:type="dxa"/>
            <w:shd w:val="clear" w:color="auto" w:fill="FFFFFF" w:themeFill="background1"/>
            <w:noWrap/>
            <w:hideMark/>
          </w:tcPr>
          <w:p w14:paraId="624365E0" w14:textId="32739435" w:rsidR="00103546" w:rsidRPr="006623FB" w:rsidRDefault="00134782" w:rsidP="00663EC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b/>
                <w:sz w:val="20"/>
              </w:rPr>
              <w:t>Annual</w:t>
            </w:r>
            <w:r w:rsidR="00103546" w:rsidRPr="006623FB">
              <w:rPr>
                <w:rFonts w:asciiTheme="minorHAnsi" w:eastAsia="Times New Roman" w:hAnsiTheme="minorHAnsi" w:cs="Calibri"/>
                <w:b/>
                <w:sz w:val="20"/>
              </w:rPr>
              <w:t xml:space="preserve"> change</w:t>
            </w:r>
          </w:p>
        </w:tc>
      </w:tr>
      <w:tr w:rsidR="00D05398" w:rsidRPr="006623FB" w14:paraId="31FFB2EA" w14:textId="77777777" w:rsidTr="008C61DE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4"/>
            <w:tcBorders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26658C94" w14:textId="300A4D95" w:rsidR="00D05398" w:rsidRPr="006623FB" w:rsidRDefault="00DB33D9">
            <w:pPr>
              <w:spacing w:after="0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  <w:t>Territory-wide</w:t>
            </w:r>
            <w:r w:rsidR="00E90832" w:rsidRPr="006623FB"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  <w:t xml:space="preserve"> (n=</w:t>
            </w:r>
            <w:r w:rsidR="00AC09CF"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  <w:t>522</w:t>
            </w:r>
            <w:r w:rsidR="003875FC" w:rsidRPr="006623FB"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0CEDF43" w14:textId="77777777" w:rsidR="00D05398" w:rsidRPr="006623FB" w:rsidRDefault="00D05398" w:rsidP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4536" w:type="dxa"/>
            <w:gridSpan w:val="4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14:paraId="3B57CA7B" w14:textId="48D0FA2D" w:rsidR="00D05398" w:rsidRPr="006623FB" w:rsidRDefault="00DB33D9" w:rsidP="008C61DE">
            <w:pPr>
              <w:spacing w:after="0"/>
              <w:ind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  <w:t>Territory-wide</w:t>
            </w:r>
            <w:r w:rsidR="00E90832" w:rsidRPr="006623FB"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  <w:t xml:space="preserve"> (n=</w:t>
            </w:r>
            <w:r w:rsidR="00AC09CF"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  <w:t>522</w:t>
            </w:r>
            <w:r w:rsidR="003875FC" w:rsidRPr="006623FB"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  <w:t>)</w:t>
            </w:r>
          </w:p>
        </w:tc>
      </w:tr>
      <w:tr w:rsidR="00855040" w:rsidRPr="006623FB" w14:paraId="291C2A63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</w:tcPr>
          <w:p w14:paraId="1B12B58D" w14:textId="73485907" w:rsidR="00DB33D9" w:rsidRPr="006623FB" w:rsidRDefault="00DB33D9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Confident</w:t>
            </w:r>
          </w:p>
        </w:tc>
        <w:tc>
          <w:tcPr>
            <w:tcW w:w="1300" w:type="dxa"/>
            <w:noWrap/>
          </w:tcPr>
          <w:p w14:paraId="37CB91E1" w14:textId="1A97CA92" w:rsidR="00DB33D9" w:rsidRPr="006623FB" w:rsidRDefault="00AC09CF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57</w:t>
            </w:r>
            <w:r w:rsidR="00DB33D9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vAlign w:val="bottom"/>
          </w:tcPr>
          <w:p w14:paraId="17A82C4C" w14:textId="63AD686A" w:rsidR="00DB33D9" w:rsidRPr="006623FB" w:rsidRDefault="00AC09CF" w:rsidP="008C61DE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-19</w:t>
            </w:r>
            <w:r w:rsidR="00DB33D9" w:rsidRPr="006623FB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vAlign w:val="bottom"/>
          </w:tcPr>
          <w:p w14:paraId="29B824FF" w14:textId="1990FE5C" w:rsidR="00DB33D9" w:rsidRPr="006623FB" w:rsidRDefault="00AC09CF" w:rsidP="008C61DE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-22</w:t>
            </w:r>
            <w:r w:rsidR="00DB33D9" w:rsidRPr="006623FB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567" w:type="dxa"/>
            <w:noWrap/>
          </w:tcPr>
          <w:p w14:paraId="187005C2" w14:textId="77777777" w:rsidR="00DB33D9" w:rsidRPr="006623FB" w:rsidRDefault="00DB33D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</w:tcPr>
          <w:p w14:paraId="1C99A305" w14:textId="38AA555B" w:rsidR="00DB33D9" w:rsidRPr="006623FB" w:rsidRDefault="00DB33D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Better</w:t>
            </w:r>
          </w:p>
        </w:tc>
        <w:tc>
          <w:tcPr>
            <w:tcW w:w="1225" w:type="dxa"/>
            <w:noWrap/>
          </w:tcPr>
          <w:p w14:paraId="4D0FAB7E" w14:textId="0946D628" w:rsidR="00DB33D9" w:rsidRPr="006623FB" w:rsidRDefault="002E2B5C" w:rsidP="008C61DE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45</w:t>
            </w:r>
            <w:r w:rsidR="00DB33D9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</w:tcPr>
          <w:p w14:paraId="6D32CED9" w14:textId="7800E479" w:rsidR="00DB33D9" w:rsidRPr="006623FB" w:rsidRDefault="002E2B5C" w:rsidP="008C61DE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-9</w:t>
            </w:r>
            <w:r w:rsidR="00DB33D9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</w:tcPr>
          <w:p w14:paraId="51363F03" w14:textId="0B1E0FD8" w:rsidR="00DB33D9" w:rsidRPr="006623FB" w:rsidRDefault="002E2B5C" w:rsidP="008C61DE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-16</w:t>
            </w:r>
            <w:r w:rsidR="00DB33D9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855040" w:rsidRPr="006623FB" w14:paraId="56F3A61D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</w:tcPr>
          <w:p w14:paraId="6CB71968" w14:textId="100CDD06" w:rsidR="00DB33D9" w:rsidRPr="006623FB" w:rsidRDefault="00DB33D9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Worried</w:t>
            </w:r>
          </w:p>
        </w:tc>
        <w:tc>
          <w:tcPr>
            <w:tcW w:w="1300" w:type="dxa"/>
            <w:noWrap/>
          </w:tcPr>
          <w:p w14:paraId="4756A3DE" w14:textId="76C0FD4E" w:rsidR="00DB33D9" w:rsidRPr="006623FB" w:rsidRDefault="00AC09CF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13</w:t>
            </w:r>
            <w:r w:rsidR="00DB33D9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vAlign w:val="bottom"/>
          </w:tcPr>
          <w:p w14:paraId="61D94381" w14:textId="0176292B" w:rsidR="00DB33D9" w:rsidRPr="006623FB" w:rsidRDefault="00AC09CF" w:rsidP="008C61DE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+6</w:t>
            </w:r>
            <w:r w:rsidR="00DB33D9" w:rsidRPr="006623FB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vAlign w:val="bottom"/>
          </w:tcPr>
          <w:p w14:paraId="66FF8D1E" w14:textId="5CDAE249" w:rsidR="00DB33D9" w:rsidRPr="006623FB" w:rsidRDefault="00AC09CF" w:rsidP="008C61DE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+7</w:t>
            </w:r>
            <w:r w:rsidR="00DB33D9" w:rsidRPr="006623FB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567" w:type="dxa"/>
            <w:noWrap/>
          </w:tcPr>
          <w:p w14:paraId="74D5AF42" w14:textId="77777777" w:rsidR="00DB33D9" w:rsidRPr="006623FB" w:rsidRDefault="00DB33D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</w:tcPr>
          <w:p w14:paraId="44B15E61" w14:textId="74481C9A" w:rsidR="00DB33D9" w:rsidRPr="006623FB" w:rsidRDefault="00DB33D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Same</w:t>
            </w:r>
          </w:p>
        </w:tc>
        <w:tc>
          <w:tcPr>
            <w:tcW w:w="1225" w:type="dxa"/>
            <w:noWrap/>
          </w:tcPr>
          <w:p w14:paraId="637E7C30" w14:textId="3D2B0060" w:rsidR="00DB33D9" w:rsidRPr="006623FB" w:rsidRDefault="002E2B5C" w:rsidP="008C61DE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35</w:t>
            </w:r>
            <w:r w:rsidR="00DB33D9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</w:tcPr>
          <w:p w14:paraId="066F2C2F" w14:textId="045E0639" w:rsidR="00DB33D9" w:rsidRPr="006623FB" w:rsidRDefault="002E2B5C" w:rsidP="008C61DE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+2</w:t>
            </w:r>
            <w:r w:rsidR="00DB33D9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</w:tcPr>
          <w:p w14:paraId="71FECC61" w14:textId="0B64FD9D" w:rsidR="00DB33D9" w:rsidRPr="006623FB" w:rsidRDefault="002E2B5C" w:rsidP="008C61DE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+7</w:t>
            </w:r>
            <w:r w:rsidR="00DB33D9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855040" w:rsidRPr="006623FB" w14:paraId="57B9A0B4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</w:tcPr>
          <w:p w14:paraId="7908021E" w14:textId="17D0834D" w:rsidR="00DB33D9" w:rsidRPr="006623FB" w:rsidRDefault="00DB33D9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Net Balance</w:t>
            </w:r>
          </w:p>
        </w:tc>
        <w:tc>
          <w:tcPr>
            <w:tcW w:w="1300" w:type="dxa"/>
            <w:noWrap/>
          </w:tcPr>
          <w:p w14:paraId="43462312" w14:textId="6A08F912" w:rsidR="00DB33D9" w:rsidRPr="006623FB" w:rsidRDefault="00AC09CF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43</w:t>
            </w:r>
            <w:r w:rsidR="00DB33D9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vAlign w:val="bottom"/>
          </w:tcPr>
          <w:p w14:paraId="74BC5236" w14:textId="3733D356" w:rsidR="00DB33D9" w:rsidRPr="006623FB" w:rsidRDefault="00AC09CF" w:rsidP="008C61DE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-25</w:t>
            </w:r>
            <w:r w:rsidR="00DB33D9" w:rsidRPr="006623FB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vAlign w:val="bottom"/>
          </w:tcPr>
          <w:p w14:paraId="77AAD84D" w14:textId="605891B5" w:rsidR="00DB33D9" w:rsidRPr="006623FB" w:rsidRDefault="00AC09CF" w:rsidP="008C61DE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-29</w:t>
            </w:r>
            <w:r w:rsidR="00DB33D9" w:rsidRPr="006623FB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567" w:type="dxa"/>
            <w:noWrap/>
          </w:tcPr>
          <w:p w14:paraId="7038F762" w14:textId="77777777" w:rsidR="00DB33D9" w:rsidRPr="006623FB" w:rsidRDefault="00DB33D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</w:tcPr>
          <w:p w14:paraId="54775CB7" w14:textId="4B284666" w:rsidR="00DB33D9" w:rsidRPr="006623FB" w:rsidRDefault="00DB33D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Worse</w:t>
            </w:r>
          </w:p>
        </w:tc>
        <w:tc>
          <w:tcPr>
            <w:tcW w:w="1225" w:type="dxa"/>
            <w:noWrap/>
          </w:tcPr>
          <w:p w14:paraId="022CCAE6" w14:textId="4575A812" w:rsidR="00DB33D9" w:rsidRPr="006623FB" w:rsidRDefault="002E2B5C" w:rsidP="008C61DE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20</w:t>
            </w:r>
            <w:r w:rsidR="00DB33D9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</w:tcPr>
          <w:p w14:paraId="0B709B0C" w14:textId="3CD45F3E" w:rsidR="00DB33D9" w:rsidRPr="006623FB" w:rsidRDefault="002E2B5C" w:rsidP="008C61DE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+8</w:t>
            </w:r>
            <w:r w:rsidR="00DB33D9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</w:tcPr>
          <w:p w14:paraId="79F8C565" w14:textId="4666CA03" w:rsidR="00DB33D9" w:rsidRPr="006623FB" w:rsidRDefault="002E2B5C" w:rsidP="008C61DE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+9</w:t>
            </w:r>
            <w:r w:rsidR="00DB33D9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DB33D9" w:rsidRPr="006623FB" w14:paraId="4DE9B608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4"/>
            <w:shd w:val="clear" w:color="auto" w:fill="A6A6A6" w:themeFill="background1" w:themeFillShade="A6"/>
            <w:noWrap/>
          </w:tcPr>
          <w:p w14:paraId="07EABF94" w14:textId="5F1CAAFE" w:rsidR="00DB33D9" w:rsidRPr="006623FB" w:rsidRDefault="00A54856">
            <w:pPr>
              <w:spacing w:after="0"/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  <w:t>Greater Darwin (n=224</w:t>
            </w:r>
            <w:r w:rsidR="00DB33D9" w:rsidRPr="006623FB"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567" w:type="dxa"/>
            <w:noWrap/>
          </w:tcPr>
          <w:p w14:paraId="53C4448A" w14:textId="77777777" w:rsidR="00DB33D9" w:rsidRPr="006623FB" w:rsidRDefault="00DB33D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4536" w:type="dxa"/>
            <w:gridSpan w:val="4"/>
            <w:shd w:val="clear" w:color="auto" w:fill="A6A6A6" w:themeFill="background1" w:themeFillShade="A6"/>
            <w:noWrap/>
          </w:tcPr>
          <w:p w14:paraId="0C4854CB" w14:textId="01598489" w:rsidR="00DB33D9" w:rsidRPr="006623FB" w:rsidRDefault="00A54856" w:rsidP="008C61DE">
            <w:pPr>
              <w:spacing w:after="0"/>
              <w:ind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  <w:t>Greater Darwin (n=224</w:t>
            </w:r>
            <w:r w:rsidR="00DB33D9" w:rsidRPr="006623FB"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  <w:t>)</w:t>
            </w:r>
          </w:p>
        </w:tc>
      </w:tr>
      <w:tr w:rsidR="00855040" w:rsidRPr="006623FB" w14:paraId="73389E1C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397F99DE" w14:textId="77777777" w:rsidR="002F6C4D" w:rsidRPr="006623FB" w:rsidRDefault="002F6C4D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Confident</w:t>
            </w:r>
          </w:p>
        </w:tc>
        <w:tc>
          <w:tcPr>
            <w:tcW w:w="1300" w:type="dxa"/>
            <w:noWrap/>
            <w:hideMark/>
          </w:tcPr>
          <w:p w14:paraId="6F3EB1D6" w14:textId="7582AEC6" w:rsidR="002F6C4D" w:rsidRPr="006623FB" w:rsidRDefault="002E2B5C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53</w:t>
            </w:r>
            <w:r w:rsidR="002F6C4D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vAlign w:val="bottom"/>
            <w:hideMark/>
          </w:tcPr>
          <w:p w14:paraId="533956ED" w14:textId="3AA82DC9" w:rsidR="002F6C4D" w:rsidRPr="006623FB" w:rsidRDefault="00E90832" w:rsidP="008C61DE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hAnsiTheme="minorHAnsi" w:cs="Calibri"/>
                <w:color w:val="000000"/>
                <w:sz w:val="20"/>
              </w:rPr>
              <w:t>-</w:t>
            </w:r>
            <w:r w:rsidR="002E2B5C">
              <w:rPr>
                <w:rFonts w:asciiTheme="minorHAnsi" w:hAnsiTheme="minorHAnsi" w:cs="Calibri"/>
                <w:color w:val="000000"/>
                <w:sz w:val="20"/>
              </w:rPr>
              <w:t>22</w:t>
            </w:r>
            <w:r w:rsidR="002F6C4D" w:rsidRPr="006623FB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vAlign w:val="bottom"/>
            <w:hideMark/>
          </w:tcPr>
          <w:p w14:paraId="59C8A96C" w14:textId="0C208A40" w:rsidR="002F6C4D" w:rsidRPr="006623FB" w:rsidRDefault="002E2B5C" w:rsidP="008C61DE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-21</w:t>
            </w:r>
            <w:r w:rsidR="002F6C4D" w:rsidRPr="006623FB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567" w:type="dxa"/>
            <w:noWrap/>
            <w:hideMark/>
          </w:tcPr>
          <w:p w14:paraId="02188096" w14:textId="77777777" w:rsidR="002F6C4D" w:rsidRPr="006623FB" w:rsidRDefault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0109A0A3" w14:textId="77777777" w:rsidR="002F6C4D" w:rsidRPr="006623FB" w:rsidRDefault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Better</w:t>
            </w:r>
          </w:p>
        </w:tc>
        <w:tc>
          <w:tcPr>
            <w:tcW w:w="1225" w:type="dxa"/>
            <w:noWrap/>
            <w:hideMark/>
          </w:tcPr>
          <w:p w14:paraId="69642BC9" w14:textId="2F4A8247" w:rsidR="002F6C4D" w:rsidRPr="006623FB" w:rsidRDefault="002E2B5C" w:rsidP="008C61DE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43</w:t>
            </w:r>
            <w:r w:rsidR="002F6C4D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  <w:hideMark/>
          </w:tcPr>
          <w:p w14:paraId="42F0B30D" w14:textId="06663F43" w:rsidR="002F6C4D" w:rsidRPr="006623FB" w:rsidRDefault="00A30F44" w:rsidP="008C61DE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-</w:t>
            </w:r>
            <w:r w:rsidR="002E2B5C">
              <w:rPr>
                <w:rFonts w:asciiTheme="minorHAnsi" w:eastAsia="Times New Roman" w:hAnsiTheme="minorHAnsi" w:cs="Calibri"/>
                <w:color w:val="000000"/>
                <w:sz w:val="20"/>
              </w:rPr>
              <w:t>11</w:t>
            </w:r>
            <w:r w:rsidR="002F6C4D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  <w:hideMark/>
          </w:tcPr>
          <w:p w14:paraId="2711DC2E" w14:textId="37733E88" w:rsidR="002F6C4D" w:rsidRPr="006623FB" w:rsidRDefault="00296365" w:rsidP="008C61DE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-18</w:t>
            </w:r>
            <w:r w:rsidR="002F6C4D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855040" w:rsidRPr="006623FB" w14:paraId="00B58CE7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5E168A5C" w14:textId="77777777" w:rsidR="002F6C4D" w:rsidRPr="006623FB" w:rsidRDefault="002F6C4D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Worried</w:t>
            </w:r>
          </w:p>
        </w:tc>
        <w:tc>
          <w:tcPr>
            <w:tcW w:w="1300" w:type="dxa"/>
            <w:noWrap/>
            <w:hideMark/>
          </w:tcPr>
          <w:p w14:paraId="21C6E4BC" w14:textId="482342D1" w:rsidR="002F6C4D" w:rsidRPr="006623FB" w:rsidRDefault="002E2B5C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14</w:t>
            </w:r>
            <w:r w:rsidR="002F6C4D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vAlign w:val="bottom"/>
            <w:hideMark/>
          </w:tcPr>
          <w:p w14:paraId="6641B6B1" w14:textId="6A74B3E2" w:rsidR="002F6C4D" w:rsidRPr="006623FB" w:rsidRDefault="00A30F44" w:rsidP="008C61DE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hAnsiTheme="minorHAnsi" w:cs="Calibri"/>
                <w:color w:val="000000"/>
                <w:sz w:val="20"/>
              </w:rPr>
              <w:t>+</w:t>
            </w:r>
            <w:r w:rsidR="002E2B5C">
              <w:rPr>
                <w:rFonts w:asciiTheme="minorHAnsi" w:hAnsiTheme="minorHAnsi" w:cs="Calibri"/>
                <w:color w:val="000000"/>
                <w:sz w:val="20"/>
              </w:rPr>
              <w:t>8</w:t>
            </w:r>
            <w:r w:rsidR="002F6C4D" w:rsidRPr="006623FB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vAlign w:val="bottom"/>
            <w:hideMark/>
          </w:tcPr>
          <w:p w14:paraId="020A9F90" w14:textId="19590F21" w:rsidR="002F6C4D" w:rsidRPr="006623FB" w:rsidRDefault="002E2B5C" w:rsidP="008C61DE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+7</w:t>
            </w:r>
            <w:r w:rsidR="002F6C4D" w:rsidRPr="006623FB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567" w:type="dxa"/>
            <w:noWrap/>
            <w:hideMark/>
          </w:tcPr>
          <w:p w14:paraId="6C980311" w14:textId="77777777" w:rsidR="002F6C4D" w:rsidRPr="006623FB" w:rsidRDefault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1EBAA661" w14:textId="77777777" w:rsidR="002F6C4D" w:rsidRPr="006623FB" w:rsidRDefault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Same</w:t>
            </w:r>
          </w:p>
        </w:tc>
        <w:tc>
          <w:tcPr>
            <w:tcW w:w="1225" w:type="dxa"/>
            <w:noWrap/>
            <w:hideMark/>
          </w:tcPr>
          <w:p w14:paraId="798DA3BD" w14:textId="595FE72A" w:rsidR="002F6C4D" w:rsidRPr="006623FB" w:rsidRDefault="002E2B5C" w:rsidP="008C61DE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35</w:t>
            </w:r>
            <w:r w:rsidR="002F6C4D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  <w:hideMark/>
          </w:tcPr>
          <w:p w14:paraId="49CF74F5" w14:textId="0EB847D6" w:rsidR="002F6C4D" w:rsidRPr="006623FB" w:rsidRDefault="00A30F44" w:rsidP="008C61DE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+</w:t>
            </w:r>
            <w:r w:rsidR="002E2B5C">
              <w:rPr>
                <w:rFonts w:asciiTheme="minorHAnsi" w:eastAsia="Times New Roman" w:hAnsiTheme="minorHAnsi" w:cs="Calibri"/>
                <w:color w:val="000000"/>
                <w:sz w:val="20"/>
              </w:rPr>
              <w:t>3</w:t>
            </w:r>
            <w:r w:rsidR="002F6C4D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  <w:hideMark/>
          </w:tcPr>
          <w:p w14:paraId="36C6B90A" w14:textId="2FED876D" w:rsidR="002F6C4D" w:rsidRPr="006623FB" w:rsidRDefault="00296365" w:rsidP="008C61DE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+9</w:t>
            </w:r>
            <w:r w:rsidR="002F6C4D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855040" w:rsidRPr="006623FB" w14:paraId="3957A192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4FEB2C58" w14:textId="77777777" w:rsidR="002F6C4D" w:rsidRPr="006623FB" w:rsidRDefault="002F6C4D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Net Balance</w:t>
            </w:r>
          </w:p>
        </w:tc>
        <w:tc>
          <w:tcPr>
            <w:tcW w:w="1300" w:type="dxa"/>
            <w:noWrap/>
            <w:hideMark/>
          </w:tcPr>
          <w:p w14:paraId="0C110F2E" w14:textId="457E1ADD" w:rsidR="002F6C4D" w:rsidRPr="006623FB" w:rsidRDefault="002E2B5C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39</w:t>
            </w:r>
            <w:r w:rsidR="002F6C4D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vAlign w:val="bottom"/>
            <w:hideMark/>
          </w:tcPr>
          <w:p w14:paraId="0580032C" w14:textId="3FA9684B" w:rsidR="002F6C4D" w:rsidRPr="006623FB" w:rsidRDefault="00F657A7" w:rsidP="008C61DE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hAnsiTheme="minorHAnsi" w:cs="Calibri"/>
                <w:color w:val="000000"/>
                <w:sz w:val="20"/>
              </w:rPr>
              <w:t>-</w:t>
            </w:r>
            <w:r w:rsidR="002E2B5C">
              <w:rPr>
                <w:rFonts w:asciiTheme="minorHAnsi" w:hAnsiTheme="minorHAnsi" w:cs="Calibri"/>
                <w:color w:val="000000"/>
                <w:sz w:val="20"/>
              </w:rPr>
              <w:t>29</w:t>
            </w:r>
            <w:r w:rsidR="002F6C4D" w:rsidRPr="006623FB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vAlign w:val="bottom"/>
            <w:hideMark/>
          </w:tcPr>
          <w:p w14:paraId="1B066FF3" w14:textId="646710D7" w:rsidR="002F6C4D" w:rsidRPr="006623FB" w:rsidRDefault="002E2B5C" w:rsidP="008C61DE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-28</w:t>
            </w:r>
            <w:r w:rsidR="002F6C4D" w:rsidRPr="006623FB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567" w:type="dxa"/>
            <w:noWrap/>
            <w:hideMark/>
          </w:tcPr>
          <w:p w14:paraId="61018342" w14:textId="77777777" w:rsidR="002F6C4D" w:rsidRPr="006623FB" w:rsidRDefault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12156DD8" w14:textId="77777777" w:rsidR="002F6C4D" w:rsidRPr="006623FB" w:rsidRDefault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Worse</w:t>
            </w:r>
          </w:p>
        </w:tc>
        <w:tc>
          <w:tcPr>
            <w:tcW w:w="1225" w:type="dxa"/>
            <w:noWrap/>
            <w:hideMark/>
          </w:tcPr>
          <w:p w14:paraId="5B23BC67" w14:textId="423C3D66" w:rsidR="002F6C4D" w:rsidRPr="006623FB" w:rsidRDefault="002E2B5C" w:rsidP="008C61DE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21</w:t>
            </w:r>
            <w:r w:rsidR="002F6C4D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  <w:hideMark/>
          </w:tcPr>
          <w:p w14:paraId="04FF9975" w14:textId="7F3F0F57" w:rsidR="002F6C4D" w:rsidRPr="006623FB" w:rsidRDefault="00A30F44" w:rsidP="008C61DE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+</w:t>
            </w:r>
            <w:r w:rsidR="002E2B5C">
              <w:rPr>
                <w:rFonts w:asciiTheme="minorHAnsi" w:eastAsia="Times New Roman" w:hAnsiTheme="minorHAnsi" w:cs="Calibri"/>
                <w:color w:val="000000"/>
                <w:sz w:val="20"/>
              </w:rPr>
              <w:t>8</w:t>
            </w:r>
            <w:r w:rsidR="002F6C4D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  <w:hideMark/>
          </w:tcPr>
          <w:p w14:paraId="5CAECF68" w14:textId="2BECE00F" w:rsidR="002F6C4D" w:rsidRPr="006623FB" w:rsidRDefault="00296365" w:rsidP="008C61DE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+9</w:t>
            </w:r>
            <w:r w:rsidR="002F6C4D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D05398" w:rsidRPr="006623FB" w14:paraId="61E52449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4"/>
            <w:shd w:val="clear" w:color="auto" w:fill="A6A6A6" w:themeFill="background1" w:themeFillShade="A6"/>
            <w:noWrap/>
            <w:hideMark/>
          </w:tcPr>
          <w:p w14:paraId="71DE413E" w14:textId="36BDCE60" w:rsidR="00D05398" w:rsidRPr="006623FB" w:rsidRDefault="00D05398">
            <w:pPr>
              <w:spacing w:after="0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b/>
                <w:bCs/>
                <w:sz w:val="20"/>
              </w:rPr>
              <w:t>Daly-Tiwi-West Arnhem</w:t>
            </w:r>
            <w:r w:rsidR="000E0780" w:rsidRPr="006623FB">
              <w:rPr>
                <w:rFonts w:asciiTheme="minorHAnsi" w:eastAsia="Times New Roman" w:hAnsiTheme="minorHAnsi" w:cs="Calibri"/>
                <w:b/>
                <w:bCs/>
                <w:sz w:val="20"/>
              </w:rPr>
              <w:t xml:space="preserve"> (n=</w:t>
            </w:r>
            <w:r w:rsidR="00A54856">
              <w:rPr>
                <w:rFonts w:asciiTheme="minorHAnsi" w:eastAsia="Times New Roman" w:hAnsiTheme="minorHAnsi" w:cs="Calibri"/>
                <w:b/>
                <w:bCs/>
                <w:sz w:val="20"/>
              </w:rPr>
              <w:t>41</w:t>
            </w:r>
            <w:r w:rsidR="003875FC" w:rsidRPr="006623FB">
              <w:rPr>
                <w:rFonts w:asciiTheme="minorHAnsi" w:eastAsia="Times New Roman" w:hAnsiTheme="minorHAnsi" w:cs="Calibri"/>
                <w:b/>
                <w:bCs/>
                <w:sz w:val="20"/>
              </w:rPr>
              <w:t>)</w:t>
            </w:r>
          </w:p>
        </w:tc>
        <w:tc>
          <w:tcPr>
            <w:tcW w:w="567" w:type="dxa"/>
            <w:shd w:val="clear" w:color="auto" w:fill="FFFFFF" w:themeFill="background1"/>
          </w:tcPr>
          <w:p w14:paraId="7679D43E" w14:textId="77777777" w:rsidR="00D05398" w:rsidRPr="006623FB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  <w:sz w:val="20"/>
              </w:rPr>
            </w:pPr>
          </w:p>
        </w:tc>
        <w:tc>
          <w:tcPr>
            <w:tcW w:w="4536" w:type="dxa"/>
            <w:gridSpan w:val="4"/>
            <w:shd w:val="clear" w:color="auto" w:fill="A6A6A6" w:themeFill="background1" w:themeFillShade="A6"/>
          </w:tcPr>
          <w:p w14:paraId="3AD03DF1" w14:textId="444C8AA2" w:rsidR="00D05398" w:rsidRPr="006623FB" w:rsidRDefault="00D05398" w:rsidP="008C61DE">
            <w:pPr>
              <w:spacing w:after="0"/>
              <w:ind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b/>
                <w:bCs/>
                <w:sz w:val="20"/>
              </w:rPr>
              <w:t>Daly-Tiwi-West Arnhem</w:t>
            </w:r>
            <w:r w:rsidR="000E0780" w:rsidRPr="006623FB">
              <w:rPr>
                <w:rFonts w:asciiTheme="minorHAnsi" w:eastAsia="Times New Roman" w:hAnsiTheme="minorHAnsi" w:cs="Calibri"/>
                <w:b/>
                <w:bCs/>
                <w:sz w:val="20"/>
              </w:rPr>
              <w:t xml:space="preserve"> (n=</w:t>
            </w:r>
            <w:r w:rsidR="00A54856">
              <w:rPr>
                <w:rFonts w:asciiTheme="minorHAnsi" w:eastAsia="Times New Roman" w:hAnsiTheme="minorHAnsi" w:cs="Calibri"/>
                <w:b/>
                <w:bCs/>
                <w:sz w:val="20"/>
              </w:rPr>
              <w:t>4</w:t>
            </w:r>
            <w:r w:rsidR="00A30F44" w:rsidRPr="006623FB">
              <w:rPr>
                <w:rFonts w:asciiTheme="minorHAnsi" w:eastAsia="Times New Roman" w:hAnsiTheme="minorHAnsi" w:cs="Calibri"/>
                <w:b/>
                <w:bCs/>
                <w:sz w:val="20"/>
              </w:rPr>
              <w:t>1</w:t>
            </w:r>
            <w:r w:rsidR="007D0D7A" w:rsidRPr="006623FB">
              <w:rPr>
                <w:rFonts w:asciiTheme="minorHAnsi" w:eastAsia="Times New Roman" w:hAnsiTheme="minorHAnsi" w:cs="Calibri"/>
                <w:b/>
                <w:bCs/>
                <w:sz w:val="20"/>
              </w:rPr>
              <w:t>)</w:t>
            </w:r>
          </w:p>
        </w:tc>
      </w:tr>
      <w:tr w:rsidR="00855040" w:rsidRPr="006623FB" w14:paraId="2F2A942C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2EADE747" w14:textId="77777777" w:rsidR="002F6C4D" w:rsidRPr="006623FB" w:rsidRDefault="002F6C4D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Confident</w:t>
            </w:r>
          </w:p>
        </w:tc>
        <w:tc>
          <w:tcPr>
            <w:tcW w:w="1300" w:type="dxa"/>
            <w:noWrap/>
            <w:hideMark/>
          </w:tcPr>
          <w:p w14:paraId="608E51B4" w14:textId="1F427FF8" w:rsidR="002F6C4D" w:rsidRPr="006623FB" w:rsidRDefault="002E2B5C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71</w:t>
            </w:r>
            <w:r w:rsidR="002F6C4D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vAlign w:val="bottom"/>
            <w:hideMark/>
          </w:tcPr>
          <w:p w14:paraId="4EE14819" w14:textId="65927254" w:rsidR="002F6C4D" w:rsidRPr="006623FB" w:rsidRDefault="002E2B5C" w:rsidP="008C61DE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-3</w:t>
            </w:r>
            <w:r w:rsidR="002F6C4D" w:rsidRPr="006623FB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vAlign w:val="bottom"/>
            <w:hideMark/>
          </w:tcPr>
          <w:p w14:paraId="3397BB87" w14:textId="41A9047D" w:rsidR="002F6C4D" w:rsidRPr="006623FB" w:rsidRDefault="002E2B5C" w:rsidP="008C61DE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-14</w:t>
            </w:r>
            <w:r w:rsidR="002F6C4D" w:rsidRPr="006623FB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567" w:type="dxa"/>
            <w:noWrap/>
            <w:hideMark/>
          </w:tcPr>
          <w:p w14:paraId="5F01F8B7" w14:textId="77777777" w:rsidR="002F6C4D" w:rsidRPr="006623FB" w:rsidRDefault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69AF7A0A" w14:textId="77777777" w:rsidR="002F6C4D" w:rsidRPr="006623FB" w:rsidRDefault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Better</w:t>
            </w:r>
          </w:p>
        </w:tc>
        <w:tc>
          <w:tcPr>
            <w:tcW w:w="1225" w:type="dxa"/>
            <w:noWrap/>
            <w:hideMark/>
          </w:tcPr>
          <w:p w14:paraId="0BE9D19D" w14:textId="4A186537" w:rsidR="002F6C4D" w:rsidRPr="006623FB" w:rsidRDefault="002E2B5C" w:rsidP="008C61DE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61</w:t>
            </w:r>
            <w:r w:rsidR="002F6C4D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  <w:hideMark/>
          </w:tcPr>
          <w:p w14:paraId="241B30CE" w14:textId="7EB8DF41" w:rsidR="002F6C4D" w:rsidRPr="006623FB" w:rsidRDefault="002E2B5C" w:rsidP="008C61DE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+25</w:t>
            </w:r>
            <w:r w:rsidR="002F6C4D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  <w:hideMark/>
          </w:tcPr>
          <w:p w14:paraId="422C0E3A" w14:textId="1EB5BEBC" w:rsidR="002F6C4D" w:rsidRPr="006623FB" w:rsidRDefault="00296365" w:rsidP="008C61DE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+17</w:t>
            </w:r>
            <w:r w:rsidR="002F6C4D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855040" w:rsidRPr="006623FB" w14:paraId="73C80727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0F83324E" w14:textId="77777777" w:rsidR="002F6C4D" w:rsidRPr="006623FB" w:rsidRDefault="002F6C4D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Worried</w:t>
            </w:r>
          </w:p>
        </w:tc>
        <w:tc>
          <w:tcPr>
            <w:tcW w:w="1300" w:type="dxa"/>
            <w:noWrap/>
            <w:hideMark/>
          </w:tcPr>
          <w:p w14:paraId="372D9767" w14:textId="5119CA49" w:rsidR="002F6C4D" w:rsidRPr="006623FB" w:rsidRDefault="002E2B5C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2</w:t>
            </w:r>
            <w:r w:rsidR="002F6C4D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vAlign w:val="bottom"/>
            <w:hideMark/>
          </w:tcPr>
          <w:p w14:paraId="6B1625AE" w14:textId="0C71358F" w:rsidR="002F6C4D" w:rsidRPr="006623FB" w:rsidRDefault="00F657A7" w:rsidP="008C61DE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hAnsiTheme="minorHAnsi" w:cs="Calibri"/>
                <w:color w:val="000000"/>
                <w:sz w:val="20"/>
              </w:rPr>
              <w:t>-</w:t>
            </w:r>
            <w:r w:rsidR="002E2B5C">
              <w:rPr>
                <w:rFonts w:asciiTheme="minorHAnsi" w:hAnsiTheme="minorHAnsi" w:cs="Calibri"/>
                <w:color w:val="000000"/>
                <w:sz w:val="20"/>
              </w:rPr>
              <w:t>10</w:t>
            </w:r>
            <w:r w:rsidR="002F6C4D" w:rsidRPr="006623FB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vAlign w:val="bottom"/>
            <w:hideMark/>
          </w:tcPr>
          <w:p w14:paraId="4BB06731" w14:textId="7980C398" w:rsidR="002F6C4D" w:rsidRPr="006623FB" w:rsidRDefault="00F657A7" w:rsidP="008C61DE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hAnsiTheme="minorHAnsi" w:cs="Calibri"/>
                <w:color w:val="000000"/>
                <w:sz w:val="20"/>
              </w:rPr>
              <w:t>-</w:t>
            </w:r>
            <w:r w:rsidR="00A30F44" w:rsidRPr="006623FB">
              <w:rPr>
                <w:rFonts w:asciiTheme="minorHAnsi" w:hAnsiTheme="minorHAnsi" w:cs="Calibri"/>
                <w:color w:val="000000"/>
                <w:sz w:val="20"/>
              </w:rPr>
              <w:t>1</w:t>
            </w:r>
            <w:r w:rsidR="002E2B5C">
              <w:rPr>
                <w:rFonts w:asciiTheme="minorHAnsi" w:hAnsiTheme="minorHAnsi" w:cs="Calibri"/>
                <w:color w:val="000000"/>
                <w:sz w:val="20"/>
              </w:rPr>
              <w:t>2</w:t>
            </w:r>
            <w:r w:rsidR="002F6C4D" w:rsidRPr="006623FB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567" w:type="dxa"/>
            <w:noWrap/>
            <w:hideMark/>
          </w:tcPr>
          <w:p w14:paraId="49739AB1" w14:textId="77777777" w:rsidR="002F6C4D" w:rsidRPr="006623FB" w:rsidRDefault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7302549C" w14:textId="77777777" w:rsidR="002F6C4D" w:rsidRPr="006623FB" w:rsidRDefault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Same</w:t>
            </w:r>
          </w:p>
        </w:tc>
        <w:tc>
          <w:tcPr>
            <w:tcW w:w="1225" w:type="dxa"/>
            <w:noWrap/>
            <w:hideMark/>
          </w:tcPr>
          <w:p w14:paraId="3B74DC7C" w14:textId="647594BE" w:rsidR="002F6C4D" w:rsidRPr="006623FB" w:rsidRDefault="002E2B5C" w:rsidP="008C61DE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24</w:t>
            </w:r>
            <w:r w:rsidR="002F6C4D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  <w:hideMark/>
          </w:tcPr>
          <w:p w14:paraId="0D3B459C" w14:textId="2887EF01" w:rsidR="002F6C4D" w:rsidRPr="006623FB" w:rsidRDefault="002E2B5C" w:rsidP="008C61DE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-24</w:t>
            </w:r>
            <w:r w:rsidR="002F6C4D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  <w:hideMark/>
          </w:tcPr>
          <w:p w14:paraId="35EA2CDE" w14:textId="67B84893" w:rsidR="002F6C4D" w:rsidRPr="006623FB" w:rsidRDefault="00296365" w:rsidP="008C61DE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-16</w:t>
            </w:r>
            <w:r w:rsidR="002F6C4D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855040" w:rsidRPr="006623FB" w14:paraId="5E531B85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5BC76072" w14:textId="77777777" w:rsidR="002F6C4D" w:rsidRPr="006623FB" w:rsidRDefault="002F6C4D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Net Balance</w:t>
            </w:r>
          </w:p>
        </w:tc>
        <w:tc>
          <w:tcPr>
            <w:tcW w:w="1300" w:type="dxa"/>
            <w:noWrap/>
            <w:hideMark/>
          </w:tcPr>
          <w:p w14:paraId="0ACBEA3B" w14:textId="48A8C9E3" w:rsidR="002F6C4D" w:rsidRPr="006623FB" w:rsidRDefault="002E2B5C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68</w:t>
            </w:r>
            <w:r w:rsidR="002F6C4D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vAlign w:val="bottom"/>
            <w:hideMark/>
          </w:tcPr>
          <w:p w14:paraId="4BE593BA" w14:textId="4BBDA4BD" w:rsidR="002F6C4D" w:rsidRPr="006623FB" w:rsidRDefault="00A30F44" w:rsidP="008C61DE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hAnsiTheme="minorHAnsi" w:cs="Calibri"/>
                <w:color w:val="000000"/>
                <w:sz w:val="20"/>
              </w:rPr>
              <w:t>+</w:t>
            </w:r>
            <w:r w:rsidR="002E2B5C">
              <w:rPr>
                <w:rFonts w:asciiTheme="minorHAnsi" w:hAnsiTheme="minorHAnsi" w:cs="Calibri"/>
                <w:color w:val="000000"/>
                <w:sz w:val="20"/>
              </w:rPr>
              <w:t>7</w:t>
            </w:r>
            <w:r w:rsidR="002F6C4D" w:rsidRPr="006623FB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vAlign w:val="bottom"/>
            <w:hideMark/>
          </w:tcPr>
          <w:p w14:paraId="41612C8C" w14:textId="6C4278B8" w:rsidR="002F6C4D" w:rsidRPr="006623FB" w:rsidRDefault="002E2B5C" w:rsidP="008C61DE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-</w:t>
            </w:r>
            <w:r w:rsidR="00A30F44" w:rsidRPr="006623FB">
              <w:rPr>
                <w:rFonts w:asciiTheme="minorHAnsi" w:hAnsiTheme="minorHAnsi" w:cs="Calibri"/>
                <w:color w:val="000000"/>
                <w:sz w:val="20"/>
              </w:rPr>
              <w:t>2</w:t>
            </w:r>
            <w:r w:rsidR="002F6C4D" w:rsidRPr="006623FB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567" w:type="dxa"/>
            <w:noWrap/>
            <w:hideMark/>
          </w:tcPr>
          <w:p w14:paraId="47F6D8DE" w14:textId="77777777" w:rsidR="002F6C4D" w:rsidRPr="006623FB" w:rsidRDefault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63EA869A" w14:textId="77777777" w:rsidR="002F6C4D" w:rsidRPr="006623FB" w:rsidRDefault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Worse</w:t>
            </w:r>
          </w:p>
        </w:tc>
        <w:tc>
          <w:tcPr>
            <w:tcW w:w="1225" w:type="dxa"/>
            <w:noWrap/>
            <w:hideMark/>
          </w:tcPr>
          <w:p w14:paraId="373AA680" w14:textId="653672EB" w:rsidR="002F6C4D" w:rsidRPr="006623FB" w:rsidRDefault="00A30F44" w:rsidP="008C61DE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1</w:t>
            </w:r>
            <w:r w:rsidR="002E2B5C">
              <w:rPr>
                <w:rFonts w:asciiTheme="minorHAnsi" w:eastAsia="Times New Roman" w:hAnsiTheme="minorHAnsi" w:cs="Calibri"/>
                <w:color w:val="000000"/>
                <w:sz w:val="20"/>
              </w:rPr>
              <w:t>5</w:t>
            </w:r>
            <w:r w:rsidR="002F6C4D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  <w:hideMark/>
          </w:tcPr>
          <w:p w14:paraId="60124D32" w14:textId="5E189FD8" w:rsidR="002F6C4D" w:rsidRPr="006623FB" w:rsidRDefault="002E2B5C" w:rsidP="008C61DE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-1</w:t>
            </w:r>
            <w:r w:rsidR="002F6C4D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  <w:hideMark/>
          </w:tcPr>
          <w:p w14:paraId="3928690E" w14:textId="02DA48BF" w:rsidR="002F6C4D" w:rsidRPr="006623FB" w:rsidRDefault="00296365" w:rsidP="008C61DE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0</w:t>
            </w:r>
            <w:r w:rsidR="002F6C4D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D05398" w:rsidRPr="006623FB" w14:paraId="7B1393E5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4"/>
            <w:shd w:val="clear" w:color="auto" w:fill="A6A6A6" w:themeFill="background1" w:themeFillShade="A6"/>
            <w:noWrap/>
            <w:hideMark/>
          </w:tcPr>
          <w:p w14:paraId="3553AA90" w14:textId="51060C7F" w:rsidR="00D05398" w:rsidRPr="006623FB" w:rsidRDefault="00D05398">
            <w:pPr>
              <w:spacing w:after="0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b/>
                <w:bCs/>
                <w:sz w:val="20"/>
              </w:rPr>
              <w:t>East Arnhem</w:t>
            </w:r>
            <w:r w:rsidR="000E0780" w:rsidRPr="006623FB">
              <w:rPr>
                <w:rFonts w:asciiTheme="minorHAnsi" w:eastAsia="Times New Roman" w:hAnsiTheme="minorHAnsi" w:cs="Calibri"/>
                <w:b/>
                <w:bCs/>
                <w:sz w:val="20"/>
              </w:rPr>
              <w:t xml:space="preserve"> (n=</w:t>
            </w:r>
            <w:r w:rsidR="00A54856">
              <w:rPr>
                <w:rFonts w:asciiTheme="minorHAnsi" w:eastAsia="Times New Roman" w:hAnsiTheme="minorHAnsi" w:cs="Calibri"/>
                <w:b/>
                <w:bCs/>
                <w:sz w:val="20"/>
              </w:rPr>
              <w:t>37</w:t>
            </w:r>
            <w:r w:rsidR="003875FC" w:rsidRPr="006623FB">
              <w:rPr>
                <w:rFonts w:asciiTheme="minorHAnsi" w:eastAsia="Times New Roman" w:hAnsiTheme="minorHAnsi" w:cs="Calibri"/>
                <w:b/>
                <w:bCs/>
                <w:sz w:val="20"/>
              </w:rPr>
              <w:t>)</w:t>
            </w:r>
          </w:p>
        </w:tc>
        <w:tc>
          <w:tcPr>
            <w:tcW w:w="567" w:type="dxa"/>
            <w:shd w:val="clear" w:color="auto" w:fill="FFFFFF" w:themeFill="background1"/>
          </w:tcPr>
          <w:p w14:paraId="65C329B5" w14:textId="77777777" w:rsidR="00D05398" w:rsidRPr="006623FB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  <w:sz w:val="20"/>
              </w:rPr>
            </w:pPr>
          </w:p>
        </w:tc>
        <w:tc>
          <w:tcPr>
            <w:tcW w:w="4536" w:type="dxa"/>
            <w:gridSpan w:val="4"/>
            <w:shd w:val="clear" w:color="auto" w:fill="A6A6A6" w:themeFill="background1" w:themeFillShade="A6"/>
          </w:tcPr>
          <w:p w14:paraId="0B23E4F7" w14:textId="00D6FA22" w:rsidR="00D05398" w:rsidRPr="006623FB" w:rsidRDefault="00D05398" w:rsidP="008C61DE">
            <w:pPr>
              <w:spacing w:after="0"/>
              <w:ind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b/>
                <w:bCs/>
                <w:sz w:val="20"/>
              </w:rPr>
              <w:t>East Arnhem</w:t>
            </w:r>
            <w:r w:rsidR="007D0D7A" w:rsidRPr="006623FB">
              <w:rPr>
                <w:rFonts w:asciiTheme="minorHAnsi" w:eastAsia="Times New Roman" w:hAnsiTheme="minorHAnsi" w:cs="Calibri"/>
                <w:b/>
                <w:bCs/>
                <w:sz w:val="20"/>
              </w:rPr>
              <w:t xml:space="preserve"> (n=</w:t>
            </w:r>
            <w:r w:rsidR="00A54856">
              <w:rPr>
                <w:rFonts w:asciiTheme="minorHAnsi" w:eastAsia="Times New Roman" w:hAnsiTheme="minorHAnsi" w:cs="Calibri"/>
                <w:b/>
                <w:bCs/>
                <w:sz w:val="20"/>
              </w:rPr>
              <w:t>37</w:t>
            </w:r>
            <w:r w:rsidR="007D0D7A" w:rsidRPr="006623FB">
              <w:rPr>
                <w:rFonts w:asciiTheme="minorHAnsi" w:eastAsia="Times New Roman" w:hAnsiTheme="minorHAnsi" w:cs="Calibri"/>
                <w:b/>
                <w:bCs/>
                <w:sz w:val="20"/>
              </w:rPr>
              <w:t>)</w:t>
            </w:r>
          </w:p>
        </w:tc>
      </w:tr>
      <w:tr w:rsidR="00855040" w:rsidRPr="006623FB" w14:paraId="3FCDA6AA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391DB2ED" w14:textId="77777777" w:rsidR="008A0EC2" w:rsidRPr="006623FB" w:rsidRDefault="008A0EC2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Confident</w:t>
            </w:r>
          </w:p>
        </w:tc>
        <w:tc>
          <w:tcPr>
            <w:tcW w:w="1300" w:type="dxa"/>
            <w:noWrap/>
            <w:vAlign w:val="bottom"/>
            <w:hideMark/>
          </w:tcPr>
          <w:p w14:paraId="4365F5F4" w14:textId="01176C4A" w:rsidR="008A0EC2" w:rsidRPr="006623FB" w:rsidRDefault="002E2B5C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62</w:t>
            </w:r>
            <w:r w:rsidR="008A0EC2" w:rsidRPr="006623FB">
              <w:rPr>
                <w:rFonts w:asciiTheme="minorHAnsi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vAlign w:val="bottom"/>
            <w:hideMark/>
          </w:tcPr>
          <w:p w14:paraId="399972E6" w14:textId="62E7A241" w:rsidR="008A0EC2" w:rsidRPr="006623FB" w:rsidRDefault="002E2B5C" w:rsidP="008C61DE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+2</w:t>
            </w:r>
            <w:r w:rsidR="008A0EC2" w:rsidRPr="006623FB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vAlign w:val="bottom"/>
            <w:hideMark/>
          </w:tcPr>
          <w:p w14:paraId="4ED9B28D" w14:textId="4ABDABFD" w:rsidR="008A0EC2" w:rsidRPr="006623FB" w:rsidRDefault="00F657A7" w:rsidP="008C61DE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hAnsiTheme="minorHAnsi" w:cs="Calibri"/>
                <w:color w:val="000000"/>
                <w:sz w:val="20"/>
              </w:rPr>
              <w:t>-</w:t>
            </w:r>
            <w:r w:rsidR="002E2B5C">
              <w:rPr>
                <w:rFonts w:asciiTheme="minorHAnsi" w:hAnsiTheme="minorHAnsi" w:cs="Calibri"/>
                <w:color w:val="000000"/>
                <w:sz w:val="20"/>
              </w:rPr>
              <w:t>20</w:t>
            </w:r>
            <w:r w:rsidR="008A0EC2" w:rsidRPr="006623FB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567" w:type="dxa"/>
            <w:noWrap/>
            <w:hideMark/>
          </w:tcPr>
          <w:p w14:paraId="10A3B2A0" w14:textId="77777777" w:rsidR="008A0EC2" w:rsidRPr="006623FB" w:rsidRDefault="008A0E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73087113" w14:textId="77777777" w:rsidR="008A0EC2" w:rsidRPr="006623FB" w:rsidRDefault="008A0E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Better</w:t>
            </w:r>
          </w:p>
        </w:tc>
        <w:tc>
          <w:tcPr>
            <w:tcW w:w="1225" w:type="dxa"/>
            <w:noWrap/>
            <w:hideMark/>
          </w:tcPr>
          <w:p w14:paraId="25E6D4A6" w14:textId="65E7DE46" w:rsidR="008A0EC2" w:rsidRPr="006623FB" w:rsidRDefault="002E2B5C" w:rsidP="008C61DE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33</w:t>
            </w:r>
            <w:r w:rsidR="008A0EC2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  <w:vAlign w:val="bottom"/>
            <w:hideMark/>
          </w:tcPr>
          <w:p w14:paraId="2378A9C4" w14:textId="11DAE7B1" w:rsidR="008A0EC2" w:rsidRPr="006623FB" w:rsidRDefault="00A30F44" w:rsidP="008C61DE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hAnsiTheme="minorHAnsi" w:cs="Calibri"/>
                <w:color w:val="000000"/>
                <w:sz w:val="20"/>
              </w:rPr>
              <w:t>-</w:t>
            </w:r>
            <w:r w:rsidR="002E2B5C">
              <w:rPr>
                <w:rFonts w:asciiTheme="minorHAnsi" w:hAnsiTheme="minorHAnsi" w:cs="Calibri"/>
                <w:color w:val="000000"/>
                <w:sz w:val="20"/>
              </w:rPr>
              <w:t>27</w:t>
            </w:r>
            <w:r w:rsidR="008A0EC2" w:rsidRPr="006623FB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  <w:vAlign w:val="bottom"/>
            <w:hideMark/>
          </w:tcPr>
          <w:p w14:paraId="6715864A" w14:textId="4C700B0A" w:rsidR="008A0EC2" w:rsidRPr="006623FB" w:rsidRDefault="00296365" w:rsidP="008C61DE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+4</w:t>
            </w:r>
            <w:r w:rsidR="008A0EC2" w:rsidRPr="006623FB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</w:tr>
      <w:tr w:rsidR="00855040" w:rsidRPr="006623FB" w14:paraId="63E75AAC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4F7FA32B" w14:textId="77777777" w:rsidR="008A0EC2" w:rsidRPr="006623FB" w:rsidRDefault="008A0EC2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Worried</w:t>
            </w:r>
          </w:p>
        </w:tc>
        <w:tc>
          <w:tcPr>
            <w:tcW w:w="1300" w:type="dxa"/>
            <w:noWrap/>
            <w:vAlign w:val="bottom"/>
            <w:hideMark/>
          </w:tcPr>
          <w:p w14:paraId="6EA39989" w14:textId="273E9F56" w:rsidR="008A0EC2" w:rsidRPr="006623FB" w:rsidRDefault="00A30F44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hAnsiTheme="minorHAnsi" w:cs="Calibri"/>
                <w:color w:val="000000"/>
                <w:sz w:val="20"/>
              </w:rPr>
              <w:t>14</w:t>
            </w:r>
            <w:r w:rsidR="008A0EC2" w:rsidRPr="006623FB">
              <w:rPr>
                <w:rFonts w:asciiTheme="minorHAnsi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vAlign w:val="bottom"/>
            <w:hideMark/>
          </w:tcPr>
          <w:p w14:paraId="154612B6" w14:textId="699D8F6E" w:rsidR="008A0EC2" w:rsidRPr="006623FB" w:rsidRDefault="002E2B5C" w:rsidP="008C61DE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0</w:t>
            </w:r>
            <w:r w:rsidR="008A0EC2" w:rsidRPr="006623FB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vAlign w:val="bottom"/>
            <w:hideMark/>
          </w:tcPr>
          <w:p w14:paraId="3C487FFF" w14:textId="6E658F4F" w:rsidR="008A0EC2" w:rsidRPr="006623FB" w:rsidRDefault="00F657A7" w:rsidP="008C61DE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hAnsiTheme="minorHAnsi" w:cs="Calibri"/>
                <w:color w:val="000000"/>
                <w:sz w:val="20"/>
              </w:rPr>
              <w:t>+</w:t>
            </w:r>
            <w:r w:rsidR="00A30F44" w:rsidRPr="006623FB">
              <w:rPr>
                <w:rFonts w:asciiTheme="minorHAnsi" w:hAnsiTheme="minorHAnsi" w:cs="Calibri"/>
                <w:color w:val="000000"/>
                <w:sz w:val="20"/>
              </w:rPr>
              <w:t>4</w:t>
            </w:r>
            <w:r w:rsidR="008A0EC2" w:rsidRPr="006623FB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567" w:type="dxa"/>
            <w:noWrap/>
            <w:hideMark/>
          </w:tcPr>
          <w:p w14:paraId="44633619" w14:textId="77777777" w:rsidR="008A0EC2" w:rsidRPr="006623FB" w:rsidRDefault="008A0E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2D1F3C78" w14:textId="77777777" w:rsidR="008A0EC2" w:rsidRPr="006623FB" w:rsidRDefault="008A0E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Same</w:t>
            </w:r>
          </w:p>
        </w:tc>
        <w:tc>
          <w:tcPr>
            <w:tcW w:w="1225" w:type="dxa"/>
            <w:noWrap/>
            <w:hideMark/>
          </w:tcPr>
          <w:p w14:paraId="225F83D7" w14:textId="7C9DFCD7" w:rsidR="008A0EC2" w:rsidRPr="006623FB" w:rsidRDefault="002E2B5C" w:rsidP="008C61DE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44</w:t>
            </w:r>
            <w:r w:rsidR="008A0EC2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  <w:vAlign w:val="bottom"/>
            <w:hideMark/>
          </w:tcPr>
          <w:p w14:paraId="45518414" w14:textId="79BB2770" w:rsidR="008A0EC2" w:rsidRPr="006623FB" w:rsidRDefault="00A30F44" w:rsidP="008C61DE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hAnsiTheme="minorHAnsi" w:cs="Calibri"/>
                <w:color w:val="000000"/>
                <w:sz w:val="20"/>
              </w:rPr>
              <w:t>+</w:t>
            </w:r>
            <w:r w:rsidR="002E2B5C">
              <w:rPr>
                <w:rFonts w:asciiTheme="minorHAnsi" w:hAnsiTheme="minorHAnsi" w:cs="Calibri"/>
                <w:color w:val="000000"/>
                <w:sz w:val="20"/>
              </w:rPr>
              <w:t>18</w:t>
            </w:r>
            <w:r w:rsidR="008A0EC2" w:rsidRPr="006623FB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  <w:vAlign w:val="bottom"/>
            <w:hideMark/>
          </w:tcPr>
          <w:p w14:paraId="6344DD36" w14:textId="176AEC0E" w:rsidR="008A0EC2" w:rsidRPr="006623FB" w:rsidRDefault="00296365" w:rsidP="008C61DE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+15</w:t>
            </w:r>
            <w:r w:rsidR="008A0EC2" w:rsidRPr="006623FB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</w:tr>
      <w:tr w:rsidR="00855040" w:rsidRPr="006623FB" w14:paraId="03B1B457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3D8E7491" w14:textId="77777777" w:rsidR="008A0EC2" w:rsidRPr="006623FB" w:rsidRDefault="008A0EC2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Net Balance</w:t>
            </w:r>
          </w:p>
        </w:tc>
        <w:tc>
          <w:tcPr>
            <w:tcW w:w="1300" w:type="dxa"/>
            <w:noWrap/>
            <w:vAlign w:val="bottom"/>
            <w:hideMark/>
          </w:tcPr>
          <w:p w14:paraId="1D1AB0BA" w14:textId="1E02DF7C" w:rsidR="008A0EC2" w:rsidRPr="006623FB" w:rsidRDefault="00A30F44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hAnsiTheme="minorHAnsi" w:cs="Calibri"/>
                <w:color w:val="000000"/>
                <w:sz w:val="20"/>
              </w:rPr>
              <w:t>4</w:t>
            </w:r>
            <w:r w:rsidR="002E2B5C">
              <w:rPr>
                <w:rFonts w:asciiTheme="minorHAnsi" w:hAnsiTheme="minorHAnsi" w:cs="Calibri"/>
                <w:color w:val="000000"/>
                <w:sz w:val="20"/>
              </w:rPr>
              <w:t>9</w:t>
            </w:r>
            <w:r w:rsidR="008A0EC2" w:rsidRPr="006623FB">
              <w:rPr>
                <w:rFonts w:asciiTheme="minorHAnsi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vAlign w:val="bottom"/>
            <w:hideMark/>
          </w:tcPr>
          <w:p w14:paraId="23FA7F14" w14:textId="6E2D50ED" w:rsidR="008A0EC2" w:rsidRPr="006623FB" w:rsidRDefault="002E2B5C" w:rsidP="008C61DE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+2</w:t>
            </w:r>
            <w:r w:rsidR="008A0EC2" w:rsidRPr="006623FB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vAlign w:val="bottom"/>
            <w:hideMark/>
          </w:tcPr>
          <w:p w14:paraId="5BE9DBE2" w14:textId="07FB8189" w:rsidR="008A0EC2" w:rsidRPr="006623FB" w:rsidRDefault="00F657A7" w:rsidP="008C61DE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hAnsiTheme="minorHAnsi" w:cs="Calibri"/>
                <w:color w:val="000000"/>
                <w:sz w:val="20"/>
              </w:rPr>
              <w:t>-</w:t>
            </w:r>
            <w:r w:rsidR="002E2B5C">
              <w:rPr>
                <w:rFonts w:asciiTheme="minorHAnsi" w:hAnsiTheme="minorHAnsi" w:cs="Calibri"/>
                <w:color w:val="000000"/>
                <w:sz w:val="20"/>
              </w:rPr>
              <w:t>24</w:t>
            </w:r>
            <w:r w:rsidR="008A0EC2" w:rsidRPr="006623FB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567" w:type="dxa"/>
            <w:noWrap/>
            <w:hideMark/>
          </w:tcPr>
          <w:p w14:paraId="35A56117" w14:textId="77777777" w:rsidR="008A0EC2" w:rsidRPr="006623FB" w:rsidRDefault="008A0E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248A9017" w14:textId="77777777" w:rsidR="008A0EC2" w:rsidRPr="006623FB" w:rsidRDefault="008A0E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Worse</w:t>
            </w:r>
          </w:p>
        </w:tc>
        <w:tc>
          <w:tcPr>
            <w:tcW w:w="1225" w:type="dxa"/>
            <w:noWrap/>
            <w:hideMark/>
          </w:tcPr>
          <w:p w14:paraId="72C688EF" w14:textId="422B900B" w:rsidR="008A0EC2" w:rsidRPr="006623FB" w:rsidRDefault="002E2B5C" w:rsidP="008C61DE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22</w:t>
            </w:r>
            <w:r w:rsidR="008A0EC2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  <w:vAlign w:val="bottom"/>
            <w:hideMark/>
          </w:tcPr>
          <w:p w14:paraId="45803D13" w14:textId="61AC7176" w:rsidR="008A0EC2" w:rsidRPr="006623FB" w:rsidRDefault="002E2B5C" w:rsidP="008C61DE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+9</w:t>
            </w:r>
            <w:r w:rsidR="008A0EC2" w:rsidRPr="006623FB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  <w:vAlign w:val="bottom"/>
            <w:hideMark/>
          </w:tcPr>
          <w:p w14:paraId="63B3CC4E" w14:textId="298A40DD" w:rsidR="008A0EC2" w:rsidRPr="006623FB" w:rsidRDefault="00296365" w:rsidP="008C61DE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-19</w:t>
            </w:r>
            <w:r w:rsidR="008A0EC2" w:rsidRPr="006623FB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</w:tr>
      <w:tr w:rsidR="00D05398" w:rsidRPr="006623FB" w14:paraId="1718152E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4"/>
            <w:shd w:val="clear" w:color="auto" w:fill="A6A6A6" w:themeFill="background1" w:themeFillShade="A6"/>
            <w:noWrap/>
            <w:hideMark/>
          </w:tcPr>
          <w:p w14:paraId="53602593" w14:textId="0BCF04EA" w:rsidR="00D05398" w:rsidRPr="006623FB" w:rsidRDefault="00D05398">
            <w:pPr>
              <w:spacing w:after="0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b/>
                <w:bCs/>
                <w:sz w:val="20"/>
              </w:rPr>
              <w:t>Katherine</w:t>
            </w:r>
            <w:r w:rsidR="003875FC" w:rsidRPr="006623FB">
              <w:rPr>
                <w:rFonts w:asciiTheme="minorHAnsi" w:eastAsia="Times New Roman" w:hAnsiTheme="minorHAnsi" w:cs="Calibri"/>
                <w:b/>
                <w:bCs/>
                <w:sz w:val="20"/>
              </w:rPr>
              <w:t xml:space="preserve"> (n=</w:t>
            </w:r>
            <w:r w:rsidR="00A54856">
              <w:rPr>
                <w:rFonts w:asciiTheme="minorHAnsi" w:eastAsia="Times New Roman" w:hAnsiTheme="minorHAnsi" w:cs="Calibri"/>
                <w:b/>
                <w:bCs/>
                <w:sz w:val="20"/>
              </w:rPr>
              <w:t>16</w:t>
            </w:r>
            <w:r w:rsidR="007D0D7A" w:rsidRPr="006623FB">
              <w:rPr>
                <w:rFonts w:asciiTheme="minorHAnsi" w:eastAsia="Times New Roman" w:hAnsiTheme="minorHAnsi" w:cs="Calibri"/>
                <w:b/>
                <w:bCs/>
                <w:sz w:val="20"/>
              </w:rPr>
              <w:t>)</w:t>
            </w:r>
          </w:p>
        </w:tc>
        <w:tc>
          <w:tcPr>
            <w:tcW w:w="567" w:type="dxa"/>
            <w:shd w:val="clear" w:color="auto" w:fill="FFFFFF" w:themeFill="background1"/>
          </w:tcPr>
          <w:p w14:paraId="2A8E6C8B" w14:textId="77777777" w:rsidR="00D05398" w:rsidRPr="006623FB" w:rsidRDefault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  <w:sz w:val="20"/>
              </w:rPr>
            </w:pPr>
          </w:p>
        </w:tc>
        <w:tc>
          <w:tcPr>
            <w:tcW w:w="4536" w:type="dxa"/>
            <w:gridSpan w:val="4"/>
            <w:shd w:val="clear" w:color="auto" w:fill="A6A6A6" w:themeFill="background1" w:themeFillShade="A6"/>
          </w:tcPr>
          <w:p w14:paraId="34E6D8CE" w14:textId="56689D42" w:rsidR="00D05398" w:rsidRPr="006623FB" w:rsidRDefault="00D05398" w:rsidP="008C61DE">
            <w:pPr>
              <w:spacing w:after="0"/>
              <w:ind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b/>
                <w:bCs/>
                <w:sz w:val="20"/>
              </w:rPr>
              <w:t>Katherine</w:t>
            </w:r>
            <w:r w:rsidR="00A54856">
              <w:rPr>
                <w:rFonts w:asciiTheme="minorHAnsi" w:eastAsia="Times New Roman" w:hAnsiTheme="minorHAnsi" w:cs="Calibri"/>
                <w:b/>
                <w:bCs/>
                <w:sz w:val="20"/>
              </w:rPr>
              <w:t xml:space="preserve"> (n=16</w:t>
            </w:r>
            <w:r w:rsidR="007D0D7A" w:rsidRPr="006623FB">
              <w:rPr>
                <w:rFonts w:asciiTheme="minorHAnsi" w:eastAsia="Times New Roman" w:hAnsiTheme="minorHAnsi" w:cs="Calibri"/>
                <w:b/>
                <w:bCs/>
                <w:sz w:val="20"/>
              </w:rPr>
              <w:t>)</w:t>
            </w:r>
          </w:p>
        </w:tc>
      </w:tr>
      <w:tr w:rsidR="00855040" w:rsidRPr="006623FB" w14:paraId="25F39FB2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11F13DFC" w14:textId="77777777" w:rsidR="00D05398" w:rsidRPr="006623FB" w:rsidRDefault="00D05398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Confident</w:t>
            </w:r>
          </w:p>
        </w:tc>
        <w:tc>
          <w:tcPr>
            <w:tcW w:w="1300" w:type="dxa"/>
            <w:noWrap/>
            <w:hideMark/>
          </w:tcPr>
          <w:p w14:paraId="6EE3AFD4" w14:textId="552966F5" w:rsidR="00D05398" w:rsidRPr="006623FB" w:rsidRDefault="002E2B5C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56</w:t>
            </w:r>
            <w:r w:rsidR="00D05398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hideMark/>
          </w:tcPr>
          <w:p w14:paraId="2FDD5C91" w14:textId="58F7F08C" w:rsidR="00D05398" w:rsidRPr="006623FB" w:rsidRDefault="002E2B5C" w:rsidP="008C61DE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-17</w:t>
            </w:r>
            <w:r w:rsidR="00D05398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hideMark/>
          </w:tcPr>
          <w:p w14:paraId="5A34E697" w14:textId="0C4116B4" w:rsidR="00D05398" w:rsidRPr="006623FB" w:rsidRDefault="00F657A7" w:rsidP="008C61DE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-</w:t>
            </w:r>
            <w:r w:rsidR="002E2B5C">
              <w:rPr>
                <w:rFonts w:asciiTheme="minorHAnsi" w:eastAsia="Times New Roman" w:hAnsiTheme="minorHAnsi" w:cs="Calibri"/>
                <w:color w:val="000000"/>
                <w:sz w:val="20"/>
              </w:rPr>
              <w:t>24</w:t>
            </w:r>
            <w:r w:rsidR="00D05398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567" w:type="dxa"/>
            <w:noWrap/>
            <w:hideMark/>
          </w:tcPr>
          <w:p w14:paraId="3A7F065F" w14:textId="77777777" w:rsidR="00D05398" w:rsidRPr="006623FB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36244A59" w14:textId="77777777" w:rsidR="00D05398" w:rsidRPr="006623FB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Better</w:t>
            </w:r>
          </w:p>
        </w:tc>
        <w:tc>
          <w:tcPr>
            <w:tcW w:w="1225" w:type="dxa"/>
            <w:noWrap/>
            <w:hideMark/>
          </w:tcPr>
          <w:p w14:paraId="2944F806" w14:textId="4B4B5084" w:rsidR="00D05398" w:rsidRPr="006623FB" w:rsidRDefault="00A30F44" w:rsidP="008C61DE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5</w:t>
            </w:r>
            <w:r w:rsidR="002E2B5C">
              <w:rPr>
                <w:rFonts w:asciiTheme="minorHAnsi" w:eastAsia="Times New Roman" w:hAnsiTheme="minorHAnsi" w:cs="Calibri"/>
                <w:color w:val="000000"/>
                <w:sz w:val="20"/>
              </w:rPr>
              <w:t>6</w:t>
            </w:r>
            <w:r w:rsidR="00D05398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  <w:hideMark/>
          </w:tcPr>
          <w:p w14:paraId="55EBC0CA" w14:textId="21BAE415" w:rsidR="00D05398" w:rsidRPr="006623FB" w:rsidRDefault="005A59B5" w:rsidP="008C61DE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-</w:t>
            </w:r>
            <w:r w:rsidR="002E2B5C">
              <w:rPr>
                <w:rFonts w:asciiTheme="minorHAnsi" w:eastAsia="Times New Roman" w:hAnsiTheme="minorHAnsi" w:cs="Calibri"/>
                <w:color w:val="000000"/>
                <w:sz w:val="20"/>
              </w:rPr>
              <w:t>12</w:t>
            </w:r>
            <w:r w:rsidR="00D05398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  <w:hideMark/>
          </w:tcPr>
          <w:p w14:paraId="504FF194" w14:textId="7B765149" w:rsidR="00D05398" w:rsidRPr="006623FB" w:rsidRDefault="00296365" w:rsidP="008C61DE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+32</w:t>
            </w:r>
            <w:r w:rsidR="00D05398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855040" w:rsidRPr="006623FB" w14:paraId="5651D452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0E423CD8" w14:textId="77777777" w:rsidR="00D05398" w:rsidRPr="006623FB" w:rsidRDefault="00D05398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Worried</w:t>
            </w:r>
          </w:p>
        </w:tc>
        <w:tc>
          <w:tcPr>
            <w:tcW w:w="1300" w:type="dxa"/>
            <w:noWrap/>
            <w:hideMark/>
          </w:tcPr>
          <w:p w14:paraId="1E24E165" w14:textId="7FF13A69" w:rsidR="00D05398" w:rsidRPr="006623FB" w:rsidRDefault="002E2B5C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25</w:t>
            </w:r>
            <w:r w:rsidR="00D05398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hideMark/>
          </w:tcPr>
          <w:p w14:paraId="07E798A4" w14:textId="7DB4AF71" w:rsidR="00D05398" w:rsidRPr="006623FB" w:rsidRDefault="002E2B5C" w:rsidP="008C61DE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+15</w:t>
            </w:r>
            <w:r w:rsidR="00D05398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hideMark/>
          </w:tcPr>
          <w:p w14:paraId="5AD780DA" w14:textId="42F05EEF" w:rsidR="00D05398" w:rsidRPr="006623FB" w:rsidRDefault="00F657A7" w:rsidP="008C61DE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+</w:t>
            </w:r>
            <w:r w:rsidR="002E2B5C">
              <w:rPr>
                <w:rFonts w:asciiTheme="minorHAnsi" w:eastAsia="Times New Roman" w:hAnsiTheme="minorHAnsi" w:cs="Calibri"/>
                <w:color w:val="000000"/>
                <w:sz w:val="20"/>
              </w:rPr>
              <w:t>21</w:t>
            </w:r>
            <w:r w:rsidR="00D05398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567" w:type="dxa"/>
            <w:noWrap/>
            <w:hideMark/>
          </w:tcPr>
          <w:p w14:paraId="18770AA8" w14:textId="77777777" w:rsidR="00D05398" w:rsidRPr="006623FB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29E0923E" w14:textId="77777777" w:rsidR="00D05398" w:rsidRPr="006623FB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Same</w:t>
            </w:r>
          </w:p>
        </w:tc>
        <w:tc>
          <w:tcPr>
            <w:tcW w:w="1225" w:type="dxa"/>
            <w:noWrap/>
            <w:hideMark/>
          </w:tcPr>
          <w:p w14:paraId="27572BBE" w14:textId="516D7696" w:rsidR="00D05398" w:rsidRPr="006623FB" w:rsidRDefault="002E2B5C" w:rsidP="008C61DE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6</w:t>
            </w:r>
            <w:r w:rsidR="00D05398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  <w:hideMark/>
          </w:tcPr>
          <w:p w14:paraId="5635DBFB" w14:textId="45C9DFA4" w:rsidR="00D05398" w:rsidRPr="006623FB" w:rsidRDefault="00A30F44" w:rsidP="008C61DE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-</w:t>
            </w:r>
            <w:r w:rsidR="002E2B5C">
              <w:rPr>
                <w:rFonts w:asciiTheme="minorHAnsi" w:eastAsia="Times New Roman" w:hAnsiTheme="minorHAnsi" w:cs="Calibri"/>
                <w:color w:val="000000"/>
                <w:sz w:val="20"/>
              </w:rPr>
              <w:t>8</w:t>
            </w:r>
            <w:r w:rsidR="00D05398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  <w:hideMark/>
          </w:tcPr>
          <w:p w14:paraId="6B4522B8" w14:textId="4E07E6C8" w:rsidR="00D05398" w:rsidRPr="006623FB" w:rsidRDefault="00A30F44" w:rsidP="008C61DE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-</w:t>
            </w:r>
            <w:r w:rsidR="00296365">
              <w:rPr>
                <w:rFonts w:asciiTheme="minorHAnsi" w:eastAsia="Times New Roman" w:hAnsiTheme="minorHAnsi" w:cs="Calibri"/>
                <w:color w:val="000000"/>
                <w:sz w:val="20"/>
              </w:rPr>
              <w:t>58</w:t>
            </w:r>
            <w:r w:rsidR="00D05398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855040" w:rsidRPr="006623FB" w14:paraId="78C2C56B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1C4B21C9" w14:textId="77777777" w:rsidR="00D05398" w:rsidRPr="006623FB" w:rsidRDefault="00D05398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Net Balance</w:t>
            </w:r>
          </w:p>
        </w:tc>
        <w:tc>
          <w:tcPr>
            <w:tcW w:w="1300" w:type="dxa"/>
            <w:noWrap/>
            <w:hideMark/>
          </w:tcPr>
          <w:p w14:paraId="095BE740" w14:textId="609EA3DB" w:rsidR="00D05398" w:rsidRPr="006623FB" w:rsidRDefault="002E2B5C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31</w:t>
            </w:r>
            <w:r w:rsidR="00D05398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hideMark/>
          </w:tcPr>
          <w:p w14:paraId="25C343D0" w14:textId="794BAA42" w:rsidR="00D05398" w:rsidRPr="006623FB" w:rsidRDefault="002E2B5C" w:rsidP="008C61DE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-32</w:t>
            </w:r>
            <w:r w:rsidR="00D05398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hideMark/>
          </w:tcPr>
          <w:p w14:paraId="4F0D59EE" w14:textId="03CE9D2B" w:rsidR="00D05398" w:rsidRPr="006623FB" w:rsidRDefault="00F657A7" w:rsidP="008C61DE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-</w:t>
            </w:r>
            <w:r w:rsidR="002E2B5C">
              <w:rPr>
                <w:rFonts w:asciiTheme="minorHAnsi" w:eastAsia="Times New Roman" w:hAnsiTheme="minorHAnsi" w:cs="Calibri"/>
                <w:color w:val="000000"/>
                <w:sz w:val="20"/>
              </w:rPr>
              <w:t>45</w:t>
            </w:r>
            <w:r w:rsidR="00D05398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567" w:type="dxa"/>
            <w:noWrap/>
            <w:hideMark/>
          </w:tcPr>
          <w:p w14:paraId="4E3FD15B" w14:textId="77777777" w:rsidR="00D05398" w:rsidRPr="006623FB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014F7E5B" w14:textId="77777777" w:rsidR="00D05398" w:rsidRPr="006623FB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Worse</w:t>
            </w:r>
          </w:p>
        </w:tc>
        <w:tc>
          <w:tcPr>
            <w:tcW w:w="1225" w:type="dxa"/>
            <w:noWrap/>
            <w:hideMark/>
          </w:tcPr>
          <w:p w14:paraId="61AF2AEB" w14:textId="2BE18F68" w:rsidR="00D05398" w:rsidRPr="006623FB" w:rsidRDefault="002E2B5C" w:rsidP="008C61DE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38</w:t>
            </w:r>
            <w:r w:rsidR="00D05398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  <w:hideMark/>
          </w:tcPr>
          <w:p w14:paraId="180E6C9D" w14:textId="15364743" w:rsidR="00D05398" w:rsidRPr="006623FB" w:rsidRDefault="005A59B5" w:rsidP="008C61DE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+</w:t>
            </w:r>
            <w:r w:rsidR="002E2B5C">
              <w:rPr>
                <w:rFonts w:asciiTheme="minorHAnsi" w:eastAsia="Times New Roman" w:hAnsiTheme="minorHAnsi" w:cs="Calibri"/>
                <w:color w:val="000000"/>
                <w:sz w:val="20"/>
              </w:rPr>
              <w:t>20</w:t>
            </w:r>
            <w:r w:rsidR="00D05398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  <w:hideMark/>
          </w:tcPr>
          <w:p w14:paraId="7C698FE9" w14:textId="2F6B8432" w:rsidR="00D05398" w:rsidRPr="006623FB" w:rsidRDefault="00A30F44" w:rsidP="008C61DE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+</w:t>
            </w:r>
            <w:r w:rsidR="00296365">
              <w:rPr>
                <w:rFonts w:asciiTheme="minorHAnsi" w:eastAsia="Times New Roman" w:hAnsiTheme="minorHAnsi" w:cs="Calibri"/>
                <w:color w:val="000000"/>
                <w:sz w:val="20"/>
              </w:rPr>
              <w:t>26</w:t>
            </w:r>
            <w:r w:rsidR="00D05398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D05398" w:rsidRPr="006623FB" w14:paraId="1F0E33A9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4"/>
            <w:shd w:val="clear" w:color="auto" w:fill="A6A6A6" w:themeFill="background1" w:themeFillShade="A6"/>
            <w:noWrap/>
            <w:hideMark/>
          </w:tcPr>
          <w:p w14:paraId="631C89BD" w14:textId="388510DE" w:rsidR="00D05398" w:rsidRPr="006623FB" w:rsidRDefault="00D05398">
            <w:pPr>
              <w:spacing w:after="0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b/>
                <w:bCs/>
                <w:sz w:val="20"/>
              </w:rPr>
              <w:t>Barkly</w:t>
            </w:r>
            <w:r w:rsidR="000E0780" w:rsidRPr="006623FB">
              <w:rPr>
                <w:rFonts w:asciiTheme="minorHAnsi" w:eastAsia="Times New Roman" w:hAnsiTheme="minorHAnsi" w:cs="Calibri"/>
                <w:b/>
                <w:bCs/>
                <w:sz w:val="20"/>
              </w:rPr>
              <w:t xml:space="preserve"> (n=</w:t>
            </w:r>
            <w:r w:rsidR="00A54856">
              <w:rPr>
                <w:rFonts w:asciiTheme="minorHAnsi" w:eastAsia="Times New Roman" w:hAnsiTheme="minorHAnsi" w:cs="Calibri"/>
                <w:b/>
                <w:bCs/>
                <w:sz w:val="20"/>
              </w:rPr>
              <w:t>44</w:t>
            </w:r>
            <w:r w:rsidR="007D0D7A" w:rsidRPr="006623FB">
              <w:rPr>
                <w:rFonts w:asciiTheme="minorHAnsi" w:eastAsia="Times New Roman" w:hAnsiTheme="minorHAnsi" w:cs="Calibri"/>
                <w:b/>
                <w:bCs/>
                <w:sz w:val="20"/>
              </w:rPr>
              <w:t>)</w:t>
            </w:r>
          </w:p>
        </w:tc>
        <w:tc>
          <w:tcPr>
            <w:tcW w:w="567" w:type="dxa"/>
            <w:shd w:val="clear" w:color="auto" w:fill="FFFFFF" w:themeFill="background1"/>
          </w:tcPr>
          <w:p w14:paraId="58DCF8D7" w14:textId="77777777" w:rsidR="00D05398" w:rsidRPr="006623FB" w:rsidRDefault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  <w:sz w:val="20"/>
              </w:rPr>
            </w:pPr>
          </w:p>
        </w:tc>
        <w:tc>
          <w:tcPr>
            <w:tcW w:w="4536" w:type="dxa"/>
            <w:gridSpan w:val="4"/>
            <w:shd w:val="clear" w:color="auto" w:fill="A6A6A6" w:themeFill="background1" w:themeFillShade="A6"/>
          </w:tcPr>
          <w:p w14:paraId="30434080" w14:textId="67962816" w:rsidR="00D05398" w:rsidRPr="006623FB" w:rsidRDefault="002D3CB1" w:rsidP="008C61DE">
            <w:pPr>
              <w:spacing w:after="0"/>
              <w:ind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b/>
                <w:bCs/>
                <w:sz w:val="20"/>
              </w:rPr>
              <w:t>Barkly</w:t>
            </w:r>
            <w:r w:rsidR="007D0D7A" w:rsidRPr="006623FB">
              <w:rPr>
                <w:rFonts w:asciiTheme="minorHAnsi" w:eastAsia="Times New Roman" w:hAnsiTheme="minorHAnsi" w:cs="Calibri"/>
                <w:b/>
                <w:bCs/>
                <w:sz w:val="20"/>
              </w:rPr>
              <w:t xml:space="preserve"> (n=</w:t>
            </w:r>
            <w:r w:rsidR="00A54856">
              <w:rPr>
                <w:rFonts w:asciiTheme="minorHAnsi" w:eastAsia="Times New Roman" w:hAnsiTheme="minorHAnsi" w:cs="Calibri"/>
                <w:b/>
                <w:bCs/>
                <w:sz w:val="20"/>
              </w:rPr>
              <w:t>44</w:t>
            </w:r>
            <w:r w:rsidR="007D0D7A" w:rsidRPr="006623FB">
              <w:rPr>
                <w:rFonts w:asciiTheme="minorHAnsi" w:eastAsia="Times New Roman" w:hAnsiTheme="minorHAnsi" w:cs="Calibri"/>
                <w:b/>
                <w:bCs/>
                <w:sz w:val="20"/>
              </w:rPr>
              <w:t>)</w:t>
            </w:r>
          </w:p>
        </w:tc>
      </w:tr>
      <w:tr w:rsidR="00855040" w:rsidRPr="006623FB" w14:paraId="5B26311E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7EE0A6F8" w14:textId="77777777" w:rsidR="00D05398" w:rsidRPr="006623FB" w:rsidRDefault="00D05398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Confident</w:t>
            </w:r>
          </w:p>
        </w:tc>
        <w:tc>
          <w:tcPr>
            <w:tcW w:w="1300" w:type="dxa"/>
            <w:noWrap/>
            <w:hideMark/>
          </w:tcPr>
          <w:p w14:paraId="0B726A5D" w14:textId="39C8284C" w:rsidR="00D05398" w:rsidRPr="006623FB" w:rsidRDefault="002E2B5C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80</w:t>
            </w:r>
            <w:r w:rsidR="00D05398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hideMark/>
          </w:tcPr>
          <w:p w14:paraId="3F672569" w14:textId="06C1B0B0" w:rsidR="00D05398" w:rsidRPr="006623FB" w:rsidRDefault="002E2B5C" w:rsidP="008C61DE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-20</w:t>
            </w:r>
            <w:r w:rsidR="00D05398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hideMark/>
          </w:tcPr>
          <w:p w14:paraId="73130CC0" w14:textId="2DF05054" w:rsidR="00D05398" w:rsidRPr="006623FB" w:rsidRDefault="002E2B5C" w:rsidP="008C61DE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-9</w:t>
            </w:r>
            <w:r w:rsidR="00F657A7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567" w:type="dxa"/>
            <w:noWrap/>
            <w:hideMark/>
          </w:tcPr>
          <w:p w14:paraId="3CDD1943" w14:textId="77777777" w:rsidR="00D05398" w:rsidRPr="006623FB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091EEE65" w14:textId="77777777" w:rsidR="00D05398" w:rsidRPr="006623FB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Better</w:t>
            </w:r>
          </w:p>
        </w:tc>
        <w:tc>
          <w:tcPr>
            <w:tcW w:w="1225" w:type="dxa"/>
            <w:noWrap/>
            <w:hideMark/>
          </w:tcPr>
          <w:p w14:paraId="02AC3E03" w14:textId="17F10A2A" w:rsidR="00D05398" w:rsidRPr="006623FB" w:rsidRDefault="002E2B5C" w:rsidP="008C61DE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52</w:t>
            </w:r>
            <w:r w:rsidR="00D05398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  <w:hideMark/>
          </w:tcPr>
          <w:p w14:paraId="24D397BD" w14:textId="4A7AAD69" w:rsidR="00D05398" w:rsidRPr="006623FB" w:rsidRDefault="002E2B5C" w:rsidP="008C61DE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+19</w:t>
            </w:r>
            <w:r w:rsidR="00D05398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  <w:hideMark/>
          </w:tcPr>
          <w:p w14:paraId="6470EC4D" w14:textId="25899420" w:rsidR="00D05398" w:rsidRPr="006623FB" w:rsidRDefault="00A30F44" w:rsidP="008C61DE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-</w:t>
            </w:r>
            <w:r w:rsidR="00296365">
              <w:rPr>
                <w:rFonts w:asciiTheme="minorHAnsi" w:eastAsia="Times New Roman" w:hAnsiTheme="minorHAnsi" w:cs="Calibri"/>
                <w:color w:val="000000"/>
                <w:sz w:val="20"/>
              </w:rPr>
              <w:t>2</w:t>
            </w:r>
            <w:r w:rsidR="005A59B5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855040" w:rsidRPr="006623FB" w14:paraId="20BF1401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6337425C" w14:textId="77777777" w:rsidR="00D05398" w:rsidRPr="006623FB" w:rsidRDefault="00D05398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Worried</w:t>
            </w:r>
          </w:p>
        </w:tc>
        <w:tc>
          <w:tcPr>
            <w:tcW w:w="1300" w:type="dxa"/>
            <w:noWrap/>
            <w:hideMark/>
          </w:tcPr>
          <w:p w14:paraId="59F9A3EE" w14:textId="15276D46" w:rsidR="00D05398" w:rsidRPr="006623FB" w:rsidRDefault="002E2B5C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5</w:t>
            </w:r>
            <w:r w:rsidR="00D05398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hideMark/>
          </w:tcPr>
          <w:p w14:paraId="5912B980" w14:textId="6546F194" w:rsidR="00D05398" w:rsidRPr="006623FB" w:rsidRDefault="002E2B5C" w:rsidP="008C61DE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+5</w:t>
            </w:r>
            <w:r w:rsidR="00D05398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hideMark/>
          </w:tcPr>
          <w:p w14:paraId="3E634DC0" w14:textId="543826DC" w:rsidR="00D05398" w:rsidRPr="006623FB" w:rsidRDefault="002E2B5C" w:rsidP="008C61DE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+5</w:t>
            </w:r>
            <w:r w:rsidR="00F657A7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567" w:type="dxa"/>
            <w:noWrap/>
            <w:hideMark/>
          </w:tcPr>
          <w:p w14:paraId="02AA87F6" w14:textId="77777777" w:rsidR="00D05398" w:rsidRPr="006623FB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632E873C" w14:textId="77777777" w:rsidR="00D05398" w:rsidRPr="006623FB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Same</w:t>
            </w:r>
          </w:p>
        </w:tc>
        <w:tc>
          <w:tcPr>
            <w:tcW w:w="1225" w:type="dxa"/>
            <w:noWrap/>
            <w:hideMark/>
          </w:tcPr>
          <w:p w14:paraId="0B0702B6" w14:textId="5A304D28" w:rsidR="00D05398" w:rsidRPr="006623FB" w:rsidRDefault="002E2B5C" w:rsidP="008C61DE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30</w:t>
            </w:r>
            <w:r w:rsidR="00D05398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  <w:hideMark/>
          </w:tcPr>
          <w:p w14:paraId="26FFB88A" w14:textId="5CAFC360" w:rsidR="00D05398" w:rsidRPr="006623FB" w:rsidRDefault="002E2B5C" w:rsidP="008C61DE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-37</w:t>
            </w:r>
            <w:r w:rsidR="00D05398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  <w:hideMark/>
          </w:tcPr>
          <w:p w14:paraId="3B57575B" w14:textId="3E2E29BE" w:rsidR="00D05398" w:rsidRPr="006623FB" w:rsidRDefault="00A30F44" w:rsidP="008C61DE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+</w:t>
            </w:r>
            <w:r w:rsidR="00296365">
              <w:rPr>
                <w:rFonts w:asciiTheme="minorHAnsi" w:eastAsia="Times New Roman" w:hAnsiTheme="minorHAnsi" w:cs="Calibri"/>
                <w:color w:val="000000"/>
                <w:sz w:val="20"/>
              </w:rPr>
              <w:t>2</w:t>
            </w:r>
            <w:r w:rsidR="005A59B5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855040" w:rsidRPr="006623FB" w14:paraId="5621A621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5D6F2AF3" w14:textId="77777777" w:rsidR="00D05398" w:rsidRPr="006623FB" w:rsidRDefault="00D05398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Net Balance</w:t>
            </w:r>
          </w:p>
        </w:tc>
        <w:tc>
          <w:tcPr>
            <w:tcW w:w="1300" w:type="dxa"/>
            <w:noWrap/>
            <w:hideMark/>
          </w:tcPr>
          <w:p w14:paraId="0CCF9C26" w14:textId="00AD2BF4" w:rsidR="00D05398" w:rsidRPr="006623FB" w:rsidRDefault="002E2B5C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75</w:t>
            </w:r>
            <w:r w:rsidR="00D05398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hideMark/>
          </w:tcPr>
          <w:p w14:paraId="13A6188D" w14:textId="74259A87" w:rsidR="00D05398" w:rsidRPr="006623FB" w:rsidRDefault="002E2B5C" w:rsidP="008C61DE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-25</w:t>
            </w:r>
            <w:r w:rsidR="00D05398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hideMark/>
          </w:tcPr>
          <w:p w14:paraId="66089C48" w14:textId="7774634F" w:rsidR="00D05398" w:rsidRPr="006623FB" w:rsidRDefault="002E2B5C" w:rsidP="008C61DE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-14</w:t>
            </w:r>
            <w:r w:rsidR="00F657A7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567" w:type="dxa"/>
            <w:noWrap/>
            <w:hideMark/>
          </w:tcPr>
          <w:p w14:paraId="736065CC" w14:textId="77777777" w:rsidR="00D05398" w:rsidRPr="006623FB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542E35AD" w14:textId="77777777" w:rsidR="00D05398" w:rsidRPr="006623FB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Worse</w:t>
            </w:r>
          </w:p>
        </w:tc>
        <w:tc>
          <w:tcPr>
            <w:tcW w:w="1225" w:type="dxa"/>
            <w:noWrap/>
            <w:hideMark/>
          </w:tcPr>
          <w:p w14:paraId="0BCDFD5A" w14:textId="5528A135" w:rsidR="00D05398" w:rsidRPr="006623FB" w:rsidRDefault="002E2B5C" w:rsidP="008C61DE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18</w:t>
            </w:r>
            <w:r w:rsidR="00D05398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  <w:hideMark/>
          </w:tcPr>
          <w:p w14:paraId="787D0E74" w14:textId="69AE970F" w:rsidR="00D05398" w:rsidRPr="006623FB" w:rsidRDefault="002E2B5C" w:rsidP="008C61DE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+18</w:t>
            </w:r>
            <w:r w:rsidR="00D05398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  <w:hideMark/>
          </w:tcPr>
          <w:p w14:paraId="70A07126" w14:textId="7C50337D" w:rsidR="00D05398" w:rsidRPr="006623FB" w:rsidRDefault="00296365" w:rsidP="008C61DE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0</w:t>
            </w:r>
            <w:r w:rsidR="005A59B5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2D3CB1" w:rsidRPr="006623FB" w14:paraId="01B00F08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4"/>
            <w:shd w:val="clear" w:color="auto" w:fill="A6A6A6" w:themeFill="background1" w:themeFillShade="A6"/>
            <w:noWrap/>
            <w:hideMark/>
          </w:tcPr>
          <w:p w14:paraId="63EF2C68" w14:textId="4015201D" w:rsidR="002D3CB1" w:rsidRPr="006623FB" w:rsidRDefault="002D3CB1">
            <w:pPr>
              <w:spacing w:after="0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b/>
                <w:bCs/>
                <w:sz w:val="20"/>
              </w:rPr>
              <w:t>Alice Springs</w:t>
            </w:r>
            <w:r w:rsidR="007A6726" w:rsidRPr="006623FB">
              <w:rPr>
                <w:rFonts w:asciiTheme="minorHAnsi" w:eastAsia="Times New Roman" w:hAnsiTheme="minorHAnsi" w:cs="Calibri"/>
                <w:b/>
                <w:bCs/>
                <w:sz w:val="20"/>
              </w:rPr>
              <w:t xml:space="preserve"> (n=1</w:t>
            </w:r>
            <w:r w:rsidR="00A54856">
              <w:rPr>
                <w:rFonts w:asciiTheme="minorHAnsi" w:eastAsia="Times New Roman" w:hAnsiTheme="minorHAnsi" w:cs="Calibri"/>
                <w:b/>
                <w:bCs/>
                <w:sz w:val="20"/>
              </w:rPr>
              <w:t>60</w:t>
            </w:r>
            <w:r w:rsidR="007D0D7A" w:rsidRPr="006623FB">
              <w:rPr>
                <w:rFonts w:asciiTheme="minorHAnsi" w:eastAsia="Times New Roman" w:hAnsiTheme="minorHAnsi" w:cs="Calibri"/>
                <w:b/>
                <w:bCs/>
                <w:sz w:val="20"/>
              </w:rPr>
              <w:t>)</w:t>
            </w:r>
          </w:p>
        </w:tc>
        <w:tc>
          <w:tcPr>
            <w:tcW w:w="567" w:type="dxa"/>
            <w:shd w:val="clear" w:color="auto" w:fill="FFFFFF" w:themeFill="background1"/>
          </w:tcPr>
          <w:p w14:paraId="69878B9D" w14:textId="77777777" w:rsidR="002D3CB1" w:rsidRPr="006623FB" w:rsidRDefault="002D3C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  <w:sz w:val="20"/>
              </w:rPr>
            </w:pPr>
          </w:p>
        </w:tc>
        <w:tc>
          <w:tcPr>
            <w:tcW w:w="4536" w:type="dxa"/>
            <w:gridSpan w:val="4"/>
            <w:shd w:val="clear" w:color="auto" w:fill="A6A6A6" w:themeFill="background1" w:themeFillShade="A6"/>
          </w:tcPr>
          <w:p w14:paraId="1003ED37" w14:textId="76B6E8EC" w:rsidR="002D3CB1" w:rsidRPr="006623FB" w:rsidRDefault="002D3CB1" w:rsidP="008C61DE">
            <w:pPr>
              <w:spacing w:after="0"/>
              <w:ind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b/>
                <w:bCs/>
                <w:sz w:val="20"/>
              </w:rPr>
              <w:t>Alice Springs</w:t>
            </w:r>
            <w:r w:rsidR="00A54856">
              <w:rPr>
                <w:rFonts w:asciiTheme="minorHAnsi" w:eastAsia="Times New Roman" w:hAnsiTheme="minorHAnsi" w:cs="Calibri"/>
                <w:b/>
                <w:bCs/>
                <w:sz w:val="20"/>
              </w:rPr>
              <w:t xml:space="preserve"> (n=160</w:t>
            </w:r>
            <w:r w:rsidR="007D0D7A" w:rsidRPr="006623FB">
              <w:rPr>
                <w:rFonts w:asciiTheme="minorHAnsi" w:eastAsia="Times New Roman" w:hAnsiTheme="minorHAnsi" w:cs="Calibri"/>
                <w:b/>
                <w:bCs/>
                <w:sz w:val="20"/>
              </w:rPr>
              <w:t>)</w:t>
            </w:r>
          </w:p>
        </w:tc>
      </w:tr>
      <w:tr w:rsidR="00855040" w:rsidRPr="006623FB" w14:paraId="6886E754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5A3D5449" w14:textId="77777777" w:rsidR="00D05398" w:rsidRPr="006623FB" w:rsidRDefault="00D05398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Confident</w:t>
            </w:r>
          </w:p>
        </w:tc>
        <w:tc>
          <w:tcPr>
            <w:tcW w:w="1300" w:type="dxa"/>
            <w:noWrap/>
            <w:hideMark/>
          </w:tcPr>
          <w:p w14:paraId="7DD75F11" w14:textId="6565DD35" w:rsidR="00D05398" w:rsidRPr="006623FB" w:rsidRDefault="00A30F44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7</w:t>
            </w:r>
            <w:r w:rsidR="002E2B5C">
              <w:rPr>
                <w:rFonts w:asciiTheme="minorHAnsi" w:eastAsia="Times New Roman" w:hAnsiTheme="minorHAnsi" w:cs="Calibri"/>
                <w:color w:val="000000"/>
                <w:sz w:val="20"/>
              </w:rPr>
              <w:t>1</w:t>
            </w:r>
            <w:r w:rsidR="00D05398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hideMark/>
          </w:tcPr>
          <w:p w14:paraId="4A670B42" w14:textId="679B40FA" w:rsidR="00D05398" w:rsidRPr="006623FB" w:rsidRDefault="00A30F44" w:rsidP="008C61DE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-</w:t>
            </w:r>
            <w:r w:rsidR="002E2B5C">
              <w:rPr>
                <w:rFonts w:asciiTheme="minorHAnsi" w:eastAsia="Times New Roman" w:hAnsiTheme="minorHAnsi" w:cs="Calibri"/>
                <w:color w:val="000000"/>
                <w:sz w:val="20"/>
              </w:rPr>
              <w:t>8</w:t>
            </w:r>
            <w:r w:rsidR="00D05398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hideMark/>
          </w:tcPr>
          <w:p w14:paraId="6E27B505" w14:textId="27019690" w:rsidR="00D05398" w:rsidRPr="006623FB" w:rsidRDefault="002E2B5C" w:rsidP="008C61DE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-12</w:t>
            </w:r>
            <w:r w:rsidR="00D05398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567" w:type="dxa"/>
            <w:noWrap/>
            <w:hideMark/>
          </w:tcPr>
          <w:p w14:paraId="04587D0D" w14:textId="77777777" w:rsidR="00D05398" w:rsidRPr="006623FB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51C2157E" w14:textId="77777777" w:rsidR="00D05398" w:rsidRPr="006623FB" w:rsidRDefault="00D05398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Better</w:t>
            </w:r>
          </w:p>
        </w:tc>
        <w:tc>
          <w:tcPr>
            <w:tcW w:w="1225" w:type="dxa"/>
            <w:noWrap/>
            <w:hideMark/>
          </w:tcPr>
          <w:p w14:paraId="1DBF5E57" w14:textId="5A5E966E" w:rsidR="00D05398" w:rsidRPr="006623FB" w:rsidRDefault="002E2B5C" w:rsidP="008C61DE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46</w:t>
            </w:r>
            <w:r w:rsidR="00D05398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  <w:hideMark/>
          </w:tcPr>
          <w:p w14:paraId="5192E1BB" w14:textId="614FCB4B" w:rsidR="00D05398" w:rsidRPr="006623FB" w:rsidRDefault="000A1A14" w:rsidP="008C61DE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-</w:t>
            </w:r>
            <w:r w:rsidR="002E2B5C">
              <w:rPr>
                <w:rFonts w:asciiTheme="minorHAnsi" w:eastAsia="Times New Roman" w:hAnsiTheme="minorHAnsi" w:cs="Calibri"/>
                <w:color w:val="000000"/>
                <w:sz w:val="20"/>
              </w:rPr>
              <w:t>6</w:t>
            </w:r>
            <w:r w:rsidR="00D05398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  <w:hideMark/>
          </w:tcPr>
          <w:p w14:paraId="0AEAB0A2" w14:textId="6071BF62" w:rsidR="00D05398" w:rsidRPr="006623FB" w:rsidRDefault="00296365" w:rsidP="008C61DE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-11</w:t>
            </w:r>
            <w:r w:rsidR="00D05398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855040" w:rsidRPr="006623FB" w14:paraId="4BD6D502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1A656F5D" w14:textId="77777777" w:rsidR="00D05398" w:rsidRPr="006623FB" w:rsidRDefault="00D05398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Worried</w:t>
            </w:r>
          </w:p>
        </w:tc>
        <w:tc>
          <w:tcPr>
            <w:tcW w:w="1300" w:type="dxa"/>
            <w:noWrap/>
            <w:hideMark/>
          </w:tcPr>
          <w:p w14:paraId="406E0133" w14:textId="090469CD" w:rsidR="00D05398" w:rsidRPr="006623FB" w:rsidRDefault="002E2B5C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5</w:t>
            </w:r>
            <w:r w:rsidR="00D05398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hideMark/>
          </w:tcPr>
          <w:p w14:paraId="5730E721" w14:textId="48A48058" w:rsidR="00D05398" w:rsidRPr="006623FB" w:rsidRDefault="002E2B5C" w:rsidP="008C61DE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-2</w:t>
            </w:r>
            <w:r w:rsidR="00D05398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hideMark/>
          </w:tcPr>
          <w:p w14:paraId="0A1FC285" w14:textId="51246FFE" w:rsidR="00D05398" w:rsidRPr="006623FB" w:rsidRDefault="00D05398" w:rsidP="008C61DE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-</w:t>
            </w:r>
            <w:r w:rsidR="002E2B5C">
              <w:rPr>
                <w:rFonts w:asciiTheme="minorHAnsi" w:eastAsia="Times New Roman" w:hAnsiTheme="minorHAnsi" w:cs="Calibri"/>
                <w:color w:val="000000"/>
                <w:sz w:val="20"/>
              </w:rPr>
              <w:t>1</w:t>
            </w: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567" w:type="dxa"/>
            <w:tcBorders>
              <w:bottom w:val="nil"/>
            </w:tcBorders>
            <w:noWrap/>
            <w:hideMark/>
          </w:tcPr>
          <w:p w14:paraId="7F762082" w14:textId="77777777" w:rsidR="00D05398" w:rsidRPr="006623FB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71CA2445" w14:textId="77777777" w:rsidR="00D05398" w:rsidRPr="006623FB" w:rsidRDefault="00D05398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Same</w:t>
            </w:r>
          </w:p>
        </w:tc>
        <w:tc>
          <w:tcPr>
            <w:tcW w:w="1225" w:type="dxa"/>
            <w:noWrap/>
            <w:hideMark/>
          </w:tcPr>
          <w:p w14:paraId="72DE4D72" w14:textId="064D8577" w:rsidR="00D05398" w:rsidRPr="006623FB" w:rsidRDefault="002E2B5C" w:rsidP="008C61DE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44</w:t>
            </w:r>
            <w:r w:rsidR="00D05398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  <w:hideMark/>
          </w:tcPr>
          <w:p w14:paraId="554DFB49" w14:textId="179E11A0" w:rsidR="00D05398" w:rsidRPr="006623FB" w:rsidRDefault="000A1A14" w:rsidP="008C61DE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+</w:t>
            </w:r>
            <w:r w:rsidR="002E2B5C">
              <w:rPr>
                <w:rFonts w:asciiTheme="minorHAnsi" w:eastAsia="Times New Roman" w:hAnsiTheme="minorHAnsi" w:cs="Calibri"/>
                <w:color w:val="000000"/>
                <w:sz w:val="20"/>
              </w:rPr>
              <w:t>8</w:t>
            </w:r>
            <w:r w:rsidR="00D05398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  <w:hideMark/>
          </w:tcPr>
          <w:p w14:paraId="2BADF683" w14:textId="45705427" w:rsidR="00D05398" w:rsidRPr="006623FB" w:rsidRDefault="00296365" w:rsidP="008C61DE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+</w:t>
            </w:r>
            <w:r w:rsidR="000A1A14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14</w:t>
            </w:r>
            <w:r w:rsidR="00D05398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855040" w:rsidRPr="006623FB" w14:paraId="15B7FF9F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0BB68A44" w14:textId="77777777" w:rsidR="00D05398" w:rsidRPr="006623FB" w:rsidRDefault="00D05398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Net Balance</w:t>
            </w:r>
          </w:p>
        </w:tc>
        <w:tc>
          <w:tcPr>
            <w:tcW w:w="1300" w:type="dxa"/>
            <w:noWrap/>
            <w:hideMark/>
          </w:tcPr>
          <w:p w14:paraId="74E312B0" w14:textId="74546E0C" w:rsidR="00D05398" w:rsidRPr="006623FB" w:rsidRDefault="002E2B5C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66</w:t>
            </w:r>
            <w:r w:rsidR="00D05398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hideMark/>
          </w:tcPr>
          <w:p w14:paraId="4650EEC9" w14:textId="36EEF1FD" w:rsidR="00D05398" w:rsidRPr="006623FB" w:rsidRDefault="00A30F44" w:rsidP="008C61DE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-</w:t>
            </w:r>
            <w:r w:rsidR="002E2B5C">
              <w:rPr>
                <w:rFonts w:asciiTheme="minorHAnsi" w:eastAsia="Times New Roman" w:hAnsiTheme="minorHAnsi" w:cs="Calibri"/>
                <w:color w:val="000000"/>
                <w:sz w:val="20"/>
              </w:rPr>
              <w:t>6</w:t>
            </w:r>
            <w:r w:rsidR="00D05398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tcBorders>
              <w:right w:val="single" w:sz="4" w:space="0" w:color="auto"/>
            </w:tcBorders>
            <w:noWrap/>
            <w:hideMark/>
          </w:tcPr>
          <w:p w14:paraId="29E570CF" w14:textId="435D2C06" w:rsidR="00D05398" w:rsidRPr="006623FB" w:rsidRDefault="002E2B5C" w:rsidP="008C61DE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-11</w:t>
            </w:r>
            <w:r w:rsidR="00D05398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2257C3B" w14:textId="77777777" w:rsidR="00D05398" w:rsidRPr="006623FB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  <w:noWrap/>
            <w:hideMark/>
          </w:tcPr>
          <w:p w14:paraId="531BC4C4" w14:textId="77777777" w:rsidR="00D05398" w:rsidRPr="006623FB" w:rsidRDefault="00D05398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Worse</w:t>
            </w:r>
          </w:p>
        </w:tc>
        <w:tc>
          <w:tcPr>
            <w:tcW w:w="1225" w:type="dxa"/>
            <w:noWrap/>
            <w:hideMark/>
          </w:tcPr>
          <w:p w14:paraId="6B586B2B" w14:textId="686B9C3C" w:rsidR="00D05398" w:rsidRPr="006623FB" w:rsidRDefault="000A1A14" w:rsidP="008C61DE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1</w:t>
            </w:r>
            <w:r w:rsidR="002E2B5C">
              <w:rPr>
                <w:rFonts w:asciiTheme="minorHAnsi" w:eastAsia="Times New Roman" w:hAnsiTheme="minorHAnsi" w:cs="Calibri"/>
                <w:color w:val="000000"/>
                <w:sz w:val="20"/>
              </w:rPr>
              <w:t>0</w:t>
            </w:r>
            <w:r w:rsidR="00D05398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  <w:hideMark/>
          </w:tcPr>
          <w:p w14:paraId="3A1433E7" w14:textId="06AFBEAD" w:rsidR="00D05398" w:rsidRPr="006623FB" w:rsidRDefault="002E2B5C" w:rsidP="008C61DE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-2</w:t>
            </w:r>
            <w:r w:rsidR="00D05398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  <w:hideMark/>
          </w:tcPr>
          <w:p w14:paraId="3417F252" w14:textId="6219E47C" w:rsidR="00D05398" w:rsidRPr="006623FB" w:rsidRDefault="00D05398" w:rsidP="008C61DE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-</w:t>
            </w:r>
            <w:r w:rsidR="00296365">
              <w:rPr>
                <w:rFonts w:asciiTheme="minorHAnsi" w:eastAsia="Times New Roman" w:hAnsiTheme="minorHAnsi" w:cs="Calibri"/>
                <w:color w:val="000000"/>
                <w:sz w:val="20"/>
              </w:rPr>
              <w:t>3</w:t>
            </w: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</w:tbl>
    <w:p w14:paraId="4ED62358" w14:textId="77777777" w:rsidR="00AA64F2" w:rsidRPr="006623FB" w:rsidRDefault="00B56C28" w:rsidP="000B1B74">
      <w:pPr>
        <w:rPr>
          <w:sz w:val="16"/>
          <w:szCs w:val="16"/>
        </w:rPr>
      </w:pPr>
      <w:r w:rsidRPr="006623FB">
        <w:rPr>
          <w:sz w:val="16"/>
          <w:szCs w:val="16"/>
        </w:rPr>
        <w:t xml:space="preserve">Note: Caution </w:t>
      </w:r>
      <w:proofErr w:type="gramStart"/>
      <w:r w:rsidRPr="006623FB">
        <w:rPr>
          <w:sz w:val="16"/>
          <w:szCs w:val="16"/>
        </w:rPr>
        <w:t>should be taken</w:t>
      </w:r>
      <w:proofErr w:type="gramEnd"/>
      <w:r w:rsidRPr="006623FB">
        <w:rPr>
          <w:sz w:val="16"/>
          <w:szCs w:val="16"/>
        </w:rPr>
        <w:t xml:space="preserve"> when interpreting these results as the sample size in some regions may be relatively </w:t>
      </w:r>
      <w:r w:rsidR="007D0D7A" w:rsidRPr="006623FB">
        <w:rPr>
          <w:sz w:val="16"/>
          <w:szCs w:val="16"/>
        </w:rPr>
        <w:t>small.</w:t>
      </w:r>
    </w:p>
    <w:p w14:paraId="0816C3BC" w14:textId="4E7CFA60" w:rsidR="00FB342B" w:rsidRPr="006623FB" w:rsidRDefault="003B7212" w:rsidP="0011163E">
      <w:pPr>
        <w:pStyle w:val="Heading1"/>
        <w:spacing w:after="120"/>
      </w:pPr>
      <w:r w:rsidRPr="006623FB">
        <w:lastRenderedPageBreak/>
        <w:t>B</w:t>
      </w:r>
      <w:r w:rsidR="00F207C5" w:rsidRPr="006623FB">
        <w:t xml:space="preserve">usiness </w:t>
      </w:r>
      <w:r w:rsidR="00C305AE" w:rsidRPr="006623FB">
        <w:t>confidence</w:t>
      </w:r>
      <w:r w:rsidRPr="006623FB">
        <w:t xml:space="preserve"> </w:t>
      </w:r>
      <w:r w:rsidR="002858D2" w:rsidRPr="006623FB">
        <w:t>varies</w:t>
      </w:r>
      <w:r w:rsidR="003310BE" w:rsidRPr="006623FB">
        <w:t xml:space="preserve"> </w:t>
      </w:r>
      <w:r w:rsidR="007509C4" w:rsidRPr="006623FB">
        <w:t xml:space="preserve">across </w:t>
      </w:r>
      <w:r w:rsidR="003310BE" w:rsidRPr="006623FB">
        <w:t>industries</w:t>
      </w:r>
    </w:p>
    <w:p w14:paraId="6EBA8836" w14:textId="4C8E3859" w:rsidR="00B0532D" w:rsidRPr="006623FB" w:rsidRDefault="00CC790D" w:rsidP="00EB5AA1">
      <w:pPr>
        <w:spacing w:after="120"/>
      </w:pPr>
      <w:r>
        <w:t xml:space="preserve">Out of </w:t>
      </w:r>
      <w:r w:rsidR="00415507">
        <w:t xml:space="preserve">the </w:t>
      </w:r>
      <w:r>
        <w:t>10 indu</w:t>
      </w:r>
      <w:r w:rsidR="003508FB">
        <w:t xml:space="preserve">stries with the largest number </w:t>
      </w:r>
      <w:r>
        <w:t xml:space="preserve">of respondents, </w:t>
      </w:r>
      <w:r w:rsidR="00F43BD5">
        <w:t>confidence varie</w:t>
      </w:r>
      <w:r w:rsidR="00764F92">
        <w:t>d</w:t>
      </w:r>
      <w:r w:rsidR="00F43BD5">
        <w:t xml:space="preserve"> </w:t>
      </w:r>
      <w:r w:rsidR="00415507">
        <w:t>from</w:t>
      </w:r>
      <w:r w:rsidR="00F43BD5">
        <w:t xml:space="preserve"> Administrative and Support Services </w:t>
      </w:r>
      <w:r w:rsidR="00764F92">
        <w:t>reporting a net balance of</w:t>
      </w:r>
      <w:r w:rsidR="00F43BD5">
        <w:t xml:space="preserve"> </w:t>
      </w:r>
      <w:r>
        <w:t xml:space="preserve">+83%, an increase of 43 </w:t>
      </w:r>
      <w:r w:rsidR="00415507">
        <w:t>ppt</w:t>
      </w:r>
      <w:r>
        <w:t xml:space="preserve"> on last quarter, </w:t>
      </w:r>
      <w:r w:rsidR="00764F92">
        <w:t xml:space="preserve">to </w:t>
      </w:r>
      <w:r>
        <w:t>Retail Trade at +35% (Chart 10)</w:t>
      </w:r>
      <w:r w:rsidR="00B0532D" w:rsidRPr="006623FB">
        <w:t>.</w:t>
      </w:r>
    </w:p>
    <w:p w14:paraId="1EA12A35" w14:textId="4FD4636A" w:rsidR="00025969" w:rsidRPr="006623FB" w:rsidRDefault="00025969" w:rsidP="00EB5AA1">
      <w:pPr>
        <w:spacing w:after="120"/>
      </w:pPr>
      <w:r w:rsidRPr="006623FB">
        <w:t>B</w:t>
      </w:r>
      <w:r w:rsidR="00663A0C" w:rsidRPr="006623FB">
        <w:t xml:space="preserve">usiness confidence </w:t>
      </w:r>
      <w:r w:rsidR="00B26C31" w:rsidRPr="006623FB">
        <w:t>edged down</w:t>
      </w:r>
      <w:r w:rsidRPr="006623FB">
        <w:t xml:space="preserve"> </w:t>
      </w:r>
      <w:r w:rsidR="00B77C27" w:rsidRPr="006623FB">
        <w:t xml:space="preserve">across </w:t>
      </w:r>
      <w:r w:rsidRPr="006623FB">
        <w:t xml:space="preserve">many </w:t>
      </w:r>
      <w:r w:rsidR="002C23A4" w:rsidRPr="006623FB">
        <w:t xml:space="preserve">industries </w:t>
      </w:r>
      <w:r w:rsidRPr="006623FB">
        <w:t xml:space="preserve">in the </w:t>
      </w:r>
      <w:r w:rsidR="00CC790D">
        <w:t>June</w:t>
      </w:r>
      <w:r w:rsidRPr="006623FB">
        <w:t xml:space="preserve"> quarter 2023, most notably in the </w:t>
      </w:r>
      <w:r w:rsidR="00CC790D">
        <w:t xml:space="preserve">customer-facing </w:t>
      </w:r>
      <w:r w:rsidR="000E5727">
        <w:t>sectors</w:t>
      </w:r>
      <w:r w:rsidR="00CC790D">
        <w:t xml:space="preserve"> including Retail</w:t>
      </w:r>
      <w:r w:rsidR="00764F92">
        <w:t xml:space="preserve"> Trade</w:t>
      </w:r>
      <w:r w:rsidR="00CC790D">
        <w:t xml:space="preserve">, Accommodation </w:t>
      </w:r>
      <w:r w:rsidR="004A6CE1">
        <w:t xml:space="preserve">and </w:t>
      </w:r>
      <w:r w:rsidR="00CC790D">
        <w:t xml:space="preserve">Food Services and Other Services. The </w:t>
      </w:r>
      <w:r w:rsidR="000E5727">
        <w:t xml:space="preserve">combined </w:t>
      </w:r>
      <w:r w:rsidR="00CC790D">
        <w:t xml:space="preserve">impact of </w:t>
      </w:r>
      <w:r w:rsidR="00764F92">
        <w:t xml:space="preserve">persisting </w:t>
      </w:r>
      <w:r w:rsidR="00CC790D">
        <w:t>infla</w:t>
      </w:r>
      <w:r w:rsidR="00E42A31">
        <w:t>tion, interest rat</w:t>
      </w:r>
      <w:r w:rsidR="00CC790D">
        <w:t xml:space="preserve">e </w:t>
      </w:r>
      <w:r w:rsidR="00E42A31">
        <w:t xml:space="preserve">hikes and </w:t>
      </w:r>
      <w:r w:rsidR="0033532E">
        <w:t>concerns around</w:t>
      </w:r>
      <w:r w:rsidR="00E42A31">
        <w:t xml:space="preserve"> anti-social behaviour likely </w:t>
      </w:r>
      <w:r w:rsidR="000E5727">
        <w:t xml:space="preserve">contributed to a decrease in </w:t>
      </w:r>
      <w:r w:rsidR="00E42A31">
        <w:t xml:space="preserve">the number of </w:t>
      </w:r>
      <w:r w:rsidR="00737724">
        <w:t xml:space="preserve">tourist </w:t>
      </w:r>
      <w:r w:rsidR="00E42A31">
        <w:t>visitations</w:t>
      </w:r>
      <w:r w:rsidR="000E5727">
        <w:t>.</w:t>
      </w:r>
      <w:r w:rsidR="00E42A31">
        <w:t xml:space="preserve"> </w:t>
      </w:r>
      <w:r w:rsidR="00F7130F">
        <w:t>Tourism NT</w:t>
      </w:r>
      <w:r w:rsidR="000B1B74">
        <w:t xml:space="preserve"> reports </w:t>
      </w:r>
      <w:r w:rsidR="000E5727">
        <w:t>the</w:t>
      </w:r>
      <w:r w:rsidR="00E42A31">
        <w:t xml:space="preserve"> Territory’s hotel occupancy rate </w:t>
      </w:r>
      <w:r w:rsidR="00424CCC">
        <w:t xml:space="preserve">was </w:t>
      </w:r>
      <w:r w:rsidR="00E42A31">
        <w:t>60</w:t>
      </w:r>
      <w:r w:rsidR="0033532E">
        <w:t>%</w:t>
      </w:r>
      <w:r w:rsidR="00E42A31">
        <w:t xml:space="preserve"> in May 2023</w:t>
      </w:r>
      <w:r w:rsidR="00424CCC">
        <w:t>,</w:t>
      </w:r>
      <w:r w:rsidR="0033532E">
        <w:t xml:space="preserve"> </w:t>
      </w:r>
      <w:r w:rsidR="00424CCC">
        <w:t xml:space="preserve">down </w:t>
      </w:r>
      <w:r w:rsidR="000B1B74">
        <w:t xml:space="preserve">by </w:t>
      </w:r>
      <w:r w:rsidR="00424CCC">
        <w:t xml:space="preserve">14 ppt </w:t>
      </w:r>
      <w:r w:rsidR="0033532E">
        <w:t>compared with May 2022</w:t>
      </w:r>
      <w:r w:rsidR="00E42A31">
        <w:t>.</w:t>
      </w:r>
    </w:p>
    <w:p w14:paraId="78EBA9A1" w14:textId="0CD633FF" w:rsidR="002878EB" w:rsidRDefault="00B74C3A" w:rsidP="00EB5AA1">
      <w:pPr>
        <w:spacing w:after="120"/>
      </w:pPr>
      <w:r w:rsidRPr="006623FB">
        <w:t xml:space="preserve">The </w:t>
      </w:r>
      <w:r w:rsidR="002878EB" w:rsidRPr="006623FB">
        <w:t xml:space="preserve">Territory’s construction industry </w:t>
      </w:r>
      <w:r w:rsidR="008F38E9">
        <w:t>recorded</w:t>
      </w:r>
      <w:r w:rsidR="008F38E9" w:rsidRPr="006623FB">
        <w:t xml:space="preserve"> </w:t>
      </w:r>
      <w:r w:rsidR="008F38E9">
        <w:t xml:space="preserve">a </w:t>
      </w:r>
      <w:r w:rsidR="002878EB" w:rsidRPr="006623FB">
        <w:t xml:space="preserve">solid </w:t>
      </w:r>
      <w:r w:rsidR="009452B1">
        <w:t xml:space="preserve">net balance </w:t>
      </w:r>
      <w:r w:rsidR="008F38E9">
        <w:t xml:space="preserve">of </w:t>
      </w:r>
      <w:r w:rsidR="00E42A31">
        <w:t>+78</w:t>
      </w:r>
      <w:r w:rsidR="009700CD" w:rsidRPr="006623FB">
        <w:t>% this quarter</w:t>
      </w:r>
      <w:r w:rsidRPr="006623FB">
        <w:t xml:space="preserve">, </w:t>
      </w:r>
      <w:r w:rsidR="009452B1">
        <w:t>with</w:t>
      </w:r>
      <w:r w:rsidR="00830B66" w:rsidRPr="006623FB">
        <w:t xml:space="preserve"> </w:t>
      </w:r>
      <w:r w:rsidR="00D11C6E">
        <w:t>no</w:t>
      </w:r>
      <w:r w:rsidR="009452B1" w:rsidRPr="006623FB">
        <w:t xml:space="preserve"> </w:t>
      </w:r>
      <w:r w:rsidR="00830B66" w:rsidRPr="006623FB">
        <w:t>businesses report</w:t>
      </w:r>
      <w:r w:rsidR="009452B1">
        <w:t>ing as</w:t>
      </w:r>
      <w:r w:rsidR="00830B66" w:rsidRPr="006623FB">
        <w:t xml:space="preserve"> </w:t>
      </w:r>
      <w:r w:rsidRPr="006623FB">
        <w:t>‘</w:t>
      </w:r>
      <w:r w:rsidR="00830B66" w:rsidRPr="006623FB">
        <w:t>worried</w:t>
      </w:r>
      <w:r w:rsidRPr="006623FB">
        <w:t>’</w:t>
      </w:r>
      <w:r w:rsidR="00830B66" w:rsidRPr="006623FB">
        <w:t xml:space="preserve"> </w:t>
      </w:r>
      <w:r w:rsidRPr="006623FB">
        <w:t>(</w:t>
      </w:r>
      <w:r w:rsidR="00E42A31">
        <w:t>down</w:t>
      </w:r>
      <w:r w:rsidRPr="006623FB">
        <w:t xml:space="preserve"> from </w:t>
      </w:r>
      <w:r w:rsidR="00E42A31">
        <w:t>6</w:t>
      </w:r>
      <w:r w:rsidRPr="006623FB">
        <w:t>%</w:t>
      </w:r>
      <w:r w:rsidR="00737724">
        <w:t xml:space="preserve"> last quarter</w:t>
      </w:r>
      <w:r w:rsidRPr="006623FB">
        <w:t>)</w:t>
      </w:r>
      <w:r w:rsidR="00D11C6E">
        <w:t>, supported by the significant pipeline of work</w:t>
      </w:r>
      <w:r w:rsidR="00830B66" w:rsidRPr="006623FB">
        <w:t>.</w:t>
      </w:r>
    </w:p>
    <w:p w14:paraId="57BE2FAF" w14:textId="4DBF38F9" w:rsidR="00C06333" w:rsidRPr="006623FB" w:rsidRDefault="000E5727" w:rsidP="00EB5AA1">
      <w:pPr>
        <w:spacing w:after="120"/>
      </w:pPr>
      <w:r>
        <w:t xml:space="preserve">The </w:t>
      </w:r>
      <w:r w:rsidR="00C06333">
        <w:t xml:space="preserve">Agriculture, Forestry and Fishing industry reported a net </w:t>
      </w:r>
      <w:r w:rsidR="00737724">
        <w:t xml:space="preserve">balance </w:t>
      </w:r>
      <w:r w:rsidR="00C06333">
        <w:t>of +73%</w:t>
      </w:r>
      <w:r w:rsidR="00593C57">
        <w:t xml:space="preserve"> this quarter</w:t>
      </w:r>
      <w:r w:rsidR="00737724">
        <w:t xml:space="preserve">, also with </w:t>
      </w:r>
      <w:r w:rsidR="00593C57">
        <w:t>no businesses reporting as</w:t>
      </w:r>
      <w:r w:rsidR="00737724">
        <w:t xml:space="preserve"> ‘worried’</w:t>
      </w:r>
      <w:r w:rsidR="00C06333">
        <w:t xml:space="preserve">, </w:t>
      </w:r>
      <w:r w:rsidR="00737724">
        <w:t xml:space="preserve">a significant turnaround of </w:t>
      </w:r>
      <w:r w:rsidR="00C06333">
        <w:t xml:space="preserve">44 </w:t>
      </w:r>
      <w:r w:rsidR="00737724">
        <w:t>ppt from the</w:t>
      </w:r>
      <w:r w:rsidR="00C06333">
        <w:t xml:space="preserve"> March quarter. </w:t>
      </w:r>
      <w:r>
        <w:t xml:space="preserve">The boost in confidence </w:t>
      </w:r>
      <w:r w:rsidR="000B1B74">
        <w:t xml:space="preserve">coincided with </w:t>
      </w:r>
      <w:r>
        <w:t xml:space="preserve">the </w:t>
      </w:r>
      <w:r w:rsidR="00A022FB">
        <w:t xml:space="preserve">release of the </w:t>
      </w:r>
      <w:r w:rsidR="00C06333">
        <w:t>Territory Government’s</w:t>
      </w:r>
      <w:r w:rsidR="00593C57">
        <w:t xml:space="preserve"> Agribusiness </w:t>
      </w:r>
      <w:r w:rsidR="00A022FB">
        <w:t>2030 S</w:t>
      </w:r>
      <w:r w:rsidR="00593C57">
        <w:t>trategy, a</w:t>
      </w:r>
      <w:r w:rsidR="00C06333">
        <w:t xml:space="preserve"> focus</w:t>
      </w:r>
      <w:r>
        <w:t>sed commitment to transform it into a $2 billion industry by 2030</w:t>
      </w:r>
      <w:r w:rsidR="00C06333">
        <w:t>.</w:t>
      </w:r>
    </w:p>
    <w:tbl>
      <w:tblPr>
        <w:tblStyle w:val="TableGridLigh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8"/>
      </w:tblGrid>
      <w:tr w:rsidR="00EF2D64" w:rsidRPr="006623FB" w14:paraId="4809641E" w14:textId="77777777" w:rsidTr="000C624B">
        <w:trPr>
          <w:jc w:val="center"/>
        </w:trPr>
        <w:tc>
          <w:tcPr>
            <w:tcW w:w="10308" w:type="dxa"/>
          </w:tcPr>
          <w:p w14:paraId="4B7AFB59" w14:textId="1F8E4EE2" w:rsidR="00EF2D64" w:rsidRPr="006623FB" w:rsidRDefault="00CC790D" w:rsidP="00EF2D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Chart 10</w:t>
            </w:r>
          </w:p>
        </w:tc>
      </w:tr>
      <w:tr w:rsidR="00EF2D64" w:rsidRPr="006623FB" w14:paraId="1C6F0F35" w14:textId="77777777" w:rsidTr="000C624B">
        <w:trPr>
          <w:jc w:val="center"/>
        </w:trPr>
        <w:tc>
          <w:tcPr>
            <w:tcW w:w="10308" w:type="dxa"/>
          </w:tcPr>
          <w:p w14:paraId="2B52A41F" w14:textId="04556450" w:rsidR="00EF2D64" w:rsidRPr="006623FB" w:rsidRDefault="00EF2D64" w:rsidP="004162CA">
            <w:pPr>
              <w:jc w:val="center"/>
              <w:rPr>
                <w:b/>
                <w:sz w:val="20"/>
                <w:szCs w:val="20"/>
              </w:rPr>
            </w:pPr>
            <w:r w:rsidRPr="006623FB">
              <w:rPr>
                <w:b/>
                <w:sz w:val="20"/>
                <w:szCs w:val="20"/>
              </w:rPr>
              <w:t xml:space="preserve">Business confidence </w:t>
            </w:r>
            <w:r w:rsidR="00424BAA">
              <w:rPr>
                <w:b/>
                <w:sz w:val="20"/>
                <w:szCs w:val="20"/>
              </w:rPr>
              <w:t xml:space="preserve">responses </w:t>
            </w:r>
            <w:r w:rsidRPr="006623FB">
              <w:rPr>
                <w:b/>
                <w:sz w:val="20"/>
                <w:szCs w:val="20"/>
              </w:rPr>
              <w:t>by industry</w:t>
            </w:r>
            <w:r w:rsidR="00424BAA">
              <w:rPr>
                <w:b/>
                <w:sz w:val="20"/>
                <w:szCs w:val="20"/>
              </w:rPr>
              <w:t xml:space="preserve"> (%)</w:t>
            </w:r>
          </w:p>
        </w:tc>
      </w:tr>
      <w:tr w:rsidR="00EF2D64" w14:paraId="063D3BFA" w14:textId="77777777" w:rsidTr="000C624B">
        <w:trPr>
          <w:jc w:val="center"/>
        </w:trPr>
        <w:tc>
          <w:tcPr>
            <w:tcW w:w="10308" w:type="dxa"/>
          </w:tcPr>
          <w:p w14:paraId="6BA724D7" w14:textId="49D38A79" w:rsidR="00EF2D64" w:rsidRDefault="00445530" w:rsidP="000C624B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6D60FC65" wp14:editId="4A841442">
                  <wp:extent cx="6523200" cy="3553200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3200" cy="355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5530" w14:paraId="42931BC2" w14:textId="77777777" w:rsidTr="000C624B">
        <w:trPr>
          <w:jc w:val="center"/>
        </w:trPr>
        <w:tc>
          <w:tcPr>
            <w:tcW w:w="10308" w:type="dxa"/>
          </w:tcPr>
          <w:p w14:paraId="11E613D2" w14:textId="3D40DE02" w:rsidR="00445530" w:rsidDel="00445530" w:rsidRDefault="00445530" w:rsidP="000C624B">
            <w:pPr>
              <w:jc w:val="center"/>
              <w:rPr>
                <w:noProof/>
                <w:lang w:eastAsia="en-AU"/>
              </w:rPr>
            </w:pPr>
          </w:p>
        </w:tc>
      </w:tr>
    </w:tbl>
    <w:p w14:paraId="07313764" w14:textId="77777777" w:rsidR="002322EB" w:rsidRPr="004162CA" w:rsidRDefault="002322EB">
      <w:r>
        <w:br w:type="page"/>
      </w:r>
    </w:p>
    <w:p w14:paraId="0626B0BA" w14:textId="409097C0" w:rsidR="003A611C" w:rsidRPr="006523C6" w:rsidRDefault="003A611C" w:rsidP="003A611C">
      <w:pPr>
        <w:pStyle w:val="Title"/>
        <w:rPr>
          <w:color w:val="808080" w:themeColor="background1" w:themeShade="80"/>
        </w:rPr>
      </w:pPr>
      <w:r w:rsidRPr="003A611C">
        <w:rPr>
          <w:color w:val="808080" w:themeColor="background1" w:themeShade="80"/>
        </w:rPr>
        <w:lastRenderedPageBreak/>
        <w:t>Appendix</w:t>
      </w:r>
    </w:p>
    <w:p w14:paraId="1556884B" w14:textId="77777777" w:rsidR="00F207C5" w:rsidRDefault="00DF6516" w:rsidP="00DF6516">
      <w:pPr>
        <w:pStyle w:val="Heading1"/>
      </w:pPr>
      <w:r>
        <w:t xml:space="preserve">Methodology </w:t>
      </w:r>
    </w:p>
    <w:p w14:paraId="33B76BFB" w14:textId="583F9F59" w:rsidR="0025534A" w:rsidRDefault="00147302" w:rsidP="00DF6516">
      <w:r>
        <w:t xml:space="preserve">The Department of Industry, Tourism and Trade conducts a </w:t>
      </w:r>
      <w:r w:rsidR="00DF6516">
        <w:t>survey of businesses opera</w:t>
      </w:r>
      <w:r w:rsidR="0025534A">
        <w:t>ti</w:t>
      </w:r>
      <w:r>
        <w:t>ng in the Territory</w:t>
      </w:r>
      <w:r w:rsidR="00DF6516">
        <w:t xml:space="preserve"> on a </w:t>
      </w:r>
      <w:r w:rsidR="0025534A">
        <w:t xml:space="preserve">quarterly basis. </w:t>
      </w:r>
      <w:r w:rsidR="00C4525D">
        <w:t>The results</w:t>
      </w:r>
      <w:r w:rsidR="00CB4DCF">
        <w:t xml:space="preserve"> </w:t>
      </w:r>
      <w:proofErr w:type="gramStart"/>
      <w:r w:rsidR="00CB4DCF">
        <w:t>have been used</w:t>
      </w:r>
      <w:proofErr w:type="gramEnd"/>
      <w:r w:rsidR="00CB4DCF">
        <w:t xml:space="preserve"> to </w:t>
      </w:r>
      <w:r w:rsidR="003C29F6">
        <w:t xml:space="preserve">construct a </w:t>
      </w:r>
      <w:r w:rsidR="00CB4DCF">
        <w:t xml:space="preserve">business confidence index. </w:t>
      </w:r>
    </w:p>
    <w:p w14:paraId="1EB641A5" w14:textId="77777777" w:rsidR="00CB4DCF" w:rsidRDefault="00CB4DCF" w:rsidP="00CB4DCF">
      <w:r>
        <w:t xml:space="preserve">The business confidence index is calculated as the difference between the </w:t>
      </w:r>
      <w:r w:rsidR="005D50F2">
        <w:t>proportion</w:t>
      </w:r>
      <w:r>
        <w:t xml:space="preserve"> of businesses that are ‘confident about their business prospects for the next 12 months' </w:t>
      </w:r>
      <w:r w:rsidR="003C29F6">
        <w:t xml:space="preserve">and </w:t>
      </w:r>
      <w:r>
        <w:t xml:space="preserve">the proportion of businesses that are ‘worried about their business prospects for the next 12 months’ (net balance approach). </w:t>
      </w:r>
    </w:p>
    <w:p w14:paraId="51011907" w14:textId="77777777" w:rsidR="00CB4DCF" w:rsidRDefault="005D50F2" w:rsidP="00CB4DCF">
      <w:r>
        <w:t xml:space="preserve">The Territory-wide confidence index </w:t>
      </w:r>
      <w:proofErr w:type="gramStart"/>
      <w:r>
        <w:t>is weighted</w:t>
      </w:r>
      <w:proofErr w:type="gramEnd"/>
      <w:r>
        <w:t xml:space="preserve"> to account for the number of businesses in each region. The weighted result provides a more balanced reflection of overall business confidence. </w:t>
      </w:r>
      <w:r w:rsidR="003C29F6">
        <w:t>B</w:t>
      </w:r>
      <w:r w:rsidR="00CB4DCF">
        <w:t xml:space="preserve">usiness confidence results </w:t>
      </w:r>
      <w:proofErr w:type="gramStart"/>
      <w:r w:rsidR="00CB4DCF">
        <w:t>are</w:t>
      </w:r>
      <w:r>
        <w:t xml:space="preserve"> also presented</w:t>
      </w:r>
      <w:proofErr w:type="gramEnd"/>
      <w:r>
        <w:t xml:space="preserve"> by region and industry. </w:t>
      </w:r>
    </w:p>
    <w:p w14:paraId="322A0353" w14:textId="377C1351" w:rsidR="0025534A" w:rsidRDefault="006A18AD" w:rsidP="00DF6516">
      <w:proofErr w:type="gramStart"/>
      <w:r>
        <w:t>522</w:t>
      </w:r>
      <w:proofErr w:type="gramEnd"/>
      <w:r w:rsidR="00684A72">
        <w:t xml:space="preserve"> businesses were surveyed </w:t>
      </w:r>
      <w:r w:rsidR="003A6FC3">
        <w:t xml:space="preserve">this quarter </w:t>
      </w:r>
      <w:r w:rsidR="00684A72">
        <w:t>out of 15</w:t>
      </w:r>
      <w:r w:rsidR="006E699B">
        <w:t>,</w:t>
      </w:r>
      <w:r w:rsidR="00EF43E3">
        <w:t>777</w:t>
      </w:r>
      <w:r w:rsidR="0025534A">
        <w:t xml:space="preserve"> operating</w:t>
      </w:r>
      <w:r w:rsidR="00EF43E3">
        <w:t xml:space="preserve"> businesses in the Territory</w:t>
      </w:r>
      <w:r w:rsidR="00684A72">
        <w:t xml:space="preserve"> (Table </w:t>
      </w:r>
      <w:r w:rsidR="00A535AE">
        <w:t>4</w:t>
      </w:r>
      <w:r w:rsidR="00684A72">
        <w:t>)</w:t>
      </w:r>
      <w:r w:rsidR="00EF43E3">
        <w:t>.</w:t>
      </w:r>
      <w:r w:rsidR="003C29F6">
        <w:t xml:space="preserve"> F</w:t>
      </w:r>
      <w:r w:rsidR="00DF6516">
        <w:t>or the sampl</w:t>
      </w:r>
      <w:r w:rsidR="0025534A">
        <w:t>e survey to achieve a 95% confi</w:t>
      </w:r>
      <w:r w:rsidR="00DF6516">
        <w:t>dence level w</w:t>
      </w:r>
      <w:r w:rsidR="00F8722E">
        <w:t>ith a margin of error of 5%, 376</w:t>
      </w:r>
      <w:r w:rsidR="00DF6516">
        <w:t xml:space="preserve"> survey responses a</w:t>
      </w:r>
      <w:r w:rsidR="00684A72">
        <w:t>re required.</w:t>
      </w:r>
    </w:p>
    <w:p w14:paraId="10CE6291" w14:textId="3B873FFE" w:rsidR="0025534A" w:rsidRPr="006523C6" w:rsidRDefault="0025534A" w:rsidP="000462AD">
      <w:pPr>
        <w:pStyle w:val="Caption"/>
        <w:keepNext/>
        <w:spacing w:before="120" w:after="120"/>
        <w:rPr>
          <w:b/>
        </w:rPr>
      </w:pPr>
      <w:r w:rsidRPr="006523C6">
        <w:rPr>
          <w:b/>
        </w:rPr>
        <w:t xml:space="preserve">Table </w:t>
      </w:r>
      <w:r w:rsidR="00B15230">
        <w:rPr>
          <w:b/>
        </w:rPr>
        <w:t>4</w:t>
      </w:r>
      <w:r w:rsidR="00B9612D" w:rsidRPr="006523C6">
        <w:rPr>
          <w:b/>
        </w:rPr>
        <w:t>: Survey Numbers</w:t>
      </w:r>
    </w:p>
    <w:tbl>
      <w:tblPr>
        <w:tblStyle w:val="NTGtable"/>
        <w:tblW w:w="10176" w:type="dxa"/>
        <w:tblLook w:val="04A0" w:firstRow="1" w:lastRow="0" w:firstColumn="1" w:lastColumn="0" w:noHBand="0" w:noVBand="1"/>
      </w:tblPr>
      <w:tblGrid>
        <w:gridCol w:w="3256"/>
        <w:gridCol w:w="2478"/>
        <w:gridCol w:w="2357"/>
        <w:gridCol w:w="2085"/>
      </w:tblGrid>
      <w:tr w:rsidR="0025534A" w:rsidRPr="0025534A" w14:paraId="56ADC530" w14:textId="77777777" w:rsidTr="006841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6" w:type="dxa"/>
            <w:hideMark/>
          </w:tcPr>
          <w:p w14:paraId="58A81F3A" w14:textId="77777777" w:rsidR="0025534A" w:rsidRPr="0025534A" w:rsidRDefault="0025534A" w:rsidP="0025534A">
            <w:pPr>
              <w:spacing w:after="0"/>
              <w:jc w:val="center"/>
              <w:rPr>
                <w:rFonts w:eastAsia="Times New Roman" w:cs="Calibri"/>
                <w:bCs/>
                <w:color w:val="FFFFFF" w:themeColor="background1"/>
                <w:sz w:val="20"/>
              </w:rPr>
            </w:pPr>
            <w:r w:rsidRPr="0025534A">
              <w:rPr>
                <w:rFonts w:eastAsia="Times New Roman" w:cs="Calibri"/>
                <w:bCs/>
                <w:color w:val="FFFFFF" w:themeColor="background1"/>
                <w:sz w:val="20"/>
              </w:rPr>
              <w:t>Region</w:t>
            </w:r>
          </w:p>
        </w:tc>
        <w:tc>
          <w:tcPr>
            <w:tcW w:w="2478" w:type="dxa"/>
            <w:hideMark/>
          </w:tcPr>
          <w:p w14:paraId="44C2EA02" w14:textId="77777777" w:rsidR="0025534A" w:rsidRPr="0025534A" w:rsidRDefault="0025534A" w:rsidP="0025534A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color w:val="FFFFFF" w:themeColor="background1"/>
                <w:sz w:val="20"/>
              </w:rPr>
            </w:pPr>
            <w:r w:rsidRPr="0025534A">
              <w:rPr>
                <w:rFonts w:eastAsia="Times New Roman" w:cs="Calibri"/>
                <w:bCs/>
                <w:color w:val="FFFFFF" w:themeColor="background1"/>
                <w:sz w:val="20"/>
              </w:rPr>
              <w:t xml:space="preserve">Total number of businesses </w:t>
            </w:r>
          </w:p>
        </w:tc>
        <w:tc>
          <w:tcPr>
            <w:tcW w:w="2357" w:type="dxa"/>
            <w:hideMark/>
          </w:tcPr>
          <w:p w14:paraId="049824D3" w14:textId="77777777" w:rsidR="0025534A" w:rsidRPr="0025534A" w:rsidRDefault="0025534A" w:rsidP="0025534A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color w:val="FFFFFF" w:themeColor="background1"/>
                <w:sz w:val="20"/>
              </w:rPr>
            </w:pPr>
            <w:r w:rsidRPr="0025534A">
              <w:rPr>
                <w:rFonts w:eastAsia="Times New Roman" w:cs="Calibri"/>
                <w:bCs/>
                <w:color w:val="FFFFFF" w:themeColor="background1"/>
                <w:sz w:val="20"/>
              </w:rPr>
              <w:t>Businesses surveyed</w:t>
            </w:r>
          </w:p>
        </w:tc>
        <w:tc>
          <w:tcPr>
            <w:tcW w:w="2085" w:type="dxa"/>
            <w:hideMark/>
          </w:tcPr>
          <w:p w14:paraId="5BC95AD0" w14:textId="77777777" w:rsidR="0025534A" w:rsidRPr="0025534A" w:rsidRDefault="0025534A" w:rsidP="0025534A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color w:val="FFFFFF" w:themeColor="background1"/>
                <w:sz w:val="20"/>
              </w:rPr>
            </w:pPr>
            <w:r w:rsidRPr="0025534A">
              <w:rPr>
                <w:rFonts w:eastAsia="Times New Roman" w:cs="Calibri"/>
                <w:bCs/>
                <w:color w:val="FFFFFF" w:themeColor="background1"/>
                <w:sz w:val="20"/>
              </w:rPr>
              <w:t>Proportion of total</w:t>
            </w:r>
          </w:p>
        </w:tc>
      </w:tr>
      <w:tr w:rsidR="00B9612D" w:rsidRPr="0025534A" w14:paraId="07607A26" w14:textId="77777777" w:rsidTr="00684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6372A44B" w14:textId="77777777" w:rsidR="00B9612D" w:rsidRPr="002F6C4D" w:rsidRDefault="00B9612D" w:rsidP="00B9612D">
            <w:pPr>
              <w:spacing w:after="0"/>
              <w:rPr>
                <w:rFonts w:eastAsia="Times New Roman" w:cs="Calibri"/>
                <w:color w:val="000000"/>
                <w:szCs w:val="22"/>
              </w:rPr>
            </w:pPr>
            <w:r w:rsidRPr="002F6C4D">
              <w:rPr>
                <w:rFonts w:eastAsia="Times New Roman" w:cs="Calibri"/>
                <w:color w:val="000000"/>
                <w:szCs w:val="22"/>
              </w:rPr>
              <w:t>Greater Darwin</w:t>
            </w:r>
          </w:p>
        </w:tc>
        <w:tc>
          <w:tcPr>
            <w:tcW w:w="2478" w:type="dxa"/>
            <w:noWrap/>
            <w:hideMark/>
          </w:tcPr>
          <w:p w14:paraId="4015B3A1" w14:textId="363AE7AC" w:rsidR="00B9612D" w:rsidRPr="002F6C4D" w:rsidRDefault="006E34D2" w:rsidP="008C61DE">
            <w:pPr>
              <w:spacing w:after="0"/>
              <w:ind w:right="67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2"/>
              </w:rPr>
            </w:pPr>
            <w:r>
              <w:rPr>
                <w:rFonts w:eastAsia="Times New Roman" w:cs="Calibri"/>
                <w:color w:val="000000"/>
                <w:szCs w:val="22"/>
              </w:rPr>
              <w:t>11</w:t>
            </w:r>
            <w:r w:rsidR="00782E2E">
              <w:rPr>
                <w:rFonts w:eastAsia="Times New Roman" w:cs="Calibri"/>
                <w:color w:val="000000"/>
                <w:szCs w:val="22"/>
              </w:rPr>
              <w:t>,</w:t>
            </w:r>
            <w:r>
              <w:rPr>
                <w:rFonts w:eastAsia="Times New Roman" w:cs="Calibri"/>
                <w:color w:val="000000"/>
                <w:szCs w:val="22"/>
              </w:rPr>
              <w:t>577</w:t>
            </w:r>
          </w:p>
        </w:tc>
        <w:tc>
          <w:tcPr>
            <w:tcW w:w="2357" w:type="dxa"/>
            <w:noWrap/>
            <w:vAlign w:val="bottom"/>
            <w:hideMark/>
          </w:tcPr>
          <w:p w14:paraId="1B98EDEC" w14:textId="72F39B8C" w:rsidR="00B9612D" w:rsidRPr="002F6C4D" w:rsidRDefault="00AD21C0" w:rsidP="008C61DE">
            <w:pPr>
              <w:ind w:right="6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224</w:t>
            </w:r>
          </w:p>
        </w:tc>
        <w:tc>
          <w:tcPr>
            <w:tcW w:w="2085" w:type="dxa"/>
            <w:noWrap/>
            <w:vAlign w:val="bottom"/>
            <w:hideMark/>
          </w:tcPr>
          <w:p w14:paraId="54EC46AF" w14:textId="434E50B5" w:rsidR="00B9612D" w:rsidRPr="002F6C4D" w:rsidRDefault="00B9612D" w:rsidP="008C61DE">
            <w:pPr>
              <w:ind w:right="57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 w:rsidRPr="002F6C4D">
              <w:rPr>
                <w:rFonts w:cs="Calibri"/>
                <w:color w:val="000000"/>
                <w:szCs w:val="22"/>
              </w:rPr>
              <w:t>1.</w:t>
            </w:r>
            <w:r w:rsidR="006A18AD">
              <w:rPr>
                <w:rFonts w:cs="Calibri"/>
                <w:color w:val="000000"/>
                <w:szCs w:val="22"/>
              </w:rPr>
              <w:t>9</w:t>
            </w:r>
            <w:r w:rsidRPr="002F6C4D">
              <w:rPr>
                <w:rFonts w:cs="Calibri"/>
                <w:color w:val="000000"/>
                <w:szCs w:val="22"/>
              </w:rPr>
              <w:t>%</w:t>
            </w:r>
          </w:p>
        </w:tc>
      </w:tr>
      <w:tr w:rsidR="00B9612D" w:rsidRPr="0025534A" w14:paraId="020A4238" w14:textId="77777777" w:rsidTr="006841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1B3ABDBA" w14:textId="77777777" w:rsidR="00B9612D" w:rsidRPr="002F6C4D" w:rsidRDefault="00B9612D" w:rsidP="00B9612D">
            <w:pPr>
              <w:spacing w:after="0"/>
              <w:rPr>
                <w:rFonts w:eastAsia="Times New Roman" w:cs="Calibri"/>
                <w:color w:val="000000"/>
                <w:szCs w:val="22"/>
              </w:rPr>
            </w:pPr>
            <w:r w:rsidRPr="002F6C4D">
              <w:rPr>
                <w:rFonts w:eastAsia="Times New Roman" w:cs="Calibri"/>
                <w:color w:val="000000"/>
                <w:szCs w:val="22"/>
              </w:rPr>
              <w:t>Daly-Tiwi-West Arnhem</w:t>
            </w:r>
          </w:p>
        </w:tc>
        <w:tc>
          <w:tcPr>
            <w:tcW w:w="2478" w:type="dxa"/>
            <w:noWrap/>
            <w:hideMark/>
          </w:tcPr>
          <w:p w14:paraId="378D4BB5" w14:textId="77777777" w:rsidR="00B9612D" w:rsidRPr="002F6C4D" w:rsidRDefault="006E34D2" w:rsidP="008C61DE">
            <w:pPr>
              <w:spacing w:after="0"/>
              <w:ind w:right="673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color w:val="000000"/>
                <w:szCs w:val="22"/>
              </w:rPr>
            </w:pPr>
            <w:r>
              <w:rPr>
                <w:rFonts w:eastAsia="Times New Roman" w:cs="Calibri"/>
                <w:color w:val="000000"/>
                <w:szCs w:val="22"/>
              </w:rPr>
              <w:t>378</w:t>
            </w:r>
          </w:p>
        </w:tc>
        <w:tc>
          <w:tcPr>
            <w:tcW w:w="2357" w:type="dxa"/>
            <w:noWrap/>
            <w:vAlign w:val="bottom"/>
            <w:hideMark/>
          </w:tcPr>
          <w:p w14:paraId="429E2F01" w14:textId="7453694F" w:rsidR="00B9612D" w:rsidRPr="002F6C4D" w:rsidRDefault="006A18AD" w:rsidP="008C61DE">
            <w:pPr>
              <w:ind w:right="6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</w:t>
            </w:r>
            <w:r w:rsidR="00416394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2085" w:type="dxa"/>
            <w:noWrap/>
            <w:vAlign w:val="bottom"/>
            <w:hideMark/>
          </w:tcPr>
          <w:p w14:paraId="497E0172" w14:textId="25FF3818" w:rsidR="00B9612D" w:rsidRPr="002F6C4D" w:rsidRDefault="006A18AD" w:rsidP="008C61DE">
            <w:pPr>
              <w:ind w:right="574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10.8</w:t>
            </w:r>
            <w:r w:rsidR="00B9612D" w:rsidRPr="002F6C4D">
              <w:rPr>
                <w:rFonts w:cs="Calibri"/>
                <w:color w:val="000000"/>
                <w:szCs w:val="22"/>
              </w:rPr>
              <w:t>%</w:t>
            </w:r>
          </w:p>
        </w:tc>
      </w:tr>
      <w:tr w:rsidR="00B9612D" w:rsidRPr="0025534A" w14:paraId="7EFF2005" w14:textId="77777777" w:rsidTr="00684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5E9AFC9D" w14:textId="77777777" w:rsidR="00B9612D" w:rsidRPr="002F6C4D" w:rsidRDefault="00B9612D" w:rsidP="00B9612D">
            <w:pPr>
              <w:spacing w:after="0"/>
              <w:rPr>
                <w:rFonts w:eastAsia="Times New Roman" w:cs="Calibri"/>
                <w:color w:val="000000"/>
                <w:szCs w:val="22"/>
              </w:rPr>
            </w:pPr>
            <w:r w:rsidRPr="002F6C4D">
              <w:rPr>
                <w:rFonts w:eastAsia="Times New Roman" w:cs="Calibri"/>
                <w:color w:val="000000"/>
                <w:szCs w:val="22"/>
              </w:rPr>
              <w:t>East Arnhem</w:t>
            </w:r>
          </w:p>
        </w:tc>
        <w:tc>
          <w:tcPr>
            <w:tcW w:w="2478" w:type="dxa"/>
            <w:noWrap/>
            <w:hideMark/>
          </w:tcPr>
          <w:p w14:paraId="7AD9FB8F" w14:textId="77777777" w:rsidR="00B9612D" w:rsidRPr="002F6C4D" w:rsidRDefault="006E34D2" w:rsidP="008C61DE">
            <w:pPr>
              <w:spacing w:after="0"/>
              <w:ind w:right="67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2"/>
              </w:rPr>
            </w:pPr>
            <w:r>
              <w:rPr>
                <w:rFonts w:eastAsia="Times New Roman" w:cs="Calibri"/>
                <w:color w:val="000000"/>
                <w:szCs w:val="22"/>
              </w:rPr>
              <w:t>241</w:t>
            </w:r>
          </w:p>
        </w:tc>
        <w:tc>
          <w:tcPr>
            <w:tcW w:w="2357" w:type="dxa"/>
            <w:noWrap/>
            <w:vAlign w:val="bottom"/>
            <w:hideMark/>
          </w:tcPr>
          <w:p w14:paraId="17949CB4" w14:textId="7189144A" w:rsidR="00B9612D" w:rsidRPr="002F6C4D" w:rsidRDefault="00AD21C0" w:rsidP="008C61DE">
            <w:pPr>
              <w:ind w:right="6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37</w:t>
            </w:r>
          </w:p>
        </w:tc>
        <w:tc>
          <w:tcPr>
            <w:tcW w:w="2085" w:type="dxa"/>
            <w:noWrap/>
            <w:vAlign w:val="bottom"/>
            <w:hideMark/>
          </w:tcPr>
          <w:p w14:paraId="3B4C73B1" w14:textId="77D45AF3" w:rsidR="00B9612D" w:rsidRPr="002F6C4D" w:rsidRDefault="00AD21C0" w:rsidP="008C61DE">
            <w:pPr>
              <w:ind w:right="57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15.4</w:t>
            </w:r>
            <w:r w:rsidR="00B9612D" w:rsidRPr="002F6C4D">
              <w:rPr>
                <w:rFonts w:cs="Calibri"/>
                <w:color w:val="000000"/>
                <w:szCs w:val="22"/>
              </w:rPr>
              <w:t>%</w:t>
            </w:r>
          </w:p>
        </w:tc>
      </w:tr>
      <w:tr w:rsidR="00B9612D" w:rsidRPr="0025534A" w14:paraId="34231D6D" w14:textId="77777777" w:rsidTr="006841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1C7C4E0A" w14:textId="77777777" w:rsidR="00B9612D" w:rsidRPr="002F6C4D" w:rsidRDefault="00B9612D" w:rsidP="00B9612D">
            <w:pPr>
              <w:spacing w:after="0"/>
              <w:rPr>
                <w:rFonts w:eastAsia="Times New Roman" w:cs="Calibri"/>
                <w:color w:val="000000"/>
                <w:szCs w:val="22"/>
              </w:rPr>
            </w:pPr>
            <w:r w:rsidRPr="002F6C4D">
              <w:rPr>
                <w:rFonts w:eastAsia="Times New Roman" w:cs="Calibri"/>
                <w:color w:val="000000"/>
                <w:szCs w:val="22"/>
              </w:rPr>
              <w:t>Katherine</w:t>
            </w:r>
          </w:p>
        </w:tc>
        <w:tc>
          <w:tcPr>
            <w:tcW w:w="2478" w:type="dxa"/>
            <w:noWrap/>
            <w:hideMark/>
          </w:tcPr>
          <w:p w14:paraId="67CA9099" w14:textId="77777777" w:rsidR="00B9612D" w:rsidRPr="002F6C4D" w:rsidRDefault="006E34D2" w:rsidP="008C61DE">
            <w:pPr>
              <w:spacing w:after="0"/>
              <w:ind w:right="673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color w:val="000000"/>
                <w:szCs w:val="22"/>
              </w:rPr>
            </w:pPr>
            <w:r>
              <w:rPr>
                <w:rFonts w:eastAsia="Times New Roman" w:cs="Calibri"/>
                <w:color w:val="000000"/>
                <w:szCs w:val="22"/>
              </w:rPr>
              <w:t>960</w:t>
            </w:r>
          </w:p>
        </w:tc>
        <w:tc>
          <w:tcPr>
            <w:tcW w:w="2357" w:type="dxa"/>
            <w:noWrap/>
            <w:vAlign w:val="bottom"/>
            <w:hideMark/>
          </w:tcPr>
          <w:p w14:paraId="611A3BE9" w14:textId="6B13F370" w:rsidR="00B9612D" w:rsidRPr="002F6C4D" w:rsidRDefault="00AD21C0" w:rsidP="008C61DE">
            <w:pPr>
              <w:ind w:right="6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16</w:t>
            </w:r>
          </w:p>
        </w:tc>
        <w:tc>
          <w:tcPr>
            <w:tcW w:w="2085" w:type="dxa"/>
            <w:noWrap/>
            <w:vAlign w:val="bottom"/>
            <w:hideMark/>
          </w:tcPr>
          <w:p w14:paraId="46793CED" w14:textId="617CC5E1" w:rsidR="00B9612D" w:rsidRPr="002F6C4D" w:rsidRDefault="00AD21C0" w:rsidP="008C61DE">
            <w:pPr>
              <w:ind w:right="574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1.7</w:t>
            </w:r>
            <w:r w:rsidR="00B9612D" w:rsidRPr="002F6C4D">
              <w:rPr>
                <w:rFonts w:cs="Calibri"/>
                <w:color w:val="000000"/>
                <w:szCs w:val="22"/>
              </w:rPr>
              <w:t>%</w:t>
            </w:r>
          </w:p>
        </w:tc>
      </w:tr>
      <w:tr w:rsidR="00B9612D" w:rsidRPr="0025534A" w14:paraId="2B2062D1" w14:textId="77777777" w:rsidTr="00684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422CA375" w14:textId="77777777" w:rsidR="00B9612D" w:rsidRPr="002F6C4D" w:rsidRDefault="00B9612D" w:rsidP="00B9612D">
            <w:pPr>
              <w:spacing w:after="0"/>
              <w:rPr>
                <w:rFonts w:eastAsia="Times New Roman" w:cs="Calibri"/>
                <w:color w:val="000000"/>
                <w:szCs w:val="22"/>
              </w:rPr>
            </w:pPr>
            <w:r w:rsidRPr="002F6C4D">
              <w:rPr>
                <w:rFonts w:eastAsia="Times New Roman" w:cs="Calibri"/>
                <w:color w:val="000000"/>
                <w:szCs w:val="22"/>
              </w:rPr>
              <w:t>Barkly</w:t>
            </w:r>
          </w:p>
        </w:tc>
        <w:tc>
          <w:tcPr>
            <w:tcW w:w="2478" w:type="dxa"/>
            <w:noWrap/>
            <w:hideMark/>
          </w:tcPr>
          <w:p w14:paraId="45879692" w14:textId="77777777" w:rsidR="00B9612D" w:rsidRPr="002F6C4D" w:rsidRDefault="006E34D2" w:rsidP="008C61DE">
            <w:pPr>
              <w:spacing w:after="0"/>
              <w:ind w:right="67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2"/>
              </w:rPr>
            </w:pPr>
            <w:r>
              <w:rPr>
                <w:rFonts w:eastAsia="Times New Roman" w:cs="Calibri"/>
                <w:color w:val="000000"/>
                <w:szCs w:val="22"/>
              </w:rPr>
              <w:t>193</w:t>
            </w:r>
          </w:p>
        </w:tc>
        <w:tc>
          <w:tcPr>
            <w:tcW w:w="2357" w:type="dxa"/>
            <w:noWrap/>
            <w:vAlign w:val="bottom"/>
            <w:hideMark/>
          </w:tcPr>
          <w:p w14:paraId="7DA83B6C" w14:textId="67EB0023" w:rsidR="00B9612D" w:rsidRPr="002F6C4D" w:rsidRDefault="00AD21C0" w:rsidP="008C61DE">
            <w:pPr>
              <w:ind w:right="6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44</w:t>
            </w:r>
          </w:p>
        </w:tc>
        <w:tc>
          <w:tcPr>
            <w:tcW w:w="2085" w:type="dxa"/>
            <w:noWrap/>
            <w:vAlign w:val="bottom"/>
            <w:hideMark/>
          </w:tcPr>
          <w:p w14:paraId="39FC9D04" w14:textId="24371839" w:rsidR="00B9612D" w:rsidRPr="002F6C4D" w:rsidRDefault="00AD21C0" w:rsidP="008C61DE">
            <w:pPr>
              <w:ind w:right="57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22.8</w:t>
            </w:r>
            <w:r w:rsidR="00B9612D" w:rsidRPr="002F6C4D">
              <w:rPr>
                <w:rFonts w:cs="Calibri"/>
                <w:color w:val="000000"/>
                <w:szCs w:val="22"/>
              </w:rPr>
              <w:t>%</w:t>
            </w:r>
          </w:p>
        </w:tc>
      </w:tr>
      <w:tr w:rsidR="00B9612D" w:rsidRPr="0025534A" w14:paraId="03DF3E41" w14:textId="77777777" w:rsidTr="006841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147BC6E4" w14:textId="77777777" w:rsidR="00B9612D" w:rsidRPr="002F6C4D" w:rsidRDefault="00B9612D" w:rsidP="00B9612D">
            <w:pPr>
              <w:spacing w:after="0"/>
              <w:rPr>
                <w:rFonts w:eastAsia="Times New Roman" w:cs="Calibri"/>
                <w:color w:val="000000"/>
                <w:szCs w:val="22"/>
              </w:rPr>
            </w:pPr>
            <w:r w:rsidRPr="002F6C4D">
              <w:rPr>
                <w:rFonts w:eastAsia="Times New Roman" w:cs="Calibri"/>
                <w:color w:val="000000"/>
                <w:szCs w:val="22"/>
              </w:rPr>
              <w:t>Alice Springs</w:t>
            </w:r>
          </w:p>
        </w:tc>
        <w:tc>
          <w:tcPr>
            <w:tcW w:w="2478" w:type="dxa"/>
            <w:noWrap/>
            <w:hideMark/>
          </w:tcPr>
          <w:p w14:paraId="6B89DFEF" w14:textId="59925503" w:rsidR="00B9612D" w:rsidRPr="002F6C4D" w:rsidRDefault="006E34D2" w:rsidP="008C61DE">
            <w:pPr>
              <w:spacing w:after="0"/>
              <w:ind w:right="673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color w:val="000000"/>
                <w:szCs w:val="22"/>
              </w:rPr>
            </w:pPr>
            <w:r>
              <w:rPr>
                <w:rFonts w:eastAsia="Times New Roman" w:cs="Calibri"/>
                <w:color w:val="000000"/>
                <w:szCs w:val="22"/>
              </w:rPr>
              <w:t>2</w:t>
            </w:r>
            <w:r w:rsidR="004A6CE1">
              <w:rPr>
                <w:rFonts w:eastAsia="Times New Roman" w:cs="Calibri"/>
                <w:color w:val="000000"/>
                <w:szCs w:val="22"/>
              </w:rPr>
              <w:t>,</w:t>
            </w:r>
            <w:r>
              <w:rPr>
                <w:rFonts w:eastAsia="Times New Roman" w:cs="Calibri"/>
                <w:color w:val="000000"/>
                <w:szCs w:val="22"/>
              </w:rPr>
              <w:t>034</w:t>
            </w:r>
          </w:p>
        </w:tc>
        <w:tc>
          <w:tcPr>
            <w:tcW w:w="2357" w:type="dxa"/>
            <w:noWrap/>
            <w:vAlign w:val="bottom"/>
            <w:hideMark/>
          </w:tcPr>
          <w:p w14:paraId="2360BC20" w14:textId="01A9BE7A" w:rsidR="00B9612D" w:rsidRPr="002F6C4D" w:rsidRDefault="006E34D2" w:rsidP="008C61DE">
            <w:pPr>
              <w:ind w:right="6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</w:t>
            </w:r>
            <w:r w:rsidR="006A18AD">
              <w:rPr>
                <w:rFonts w:cs="Calibri"/>
                <w:color w:val="000000"/>
                <w:szCs w:val="22"/>
              </w:rPr>
              <w:t>60</w:t>
            </w:r>
          </w:p>
        </w:tc>
        <w:tc>
          <w:tcPr>
            <w:tcW w:w="2085" w:type="dxa"/>
            <w:noWrap/>
            <w:vAlign w:val="bottom"/>
            <w:hideMark/>
          </w:tcPr>
          <w:p w14:paraId="511DEB78" w14:textId="517CB891" w:rsidR="00B9612D" w:rsidRPr="002F6C4D" w:rsidRDefault="006A18AD" w:rsidP="008C61DE">
            <w:pPr>
              <w:ind w:right="574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7.9</w:t>
            </w:r>
            <w:r w:rsidR="00B9612D" w:rsidRPr="002F6C4D">
              <w:rPr>
                <w:rFonts w:cs="Calibri"/>
                <w:color w:val="000000"/>
                <w:szCs w:val="22"/>
              </w:rPr>
              <w:t>%</w:t>
            </w:r>
          </w:p>
        </w:tc>
      </w:tr>
      <w:tr w:rsidR="00B9612D" w:rsidRPr="0025534A" w14:paraId="3C474083" w14:textId="77777777" w:rsidTr="00684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2663E70E" w14:textId="77777777" w:rsidR="00B9612D" w:rsidRPr="002F6C4D" w:rsidRDefault="00B9612D" w:rsidP="00B9612D">
            <w:pPr>
              <w:spacing w:after="0"/>
              <w:rPr>
                <w:rFonts w:eastAsia="Times New Roman" w:cs="Calibri"/>
                <w:b/>
                <w:bCs/>
                <w:color w:val="000000"/>
                <w:szCs w:val="22"/>
              </w:rPr>
            </w:pPr>
            <w:r w:rsidRPr="002F6C4D">
              <w:rPr>
                <w:rFonts w:eastAsia="Times New Roman" w:cs="Calibri"/>
                <w:b/>
                <w:bCs/>
                <w:color w:val="000000"/>
                <w:szCs w:val="22"/>
              </w:rPr>
              <w:t>Total</w:t>
            </w:r>
          </w:p>
        </w:tc>
        <w:tc>
          <w:tcPr>
            <w:tcW w:w="2478" w:type="dxa"/>
            <w:noWrap/>
            <w:hideMark/>
          </w:tcPr>
          <w:p w14:paraId="61A3DAB4" w14:textId="46B68302" w:rsidR="00B9612D" w:rsidRPr="002F6C4D" w:rsidRDefault="00B9612D" w:rsidP="008C61DE">
            <w:pPr>
              <w:spacing w:after="0"/>
              <w:ind w:right="67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Cs w:val="22"/>
              </w:rPr>
            </w:pPr>
            <w:r w:rsidRPr="002F6C4D">
              <w:rPr>
                <w:rFonts w:eastAsia="Times New Roman" w:cs="Calibri"/>
                <w:b/>
                <w:bCs/>
                <w:color w:val="000000"/>
                <w:szCs w:val="22"/>
              </w:rPr>
              <w:t>15</w:t>
            </w:r>
            <w:r w:rsidR="00782E2E">
              <w:rPr>
                <w:rFonts w:eastAsia="Times New Roman" w:cs="Calibri"/>
                <w:b/>
                <w:bCs/>
                <w:color w:val="000000"/>
                <w:szCs w:val="22"/>
              </w:rPr>
              <w:t>,</w:t>
            </w:r>
            <w:r w:rsidR="006E34D2">
              <w:rPr>
                <w:rFonts w:eastAsia="Times New Roman" w:cs="Calibri"/>
                <w:b/>
                <w:bCs/>
                <w:color w:val="000000"/>
                <w:szCs w:val="22"/>
              </w:rPr>
              <w:t>777</w:t>
            </w:r>
          </w:p>
        </w:tc>
        <w:tc>
          <w:tcPr>
            <w:tcW w:w="2357" w:type="dxa"/>
            <w:noWrap/>
            <w:vAlign w:val="bottom"/>
            <w:hideMark/>
          </w:tcPr>
          <w:p w14:paraId="660A0454" w14:textId="39B088EA" w:rsidR="00B9612D" w:rsidRPr="002F6C4D" w:rsidRDefault="006A18AD" w:rsidP="008C61DE">
            <w:pPr>
              <w:ind w:right="6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22"/>
              </w:rPr>
            </w:pPr>
            <w:r>
              <w:rPr>
                <w:rFonts w:cs="Calibri"/>
                <w:b/>
                <w:bCs/>
                <w:color w:val="000000"/>
                <w:szCs w:val="22"/>
              </w:rPr>
              <w:t>522</w:t>
            </w:r>
          </w:p>
        </w:tc>
        <w:tc>
          <w:tcPr>
            <w:tcW w:w="2085" w:type="dxa"/>
            <w:noWrap/>
            <w:vAlign w:val="bottom"/>
            <w:hideMark/>
          </w:tcPr>
          <w:p w14:paraId="2954FBA9" w14:textId="3A785FB5" w:rsidR="00B9612D" w:rsidRPr="002F6C4D" w:rsidRDefault="006A18AD" w:rsidP="008C61DE">
            <w:pPr>
              <w:ind w:right="57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22"/>
              </w:rPr>
            </w:pPr>
            <w:r>
              <w:rPr>
                <w:rFonts w:cs="Calibri"/>
                <w:b/>
                <w:bCs/>
                <w:color w:val="000000"/>
                <w:szCs w:val="22"/>
              </w:rPr>
              <w:t>3.3</w:t>
            </w:r>
            <w:r w:rsidR="00B9612D" w:rsidRPr="002F6C4D">
              <w:rPr>
                <w:rFonts w:cs="Calibri"/>
                <w:b/>
                <w:bCs/>
                <w:color w:val="000000"/>
                <w:szCs w:val="22"/>
              </w:rPr>
              <w:t>%</w:t>
            </w:r>
          </w:p>
        </w:tc>
      </w:tr>
    </w:tbl>
    <w:p w14:paraId="1482AB52" w14:textId="13F40DF5" w:rsidR="0025534A" w:rsidRDefault="0025534A" w:rsidP="00DF6516"/>
    <w:p w14:paraId="14C8211F" w14:textId="77777777" w:rsidR="008C3F57" w:rsidRDefault="008C3F57" w:rsidP="00DF6516"/>
    <w:sectPr w:rsidR="008C3F57" w:rsidSect="00A408A8">
      <w:headerReference w:type="default" r:id="rId28"/>
      <w:footerReference w:type="default" r:id="rId29"/>
      <w:headerReference w:type="first" r:id="rId30"/>
      <w:footerReference w:type="first" r:id="rId31"/>
      <w:pgSz w:w="11906" w:h="16838" w:code="9"/>
      <w:pgMar w:top="18" w:right="794" w:bottom="426" w:left="794" w:header="864" w:footer="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ED66A" w14:textId="77777777" w:rsidR="00C11BA8" w:rsidRDefault="00C11BA8" w:rsidP="007332FF">
      <w:r>
        <w:separator/>
      </w:r>
    </w:p>
    <w:p w14:paraId="3317FCCE" w14:textId="77777777" w:rsidR="00C11BA8" w:rsidRDefault="00C11BA8"/>
  </w:endnote>
  <w:endnote w:type="continuationSeparator" w:id="0">
    <w:p w14:paraId="427CEC09" w14:textId="77777777" w:rsidR="00C11BA8" w:rsidRDefault="00C11BA8" w:rsidP="007332FF">
      <w:r>
        <w:continuationSeparator/>
      </w:r>
    </w:p>
    <w:p w14:paraId="45225305" w14:textId="77777777" w:rsidR="00C11BA8" w:rsidRDefault="00C11B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CCF4B" w14:textId="77777777" w:rsidR="00C11BA8" w:rsidRDefault="00C11BA8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11BA8" w:rsidRPr="00132658" w14:paraId="448F37C6" w14:textId="77777777" w:rsidTr="00D47DC7">
      <w:trPr>
        <w:cantSplit/>
        <w:trHeight w:hRule="exact" w:val="850"/>
      </w:trPr>
      <w:tc>
        <w:tcPr>
          <w:tcW w:w="10318" w:type="dxa"/>
          <w:vAlign w:val="bottom"/>
        </w:tcPr>
        <w:p w14:paraId="52595BC4" w14:textId="77777777" w:rsidR="00C11BA8" w:rsidRDefault="00C11BA8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>
            <w:rPr>
              <w:rStyle w:val="PageNumber"/>
              <w:b/>
            </w:rPr>
            <w:t>Industry, Tourism and Trade</w:t>
          </w:r>
        </w:p>
        <w:p w14:paraId="49226138" w14:textId="4BB20EC9" w:rsidR="00C11BA8" w:rsidRPr="00CE6614" w:rsidRDefault="000D7ABF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C11BA8">
                <w:rPr>
                  <w:rStyle w:val="PageNumber"/>
                </w:rPr>
                <w:t>July</w:t>
              </w:r>
            </w:sdtContent>
          </w:sdt>
          <w:r w:rsidR="00C11BA8" w:rsidRPr="00CE6614">
            <w:rPr>
              <w:rStyle w:val="PageNumber"/>
            </w:rPr>
            <w:t xml:space="preserve"> </w:t>
          </w:r>
          <w:r w:rsidR="00C11BA8">
            <w:rPr>
              <w:rStyle w:val="PageNumber"/>
            </w:rPr>
            <w:t>2023</w:t>
          </w:r>
          <w:r w:rsidR="00C11BA8" w:rsidRPr="00CE6614">
            <w:rPr>
              <w:rStyle w:val="PageNumber"/>
            </w:rPr>
            <w:t xml:space="preserve"> </w:t>
          </w:r>
        </w:p>
        <w:p w14:paraId="46F87437" w14:textId="53BC4CA1" w:rsidR="00C11BA8" w:rsidRPr="00AC4488" w:rsidRDefault="00C11BA8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0D7ABF">
            <w:rPr>
              <w:rStyle w:val="PageNumber"/>
              <w:noProof/>
            </w:rPr>
            <w:t>8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0D7ABF">
            <w:rPr>
              <w:rStyle w:val="PageNumber"/>
              <w:noProof/>
            </w:rPr>
            <w:t>8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72547181" w14:textId="77777777" w:rsidR="00C11BA8" w:rsidRDefault="00C11BA8" w:rsidP="000B1B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C11BA8" w:rsidRPr="00132658" w14:paraId="43294792" w14:textId="77777777" w:rsidTr="00026D9E">
      <w:trPr>
        <w:cantSplit/>
        <w:trHeight w:hRule="exact" w:val="1134"/>
      </w:trPr>
      <w:tc>
        <w:tcPr>
          <w:tcW w:w="7767" w:type="dxa"/>
          <w:vAlign w:val="bottom"/>
        </w:tcPr>
        <w:p w14:paraId="62D769C8" w14:textId="77777777" w:rsidR="00C11BA8" w:rsidRDefault="00C11BA8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>
            <w:rPr>
              <w:rStyle w:val="PageNumber"/>
              <w:b/>
            </w:rPr>
            <w:t>Industry, Tourism and Trade</w:t>
          </w:r>
        </w:p>
        <w:p w14:paraId="7D021A69" w14:textId="24C02AD9" w:rsidR="00C11BA8" w:rsidRDefault="000D7ABF" w:rsidP="00F805D4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C11BA8">
                <w:rPr>
                  <w:rStyle w:val="PageNumber"/>
                </w:rPr>
                <w:t>July</w:t>
              </w:r>
            </w:sdtContent>
          </w:sdt>
          <w:r w:rsidR="00C11BA8">
            <w:rPr>
              <w:rStyle w:val="PageNumber"/>
            </w:rPr>
            <w:t xml:space="preserve"> 2023</w:t>
          </w:r>
        </w:p>
        <w:p w14:paraId="54BC188B" w14:textId="2C901CC4" w:rsidR="00C11BA8" w:rsidRPr="00CE30CF" w:rsidRDefault="00C11BA8" w:rsidP="00F805D4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0D7ABF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0D7ABF">
            <w:rPr>
              <w:rStyle w:val="PageNumber"/>
              <w:noProof/>
            </w:rPr>
            <w:t>8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14:paraId="4F0663A3" w14:textId="77777777" w:rsidR="00C11BA8" w:rsidRPr="001E14EB" w:rsidRDefault="00C11BA8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6F8271FD" wp14:editId="7A5BE115">
                <wp:extent cx="1572479" cy="561600"/>
                <wp:effectExtent l="0" t="0" r="8890" b="0"/>
                <wp:docPr id="1" name="Picture 1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21AB8056" w14:textId="77777777" w:rsidR="00C11BA8" w:rsidRPr="00661BE1" w:rsidRDefault="00C11BA8" w:rsidP="00D15D88">
    <w:pPr>
      <w:pStyle w:val="Hidden"/>
    </w:pPr>
  </w:p>
  <w:p w14:paraId="56B30411" w14:textId="77777777" w:rsidR="00C11BA8" w:rsidRDefault="00C11B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C9FAF" w14:textId="77777777" w:rsidR="00C11BA8" w:rsidRDefault="00C11BA8" w:rsidP="007332FF">
      <w:r>
        <w:separator/>
      </w:r>
    </w:p>
    <w:p w14:paraId="368361BA" w14:textId="77777777" w:rsidR="00C11BA8" w:rsidRDefault="00C11BA8"/>
  </w:footnote>
  <w:footnote w:type="continuationSeparator" w:id="0">
    <w:p w14:paraId="61C14FDE" w14:textId="77777777" w:rsidR="00C11BA8" w:rsidRDefault="00C11BA8" w:rsidP="007332FF">
      <w:r>
        <w:continuationSeparator/>
      </w:r>
    </w:p>
    <w:p w14:paraId="1C81B108" w14:textId="77777777" w:rsidR="00C11BA8" w:rsidRDefault="00C11B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5FD3E" w14:textId="5B101322" w:rsidR="00C11BA8" w:rsidRPr="00162207" w:rsidRDefault="000D7ABF" w:rsidP="004162CA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11BA8">
          <w:t>Territory Business Confidence Survey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14:paraId="07B28BC2" w14:textId="28B40311" w:rsidR="00C11BA8" w:rsidRDefault="00C11BA8" w:rsidP="000B1B74">
        <w:pPr>
          <w:pStyle w:val="Title"/>
          <w:spacing w:after="0"/>
          <w:rPr>
            <w:rStyle w:val="TitleChar"/>
          </w:rPr>
        </w:pPr>
        <w:r>
          <w:rPr>
            <w:rStyle w:val="TitleChar"/>
          </w:rPr>
          <w:t>Territory Business Confidence Survey</w:t>
        </w:r>
      </w:p>
    </w:sdtContent>
  </w:sdt>
  <w:p w14:paraId="57CB8705" w14:textId="72A9D638" w:rsidR="00C11BA8" w:rsidRDefault="00C11BA8" w:rsidP="000B1B74">
    <w:pPr>
      <w:pStyle w:val="Subtitle0"/>
      <w:spacing w:after="120"/>
    </w:pPr>
    <w:r>
      <w:t>June quarter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5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6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7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8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9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0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4" w15:restartNumberingAfterBreak="0">
    <w:nsid w:val="27D83E4D"/>
    <w:multiLevelType w:val="multilevel"/>
    <w:tmpl w:val="3928FD02"/>
    <w:numStyleLink w:val="Bulletlist"/>
  </w:abstractNum>
  <w:abstractNum w:abstractNumId="15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7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18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19" w15:restartNumberingAfterBreak="0">
    <w:nsid w:val="35291F73"/>
    <w:multiLevelType w:val="hybridMultilevel"/>
    <w:tmpl w:val="8F16A5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1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5" w15:restartNumberingAfterBreak="0">
    <w:nsid w:val="53842BC6"/>
    <w:multiLevelType w:val="multilevel"/>
    <w:tmpl w:val="0C78A7AC"/>
    <w:numStyleLink w:val="Tablebulletlist"/>
  </w:abstractNum>
  <w:abstractNum w:abstractNumId="26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7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28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29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0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1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2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3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4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20"/>
  </w:num>
  <w:num w:numId="2">
    <w:abstractNumId w:val="11"/>
  </w:num>
  <w:num w:numId="3">
    <w:abstractNumId w:val="34"/>
  </w:num>
  <w:num w:numId="4">
    <w:abstractNumId w:val="23"/>
  </w:num>
  <w:num w:numId="5">
    <w:abstractNumId w:val="15"/>
  </w:num>
  <w:num w:numId="6">
    <w:abstractNumId w:val="7"/>
  </w:num>
  <w:num w:numId="7">
    <w:abstractNumId w:val="25"/>
  </w:num>
  <w:num w:numId="8">
    <w:abstractNumId w:val="14"/>
  </w:num>
  <w:num w:numId="9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trackRevisions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0F"/>
    <w:rsid w:val="00001DDF"/>
    <w:rsid w:val="0000322D"/>
    <w:rsid w:val="000070C2"/>
    <w:rsid w:val="00007670"/>
    <w:rsid w:val="00007746"/>
    <w:rsid w:val="00010665"/>
    <w:rsid w:val="00013841"/>
    <w:rsid w:val="00014434"/>
    <w:rsid w:val="00014512"/>
    <w:rsid w:val="000157A4"/>
    <w:rsid w:val="0002393A"/>
    <w:rsid w:val="00024BFC"/>
    <w:rsid w:val="00025969"/>
    <w:rsid w:val="00026D9E"/>
    <w:rsid w:val="00027DB8"/>
    <w:rsid w:val="00031A96"/>
    <w:rsid w:val="00031A9C"/>
    <w:rsid w:val="000329EB"/>
    <w:rsid w:val="0003610D"/>
    <w:rsid w:val="00037BAE"/>
    <w:rsid w:val="00040BF3"/>
    <w:rsid w:val="00041AC0"/>
    <w:rsid w:val="0004211C"/>
    <w:rsid w:val="000462AD"/>
    <w:rsid w:val="00046C59"/>
    <w:rsid w:val="00051362"/>
    <w:rsid w:val="00051F45"/>
    <w:rsid w:val="00052953"/>
    <w:rsid w:val="0005341A"/>
    <w:rsid w:val="00053ADC"/>
    <w:rsid w:val="00055D8D"/>
    <w:rsid w:val="00056068"/>
    <w:rsid w:val="00056DEF"/>
    <w:rsid w:val="00056EDC"/>
    <w:rsid w:val="00057DA9"/>
    <w:rsid w:val="00062F24"/>
    <w:rsid w:val="0006635A"/>
    <w:rsid w:val="00066585"/>
    <w:rsid w:val="000720BE"/>
    <w:rsid w:val="0007259C"/>
    <w:rsid w:val="00072652"/>
    <w:rsid w:val="00073D8A"/>
    <w:rsid w:val="000748D9"/>
    <w:rsid w:val="0007706D"/>
    <w:rsid w:val="000801B3"/>
    <w:rsid w:val="00080202"/>
    <w:rsid w:val="00080DCD"/>
    <w:rsid w:val="00080E22"/>
    <w:rsid w:val="000821C7"/>
    <w:rsid w:val="00082573"/>
    <w:rsid w:val="00082FD0"/>
    <w:rsid w:val="0008356A"/>
    <w:rsid w:val="00083EBF"/>
    <w:rsid w:val="000840A3"/>
    <w:rsid w:val="00084F50"/>
    <w:rsid w:val="00085062"/>
    <w:rsid w:val="00085338"/>
    <w:rsid w:val="0008560F"/>
    <w:rsid w:val="000864F7"/>
    <w:rsid w:val="00086A5F"/>
    <w:rsid w:val="000878E1"/>
    <w:rsid w:val="000911EF"/>
    <w:rsid w:val="000962C5"/>
    <w:rsid w:val="00097865"/>
    <w:rsid w:val="000A1A14"/>
    <w:rsid w:val="000A4317"/>
    <w:rsid w:val="000A559C"/>
    <w:rsid w:val="000A7A5C"/>
    <w:rsid w:val="000B107F"/>
    <w:rsid w:val="000B1B74"/>
    <w:rsid w:val="000B2CA1"/>
    <w:rsid w:val="000B38F8"/>
    <w:rsid w:val="000B7FF7"/>
    <w:rsid w:val="000C36BB"/>
    <w:rsid w:val="000C624B"/>
    <w:rsid w:val="000C7084"/>
    <w:rsid w:val="000D1F29"/>
    <w:rsid w:val="000D5560"/>
    <w:rsid w:val="000D633D"/>
    <w:rsid w:val="000D707A"/>
    <w:rsid w:val="000D7ABF"/>
    <w:rsid w:val="000E0780"/>
    <w:rsid w:val="000E342B"/>
    <w:rsid w:val="000E3ED2"/>
    <w:rsid w:val="000E5727"/>
    <w:rsid w:val="000E5DD2"/>
    <w:rsid w:val="000E5F28"/>
    <w:rsid w:val="000F2958"/>
    <w:rsid w:val="000F3485"/>
    <w:rsid w:val="000F3850"/>
    <w:rsid w:val="000F5E96"/>
    <w:rsid w:val="000F604F"/>
    <w:rsid w:val="000F62A3"/>
    <w:rsid w:val="000F6C12"/>
    <w:rsid w:val="00103546"/>
    <w:rsid w:val="001037CC"/>
    <w:rsid w:val="00104E7F"/>
    <w:rsid w:val="0010535B"/>
    <w:rsid w:val="00106287"/>
    <w:rsid w:val="0011163E"/>
    <w:rsid w:val="001137EC"/>
    <w:rsid w:val="00113A34"/>
    <w:rsid w:val="001152F5"/>
    <w:rsid w:val="00117743"/>
    <w:rsid w:val="00117F5B"/>
    <w:rsid w:val="00121257"/>
    <w:rsid w:val="001244B2"/>
    <w:rsid w:val="00124FC6"/>
    <w:rsid w:val="00131BD2"/>
    <w:rsid w:val="0013203B"/>
    <w:rsid w:val="00132658"/>
    <w:rsid w:val="00134782"/>
    <w:rsid w:val="00137C8E"/>
    <w:rsid w:val="00140908"/>
    <w:rsid w:val="00144565"/>
    <w:rsid w:val="00147302"/>
    <w:rsid w:val="00150DB0"/>
    <w:rsid w:val="00150DC0"/>
    <w:rsid w:val="0015394D"/>
    <w:rsid w:val="001556E4"/>
    <w:rsid w:val="00156A5D"/>
    <w:rsid w:val="00156CD4"/>
    <w:rsid w:val="001605A7"/>
    <w:rsid w:val="00160739"/>
    <w:rsid w:val="0016153B"/>
    <w:rsid w:val="00162207"/>
    <w:rsid w:val="00163F00"/>
    <w:rsid w:val="00164A3E"/>
    <w:rsid w:val="00166FF6"/>
    <w:rsid w:val="00167078"/>
    <w:rsid w:val="0017100B"/>
    <w:rsid w:val="001714B9"/>
    <w:rsid w:val="00172681"/>
    <w:rsid w:val="00173175"/>
    <w:rsid w:val="00173427"/>
    <w:rsid w:val="00175E09"/>
    <w:rsid w:val="00176123"/>
    <w:rsid w:val="00181620"/>
    <w:rsid w:val="001818F6"/>
    <w:rsid w:val="00183276"/>
    <w:rsid w:val="0018340A"/>
    <w:rsid w:val="00187130"/>
    <w:rsid w:val="0019010F"/>
    <w:rsid w:val="0019533F"/>
    <w:rsid w:val="001954A2"/>
    <w:rsid w:val="001957AD"/>
    <w:rsid w:val="00196A54"/>
    <w:rsid w:val="00196F8E"/>
    <w:rsid w:val="001A2136"/>
    <w:rsid w:val="001A2B38"/>
    <w:rsid w:val="001A2B7F"/>
    <w:rsid w:val="001A3AFD"/>
    <w:rsid w:val="001A496C"/>
    <w:rsid w:val="001A576A"/>
    <w:rsid w:val="001B03F9"/>
    <w:rsid w:val="001B28DA"/>
    <w:rsid w:val="001B2B6C"/>
    <w:rsid w:val="001B4AF0"/>
    <w:rsid w:val="001B65C1"/>
    <w:rsid w:val="001C7C5B"/>
    <w:rsid w:val="001D01C4"/>
    <w:rsid w:val="001D3A38"/>
    <w:rsid w:val="001D47B4"/>
    <w:rsid w:val="001D4F99"/>
    <w:rsid w:val="001D52B0"/>
    <w:rsid w:val="001D5A18"/>
    <w:rsid w:val="001D6D2B"/>
    <w:rsid w:val="001D7CA4"/>
    <w:rsid w:val="001E0048"/>
    <w:rsid w:val="001E057F"/>
    <w:rsid w:val="001E14EB"/>
    <w:rsid w:val="001F51B5"/>
    <w:rsid w:val="001F59E6"/>
    <w:rsid w:val="00203F1C"/>
    <w:rsid w:val="00206936"/>
    <w:rsid w:val="00206C6F"/>
    <w:rsid w:val="00206FBD"/>
    <w:rsid w:val="00207746"/>
    <w:rsid w:val="00210689"/>
    <w:rsid w:val="00211B97"/>
    <w:rsid w:val="00212E93"/>
    <w:rsid w:val="0021451F"/>
    <w:rsid w:val="00214AE3"/>
    <w:rsid w:val="00214ED7"/>
    <w:rsid w:val="002166F7"/>
    <w:rsid w:val="00223B65"/>
    <w:rsid w:val="00224D94"/>
    <w:rsid w:val="00225AF7"/>
    <w:rsid w:val="00230031"/>
    <w:rsid w:val="002305BD"/>
    <w:rsid w:val="002322EB"/>
    <w:rsid w:val="00232E2C"/>
    <w:rsid w:val="002353CE"/>
    <w:rsid w:val="00235C01"/>
    <w:rsid w:val="00240263"/>
    <w:rsid w:val="00246A28"/>
    <w:rsid w:val="00247343"/>
    <w:rsid w:val="00247B3D"/>
    <w:rsid w:val="00251087"/>
    <w:rsid w:val="0025534A"/>
    <w:rsid w:val="00256313"/>
    <w:rsid w:val="00262EC5"/>
    <w:rsid w:val="00263282"/>
    <w:rsid w:val="002648C2"/>
    <w:rsid w:val="00265C56"/>
    <w:rsid w:val="002716CD"/>
    <w:rsid w:val="00274AF2"/>
    <w:rsid w:val="00274D4B"/>
    <w:rsid w:val="00275459"/>
    <w:rsid w:val="002806F5"/>
    <w:rsid w:val="00281550"/>
    <w:rsid w:val="00281577"/>
    <w:rsid w:val="002858D2"/>
    <w:rsid w:val="002878EB"/>
    <w:rsid w:val="00287D73"/>
    <w:rsid w:val="00291A08"/>
    <w:rsid w:val="002926BC"/>
    <w:rsid w:val="00293A72"/>
    <w:rsid w:val="00293CB2"/>
    <w:rsid w:val="0029423F"/>
    <w:rsid w:val="00294A06"/>
    <w:rsid w:val="00295681"/>
    <w:rsid w:val="00296365"/>
    <w:rsid w:val="00297A3E"/>
    <w:rsid w:val="002A0160"/>
    <w:rsid w:val="002A30C3"/>
    <w:rsid w:val="002A4AD8"/>
    <w:rsid w:val="002A5240"/>
    <w:rsid w:val="002A6F6A"/>
    <w:rsid w:val="002A7712"/>
    <w:rsid w:val="002B339F"/>
    <w:rsid w:val="002B38F7"/>
    <w:rsid w:val="002B4F50"/>
    <w:rsid w:val="002B5591"/>
    <w:rsid w:val="002B6AA4"/>
    <w:rsid w:val="002C095F"/>
    <w:rsid w:val="002C1FE9"/>
    <w:rsid w:val="002C23A4"/>
    <w:rsid w:val="002C7462"/>
    <w:rsid w:val="002D1E76"/>
    <w:rsid w:val="002D1F5B"/>
    <w:rsid w:val="002D2748"/>
    <w:rsid w:val="002D2AB8"/>
    <w:rsid w:val="002D3A57"/>
    <w:rsid w:val="002D3CB1"/>
    <w:rsid w:val="002D6524"/>
    <w:rsid w:val="002D7D05"/>
    <w:rsid w:val="002E20C8"/>
    <w:rsid w:val="002E2B5C"/>
    <w:rsid w:val="002E4290"/>
    <w:rsid w:val="002E66A6"/>
    <w:rsid w:val="002F0DB1"/>
    <w:rsid w:val="002F2885"/>
    <w:rsid w:val="002F2CA1"/>
    <w:rsid w:val="002F45A1"/>
    <w:rsid w:val="002F6C4D"/>
    <w:rsid w:val="00300E84"/>
    <w:rsid w:val="0030203D"/>
    <w:rsid w:val="003037F9"/>
    <w:rsid w:val="0030583E"/>
    <w:rsid w:val="00307FE1"/>
    <w:rsid w:val="003126FF"/>
    <w:rsid w:val="00314ED4"/>
    <w:rsid w:val="003164BA"/>
    <w:rsid w:val="003171D9"/>
    <w:rsid w:val="00320C09"/>
    <w:rsid w:val="00321E6D"/>
    <w:rsid w:val="003258E6"/>
    <w:rsid w:val="0033008D"/>
    <w:rsid w:val="003310BE"/>
    <w:rsid w:val="00331F1F"/>
    <w:rsid w:val="00332920"/>
    <w:rsid w:val="0033532E"/>
    <w:rsid w:val="00335DCF"/>
    <w:rsid w:val="00342283"/>
    <w:rsid w:val="003426E5"/>
    <w:rsid w:val="00343A87"/>
    <w:rsid w:val="00344A36"/>
    <w:rsid w:val="003456F4"/>
    <w:rsid w:val="0034694B"/>
    <w:rsid w:val="00347D20"/>
    <w:rsid w:val="00347FB6"/>
    <w:rsid w:val="003504FD"/>
    <w:rsid w:val="00350881"/>
    <w:rsid w:val="003508FB"/>
    <w:rsid w:val="0035115F"/>
    <w:rsid w:val="0035311F"/>
    <w:rsid w:val="00357D55"/>
    <w:rsid w:val="003628E2"/>
    <w:rsid w:val="00362B54"/>
    <w:rsid w:val="00363513"/>
    <w:rsid w:val="003657E5"/>
    <w:rsid w:val="0036589C"/>
    <w:rsid w:val="00371312"/>
    <w:rsid w:val="00371DC7"/>
    <w:rsid w:val="00373375"/>
    <w:rsid w:val="00377B21"/>
    <w:rsid w:val="00381276"/>
    <w:rsid w:val="0038155F"/>
    <w:rsid w:val="00382A7F"/>
    <w:rsid w:val="003875FC"/>
    <w:rsid w:val="00390440"/>
    <w:rsid w:val="00390862"/>
    <w:rsid w:val="00390CE3"/>
    <w:rsid w:val="00394876"/>
    <w:rsid w:val="00394AAF"/>
    <w:rsid w:val="00394CE5"/>
    <w:rsid w:val="00397939"/>
    <w:rsid w:val="003A1C54"/>
    <w:rsid w:val="003A611C"/>
    <w:rsid w:val="003A6341"/>
    <w:rsid w:val="003A6FC3"/>
    <w:rsid w:val="003A790D"/>
    <w:rsid w:val="003B67FD"/>
    <w:rsid w:val="003B6A61"/>
    <w:rsid w:val="003B7212"/>
    <w:rsid w:val="003C19DB"/>
    <w:rsid w:val="003C2198"/>
    <w:rsid w:val="003C29F6"/>
    <w:rsid w:val="003C2EFC"/>
    <w:rsid w:val="003C4941"/>
    <w:rsid w:val="003C4CC5"/>
    <w:rsid w:val="003D0F63"/>
    <w:rsid w:val="003D42C0"/>
    <w:rsid w:val="003D4A8F"/>
    <w:rsid w:val="003D5B29"/>
    <w:rsid w:val="003D7818"/>
    <w:rsid w:val="003E114B"/>
    <w:rsid w:val="003E2345"/>
    <w:rsid w:val="003E2445"/>
    <w:rsid w:val="003E29DB"/>
    <w:rsid w:val="003E3BB2"/>
    <w:rsid w:val="003F0098"/>
    <w:rsid w:val="003F49D2"/>
    <w:rsid w:val="003F5B58"/>
    <w:rsid w:val="003F7272"/>
    <w:rsid w:val="00401DC0"/>
    <w:rsid w:val="00401F8F"/>
    <w:rsid w:val="0040222A"/>
    <w:rsid w:val="004030EC"/>
    <w:rsid w:val="0040371F"/>
    <w:rsid w:val="004047BC"/>
    <w:rsid w:val="00404B02"/>
    <w:rsid w:val="004100F7"/>
    <w:rsid w:val="00414613"/>
    <w:rsid w:val="00414CB3"/>
    <w:rsid w:val="00415507"/>
    <w:rsid w:val="0041563D"/>
    <w:rsid w:val="004162CA"/>
    <w:rsid w:val="00416394"/>
    <w:rsid w:val="00417C4E"/>
    <w:rsid w:val="00417EF1"/>
    <w:rsid w:val="004208F9"/>
    <w:rsid w:val="00424BAA"/>
    <w:rsid w:val="00424CCC"/>
    <w:rsid w:val="004254F6"/>
    <w:rsid w:val="00426E25"/>
    <w:rsid w:val="00427D9C"/>
    <w:rsid w:val="00427E7E"/>
    <w:rsid w:val="004323CC"/>
    <w:rsid w:val="0043465D"/>
    <w:rsid w:val="00435082"/>
    <w:rsid w:val="004361FE"/>
    <w:rsid w:val="00437A29"/>
    <w:rsid w:val="00442B63"/>
    <w:rsid w:val="00443B6E"/>
    <w:rsid w:val="00445530"/>
    <w:rsid w:val="00447DAC"/>
    <w:rsid w:val="00450636"/>
    <w:rsid w:val="0045420A"/>
    <w:rsid w:val="00455372"/>
    <w:rsid w:val="004554D4"/>
    <w:rsid w:val="00461744"/>
    <w:rsid w:val="0046234C"/>
    <w:rsid w:val="00462C14"/>
    <w:rsid w:val="004638BA"/>
    <w:rsid w:val="00465614"/>
    <w:rsid w:val="00466185"/>
    <w:rsid w:val="004661A3"/>
    <w:rsid w:val="00466303"/>
    <w:rsid w:val="004668A7"/>
    <w:rsid w:val="00466D96"/>
    <w:rsid w:val="00467747"/>
    <w:rsid w:val="00470017"/>
    <w:rsid w:val="0047105A"/>
    <w:rsid w:val="00473C98"/>
    <w:rsid w:val="00474965"/>
    <w:rsid w:val="004770BA"/>
    <w:rsid w:val="00480CFA"/>
    <w:rsid w:val="00482DF8"/>
    <w:rsid w:val="00483655"/>
    <w:rsid w:val="004853AF"/>
    <w:rsid w:val="004864DE"/>
    <w:rsid w:val="00494BE5"/>
    <w:rsid w:val="0049615B"/>
    <w:rsid w:val="004A0D38"/>
    <w:rsid w:val="004A0EBA"/>
    <w:rsid w:val="004A2538"/>
    <w:rsid w:val="004A2EE0"/>
    <w:rsid w:val="004A331E"/>
    <w:rsid w:val="004A4E19"/>
    <w:rsid w:val="004A5107"/>
    <w:rsid w:val="004A5904"/>
    <w:rsid w:val="004A6CE1"/>
    <w:rsid w:val="004B0C15"/>
    <w:rsid w:val="004B3275"/>
    <w:rsid w:val="004B35EA"/>
    <w:rsid w:val="004B5B06"/>
    <w:rsid w:val="004B69E4"/>
    <w:rsid w:val="004C25F9"/>
    <w:rsid w:val="004C6C39"/>
    <w:rsid w:val="004D002B"/>
    <w:rsid w:val="004D0208"/>
    <w:rsid w:val="004D075F"/>
    <w:rsid w:val="004D1B76"/>
    <w:rsid w:val="004D26B0"/>
    <w:rsid w:val="004D344E"/>
    <w:rsid w:val="004D464A"/>
    <w:rsid w:val="004D53B7"/>
    <w:rsid w:val="004D6203"/>
    <w:rsid w:val="004E019E"/>
    <w:rsid w:val="004E0486"/>
    <w:rsid w:val="004E06EC"/>
    <w:rsid w:val="004E0A3F"/>
    <w:rsid w:val="004E2CB7"/>
    <w:rsid w:val="004E788A"/>
    <w:rsid w:val="004F016A"/>
    <w:rsid w:val="004F0B52"/>
    <w:rsid w:val="004F3864"/>
    <w:rsid w:val="004F5E7A"/>
    <w:rsid w:val="0050098A"/>
    <w:rsid w:val="00500F94"/>
    <w:rsid w:val="005019A7"/>
    <w:rsid w:val="00502FB3"/>
    <w:rsid w:val="00503DE9"/>
    <w:rsid w:val="0050530C"/>
    <w:rsid w:val="00505DEA"/>
    <w:rsid w:val="00507782"/>
    <w:rsid w:val="00507F76"/>
    <w:rsid w:val="00512A04"/>
    <w:rsid w:val="00512DB8"/>
    <w:rsid w:val="00520499"/>
    <w:rsid w:val="00521537"/>
    <w:rsid w:val="005249F5"/>
    <w:rsid w:val="005260F7"/>
    <w:rsid w:val="005352A9"/>
    <w:rsid w:val="005371C1"/>
    <w:rsid w:val="00540B15"/>
    <w:rsid w:val="00542801"/>
    <w:rsid w:val="00543454"/>
    <w:rsid w:val="00543BD1"/>
    <w:rsid w:val="00553F6A"/>
    <w:rsid w:val="00556113"/>
    <w:rsid w:val="00560150"/>
    <w:rsid w:val="00563226"/>
    <w:rsid w:val="005637F2"/>
    <w:rsid w:val="00563D3A"/>
    <w:rsid w:val="00564C12"/>
    <w:rsid w:val="005654B8"/>
    <w:rsid w:val="00570D94"/>
    <w:rsid w:val="0057254D"/>
    <w:rsid w:val="005762CC"/>
    <w:rsid w:val="005824FA"/>
    <w:rsid w:val="0058290D"/>
    <w:rsid w:val="00582D3D"/>
    <w:rsid w:val="005832C4"/>
    <w:rsid w:val="00590040"/>
    <w:rsid w:val="0059156C"/>
    <w:rsid w:val="00591673"/>
    <w:rsid w:val="00591D01"/>
    <w:rsid w:val="00593C57"/>
    <w:rsid w:val="00595386"/>
    <w:rsid w:val="00597234"/>
    <w:rsid w:val="005A4AC0"/>
    <w:rsid w:val="005A539B"/>
    <w:rsid w:val="005A596D"/>
    <w:rsid w:val="005A59B5"/>
    <w:rsid w:val="005A5FDF"/>
    <w:rsid w:val="005B0C33"/>
    <w:rsid w:val="005B0FB7"/>
    <w:rsid w:val="005B122A"/>
    <w:rsid w:val="005B1FCB"/>
    <w:rsid w:val="005B4811"/>
    <w:rsid w:val="005B5AC2"/>
    <w:rsid w:val="005C1BFE"/>
    <w:rsid w:val="005C2833"/>
    <w:rsid w:val="005C5404"/>
    <w:rsid w:val="005D50F2"/>
    <w:rsid w:val="005E144D"/>
    <w:rsid w:val="005E1500"/>
    <w:rsid w:val="005E3A43"/>
    <w:rsid w:val="005E547C"/>
    <w:rsid w:val="005E5B3F"/>
    <w:rsid w:val="005E645C"/>
    <w:rsid w:val="005E719B"/>
    <w:rsid w:val="005F00C2"/>
    <w:rsid w:val="005F02A0"/>
    <w:rsid w:val="005F0B17"/>
    <w:rsid w:val="005F14F8"/>
    <w:rsid w:val="005F6602"/>
    <w:rsid w:val="005F77C7"/>
    <w:rsid w:val="005F7EB1"/>
    <w:rsid w:val="00600FBF"/>
    <w:rsid w:val="0060519C"/>
    <w:rsid w:val="0060552D"/>
    <w:rsid w:val="00606291"/>
    <w:rsid w:val="00606344"/>
    <w:rsid w:val="00610D0F"/>
    <w:rsid w:val="00611AEA"/>
    <w:rsid w:val="00614380"/>
    <w:rsid w:val="006166B8"/>
    <w:rsid w:val="00617F5B"/>
    <w:rsid w:val="00620675"/>
    <w:rsid w:val="00621312"/>
    <w:rsid w:val="00622910"/>
    <w:rsid w:val="006254B6"/>
    <w:rsid w:val="00625791"/>
    <w:rsid w:val="00627AF7"/>
    <w:rsid w:val="00627CE5"/>
    <w:rsid w:val="00627FC8"/>
    <w:rsid w:val="00636EC4"/>
    <w:rsid w:val="00640D48"/>
    <w:rsid w:val="0064109E"/>
    <w:rsid w:val="00641F59"/>
    <w:rsid w:val="00642422"/>
    <w:rsid w:val="006433C3"/>
    <w:rsid w:val="00644B3F"/>
    <w:rsid w:val="0064778C"/>
    <w:rsid w:val="00650F5B"/>
    <w:rsid w:val="00652063"/>
    <w:rsid w:val="006523C6"/>
    <w:rsid w:val="00661466"/>
    <w:rsid w:val="006623FB"/>
    <w:rsid w:val="00663A0C"/>
    <w:rsid w:val="00663EC8"/>
    <w:rsid w:val="0066420F"/>
    <w:rsid w:val="006670D7"/>
    <w:rsid w:val="00667CAA"/>
    <w:rsid w:val="006719EA"/>
    <w:rsid w:val="00671F13"/>
    <w:rsid w:val="00673D4D"/>
    <w:rsid w:val="0067400A"/>
    <w:rsid w:val="006778BB"/>
    <w:rsid w:val="00680C6C"/>
    <w:rsid w:val="00684198"/>
    <w:rsid w:val="006847AD"/>
    <w:rsid w:val="00684A72"/>
    <w:rsid w:val="006861C3"/>
    <w:rsid w:val="00687001"/>
    <w:rsid w:val="0069114B"/>
    <w:rsid w:val="00691D5D"/>
    <w:rsid w:val="006944C1"/>
    <w:rsid w:val="00697073"/>
    <w:rsid w:val="0069766D"/>
    <w:rsid w:val="006A039E"/>
    <w:rsid w:val="006A18AD"/>
    <w:rsid w:val="006A4E4D"/>
    <w:rsid w:val="006A50D9"/>
    <w:rsid w:val="006A756A"/>
    <w:rsid w:val="006B0F5C"/>
    <w:rsid w:val="006B6425"/>
    <w:rsid w:val="006C0EC2"/>
    <w:rsid w:val="006C2AC5"/>
    <w:rsid w:val="006C5C43"/>
    <w:rsid w:val="006C635A"/>
    <w:rsid w:val="006C6433"/>
    <w:rsid w:val="006D08A2"/>
    <w:rsid w:val="006D1CD3"/>
    <w:rsid w:val="006D66F7"/>
    <w:rsid w:val="006E128F"/>
    <w:rsid w:val="006E2D59"/>
    <w:rsid w:val="006E34D2"/>
    <w:rsid w:val="006E699B"/>
    <w:rsid w:val="006E6C89"/>
    <w:rsid w:val="006E715E"/>
    <w:rsid w:val="006E7B00"/>
    <w:rsid w:val="00705C9D"/>
    <w:rsid w:val="00705F13"/>
    <w:rsid w:val="0070624C"/>
    <w:rsid w:val="00712A3C"/>
    <w:rsid w:val="00714F1D"/>
    <w:rsid w:val="00715225"/>
    <w:rsid w:val="0071700C"/>
    <w:rsid w:val="00720662"/>
    <w:rsid w:val="007208ED"/>
    <w:rsid w:val="00720CC6"/>
    <w:rsid w:val="00722DDB"/>
    <w:rsid w:val="00723823"/>
    <w:rsid w:val="00724728"/>
    <w:rsid w:val="00724F98"/>
    <w:rsid w:val="00725455"/>
    <w:rsid w:val="00730B9B"/>
    <w:rsid w:val="0073182E"/>
    <w:rsid w:val="00731A5A"/>
    <w:rsid w:val="007332FF"/>
    <w:rsid w:val="007345C0"/>
    <w:rsid w:val="00737724"/>
    <w:rsid w:val="00737B8F"/>
    <w:rsid w:val="007408F5"/>
    <w:rsid w:val="00740934"/>
    <w:rsid w:val="00741EAE"/>
    <w:rsid w:val="0074250B"/>
    <w:rsid w:val="0074426D"/>
    <w:rsid w:val="0074744B"/>
    <w:rsid w:val="007509C4"/>
    <w:rsid w:val="0075181B"/>
    <w:rsid w:val="00754666"/>
    <w:rsid w:val="00755248"/>
    <w:rsid w:val="0076190B"/>
    <w:rsid w:val="00761C68"/>
    <w:rsid w:val="007625DC"/>
    <w:rsid w:val="0076355D"/>
    <w:rsid w:val="00763A2D"/>
    <w:rsid w:val="00763A47"/>
    <w:rsid w:val="0076475F"/>
    <w:rsid w:val="0076491A"/>
    <w:rsid w:val="00764F92"/>
    <w:rsid w:val="007676A4"/>
    <w:rsid w:val="007741FA"/>
    <w:rsid w:val="00777795"/>
    <w:rsid w:val="00782660"/>
    <w:rsid w:val="00782E2E"/>
    <w:rsid w:val="00783A57"/>
    <w:rsid w:val="00784C92"/>
    <w:rsid w:val="007859CD"/>
    <w:rsid w:val="00785C24"/>
    <w:rsid w:val="00786BD8"/>
    <w:rsid w:val="007907E4"/>
    <w:rsid w:val="007914E7"/>
    <w:rsid w:val="00795C02"/>
    <w:rsid w:val="00796461"/>
    <w:rsid w:val="007978DE"/>
    <w:rsid w:val="007A3CFB"/>
    <w:rsid w:val="007A482E"/>
    <w:rsid w:val="007A6726"/>
    <w:rsid w:val="007A6A4F"/>
    <w:rsid w:val="007A7B09"/>
    <w:rsid w:val="007B03F5"/>
    <w:rsid w:val="007B5C09"/>
    <w:rsid w:val="007B5DA2"/>
    <w:rsid w:val="007B6608"/>
    <w:rsid w:val="007C0966"/>
    <w:rsid w:val="007C19E7"/>
    <w:rsid w:val="007C5CFD"/>
    <w:rsid w:val="007C68A0"/>
    <w:rsid w:val="007C6D9F"/>
    <w:rsid w:val="007C6F08"/>
    <w:rsid w:val="007D0D7A"/>
    <w:rsid w:val="007D4893"/>
    <w:rsid w:val="007D48C2"/>
    <w:rsid w:val="007E001B"/>
    <w:rsid w:val="007E1048"/>
    <w:rsid w:val="007E3DAC"/>
    <w:rsid w:val="007E5B11"/>
    <w:rsid w:val="007E6E81"/>
    <w:rsid w:val="007E70CF"/>
    <w:rsid w:val="007E74A4"/>
    <w:rsid w:val="007F11CF"/>
    <w:rsid w:val="007F1B6F"/>
    <w:rsid w:val="007F232C"/>
    <w:rsid w:val="007F263F"/>
    <w:rsid w:val="007F5744"/>
    <w:rsid w:val="008015A8"/>
    <w:rsid w:val="00802E2F"/>
    <w:rsid w:val="008033CF"/>
    <w:rsid w:val="008049C0"/>
    <w:rsid w:val="0080531E"/>
    <w:rsid w:val="0080766E"/>
    <w:rsid w:val="00811169"/>
    <w:rsid w:val="00815297"/>
    <w:rsid w:val="008170DB"/>
    <w:rsid w:val="00817BA1"/>
    <w:rsid w:val="00823022"/>
    <w:rsid w:val="00824946"/>
    <w:rsid w:val="0082634E"/>
    <w:rsid w:val="00830B66"/>
    <w:rsid w:val="008313C4"/>
    <w:rsid w:val="00832030"/>
    <w:rsid w:val="00833AD6"/>
    <w:rsid w:val="00835434"/>
    <w:rsid w:val="008358C0"/>
    <w:rsid w:val="008362BF"/>
    <w:rsid w:val="008375E4"/>
    <w:rsid w:val="00842838"/>
    <w:rsid w:val="008430AE"/>
    <w:rsid w:val="00854EC1"/>
    <w:rsid w:val="00855040"/>
    <w:rsid w:val="0085797F"/>
    <w:rsid w:val="00861DC3"/>
    <w:rsid w:val="00867019"/>
    <w:rsid w:val="00867C62"/>
    <w:rsid w:val="00870E6E"/>
    <w:rsid w:val="00872AB0"/>
    <w:rsid w:val="00872EF1"/>
    <w:rsid w:val="008735A9"/>
    <w:rsid w:val="00874C29"/>
    <w:rsid w:val="00877BC5"/>
    <w:rsid w:val="00877D20"/>
    <w:rsid w:val="008816A6"/>
    <w:rsid w:val="00881C48"/>
    <w:rsid w:val="0088230B"/>
    <w:rsid w:val="00882578"/>
    <w:rsid w:val="00885B80"/>
    <w:rsid w:val="00885C30"/>
    <w:rsid w:val="00885E9B"/>
    <w:rsid w:val="008866F8"/>
    <w:rsid w:val="00886A99"/>
    <w:rsid w:val="008923CA"/>
    <w:rsid w:val="0089368E"/>
    <w:rsid w:val="00893C96"/>
    <w:rsid w:val="0089500A"/>
    <w:rsid w:val="00897C94"/>
    <w:rsid w:val="008A0183"/>
    <w:rsid w:val="008A0EC2"/>
    <w:rsid w:val="008A111D"/>
    <w:rsid w:val="008A14F5"/>
    <w:rsid w:val="008A4B30"/>
    <w:rsid w:val="008A7933"/>
    <w:rsid w:val="008A7C12"/>
    <w:rsid w:val="008B03CE"/>
    <w:rsid w:val="008B38F0"/>
    <w:rsid w:val="008B529E"/>
    <w:rsid w:val="008C0F3A"/>
    <w:rsid w:val="008C17FB"/>
    <w:rsid w:val="008C3BA2"/>
    <w:rsid w:val="008C3F57"/>
    <w:rsid w:val="008C61DE"/>
    <w:rsid w:val="008C70BB"/>
    <w:rsid w:val="008C76CE"/>
    <w:rsid w:val="008D1210"/>
    <w:rsid w:val="008D1B00"/>
    <w:rsid w:val="008D57B8"/>
    <w:rsid w:val="008D7CBA"/>
    <w:rsid w:val="008E03FC"/>
    <w:rsid w:val="008E0B47"/>
    <w:rsid w:val="008E3470"/>
    <w:rsid w:val="008E3CFA"/>
    <w:rsid w:val="008E510B"/>
    <w:rsid w:val="008E5612"/>
    <w:rsid w:val="008E75A8"/>
    <w:rsid w:val="008E7CB1"/>
    <w:rsid w:val="008F0E55"/>
    <w:rsid w:val="008F38E9"/>
    <w:rsid w:val="008F41A8"/>
    <w:rsid w:val="00902069"/>
    <w:rsid w:val="00902B13"/>
    <w:rsid w:val="00911707"/>
    <w:rsid w:val="00911941"/>
    <w:rsid w:val="0092024D"/>
    <w:rsid w:val="00925146"/>
    <w:rsid w:val="00925F0F"/>
    <w:rsid w:val="00932F6B"/>
    <w:rsid w:val="009354AE"/>
    <w:rsid w:val="0094029E"/>
    <w:rsid w:val="009444F0"/>
    <w:rsid w:val="009452B1"/>
    <w:rsid w:val="009468BC"/>
    <w:rsid w:val="00947FAE"/>
    <w:rsid w:val="00952321"/>
    <w:rsid w:val="00952A06"/>
    <w:rsid w:val="0095693D"/>
    <w:rsid w:val="00956AE7"/>
    <w:rsid w:val="0095772B"/>
    <w:rsid w:val="00960B77"/>
    <w:rsid w:val="009616DF"/>
    <w:rsid w:val="0096542F"/>
    <w:rsid w:val="00967FA7"/>
    <w:rsid w:val="009700CD"/>
    <w:rsid w:val="00970F67"/>
    <w:rsid w:val="00971571"/>
    <w:rsid w:val="00971645"/>
    <w:rsid w:val="00972BE0"/>
    <w:rsid w:val="00972BF6"/>
    <w:rsid w:val="00977919"/>
    <w:rsid w:val="009809DD"/>
    <w:rsid w:val="00983000"/>
    <w:rsid w:val="009870FA"/>
    <w:rsid w:val="00991EC4"/>
    <w:rsid w:val="009921C3"/>
    <w:rsid w:val="0099551D"/>
    <w:rsid w:val="009A2189"/>
    <w:rsid w:val="009A5897"/>
    <w:rsid w:val="009A5F24"/>
    <w:rsid w:val="009A7C1B"/>
    <w:rsid w:val="009B054E"/>
    <w:rsid w:val="009B0B3E"/>
    <w:rsid w:val="009B1913"/>
    <w:rsid w:val="009B4230"/>
    <w:rsid w:val="009B649E"/>
    <w:rsid w:val="009B6657"/>
    <w:rsid w:val="009B6966"/>
    <w:rsid w:val="009B702C"/>
    <w:rsid w:val="009B79BD"/>
    <w:rsid w:val="009C009A"/>
    <w:rsid w:val="009C28D2"/>
    <w:rsid w:val="009D0EB5"/>
    <w:rsid w:val="009D14F9"/>
    <w:rsid w:val="009D17FB"/>
    <w:rsid w:val="009D2B74"/>
    <w:rsid w:val="009D63FF"/>
    <w:rsid w:val="009E175D"/>
    <w:rsid w:val="009E3CC2"/>
    <w:rsid w:val="009E4BCC"/>
    <w:rsid w:val="009E6D1A"/>
    <w:rsid w:val="009F06BD"/>
    <w:rsid w:val="009F2A4D"/>
    <w:rsid w:val="009F4C1D"/>
    <w:rsid w:val="009F4C61"/>
    <w:rsid w:val="009F5C54"/>
    <w:rsid w:val="00A00828"/>
    <w:rsid w:val="00A022FB"/>
    <w:rsid w:val="00A03290"/>
    <w:rsid w:val="00A0387E"/>
    <w:rsid w:val="00A056C9"/>
    <w:rsid w:val="00A05BFD"/>
    <w:rsid w:val="00A07490"/>
    <w:rsid w:val="00A10655"/>
    <w:rsid w:val="00A10AF4"/>
    <w:rsid w:val="00A12B64"/>
    <w:rsid w:val="00A14039"/>
    <w:rsid w:val="00A152CF"/>
    <w:rsid w:val="00A16F1A"/>
    <w:rsid w:val="00A22C38"/>
    <w:rsid w:val="00A25193"/>
    <w:rsid w:val="00A25279"/>
    <w:rsid w:val="00A26E80"/>
    <w:rsid w:val="00A30F44"/>
    <w:rsid w:val="00A315E9"/>
    <w:rsid w:val="00A31AE8"/>
    <w:rsid w:val="00A346D8"/>
    <w:rsid w:val="00A36793"/>
    <w:rsid w:val="00A3739D"/>
    <w:rsid w:val="00A37DDA"/>
    <w:rsid w:val="00A408A8"/>
    <w:rsid w:val="00A45005"/>
    <w:rsid w:val="00A469C5"/>
    <w:rsid w:val="00A535AE"/>
    <w:rsid w:val="00A53E59"/>
    <w:rsid w:val="00A5408C"/>
    <w:rsid w:val="00A54856"/>
    <w:rsid w:val="00A567EE"/>
    <w:rsid w:val="00A573D9"/>
    <w:rsid w:val="00A64EDF"/>
    <w:rsid w:val="00A709F7"/>
    <w:rsid w:val="00A70DD8"/>
    <w:rsid w:val="00A71907"/>
    <w:rsid w:val="00A71DD4"/>
    <w:rsid w:val="00A739DC"/>
    <w:rsid w:val="00A75B35"/>
    <w:rsid w:val="00A76790"/>
    <w:rsid w:val="00A77DA8"/>
    <w:rsid w:val="00A80913"/>
    <w:rsid w:val="00A8171C"/>
    <w:rsid w:val="00A82514"/>
    <w:rsid w:val="00A838A5"/>
    <w:rsid w:val="00A85D0C"/>
    <w:rsid w:val="00A86169"/>
    <w:rsid w:val="00A9079A"/>
    <w:rsid w:val="00A925EC"/>
    <w:rsid w:val="00A929AA"/>
    <w:rsid w:val="00A92A30"/>
    <w:rsid w:val="00A92B6B"/>
    <w:rsid w:val="00A94CBF"/>
    <w:rsid w:val="00AA0E33"/>
    <w:rsid w:val="00AA541E"/>
    <w:rsid w:val="00AA64F2"/>
    <w:rsid w:val="00AB1F5F"/>
    <w:rsid w:val="00AB5EB7"/>
    <w:rsid w:val="00AB5FCC"/>
    <w:rsid w:val="00AC09CF"/>
    <w:rsid w:val="00AC46C8"/>
    <w:rsid w:val="00AC5E19"/>
    <w:rsid w:val="00AC7A6D"/>
    <w:rsid w:val="00AD0B5D"/>
    <w:rsid w:val="00AD0DA4"/>
    <w:rsid w:val="00AD11BC"/>
    <w:rsid w:val="00AD21C0"/>
    <w:rsid w:val="00AD4169"/>
    <w:rsid w:val="00AD44ED"/>
    <w:rsid w:val="00AE25C6"/>
    <w:rsid w:val="00AE306C"/>
    <w:rsid w:val="00AE3159"/>
    <w:rsid w:val="00AE65D6"/>
    <w:rsid w:val="00AE7254"/>
    <w:rsid w:val="00AF1E4C"/>
    <w:rsid w:val="00AF23DA"/>
    <w:rsid w:val="00AF27E3"/>
    <w:rsid w:val="00AF28C1"/>
    <w:rsid w:val="00AF38E6"/>
    <w:rsid w:val="00B01041"/>
    <w:rsid w:val="00B018C3"/>
    <w:rsid w:val="00B02EF1"/>
    <w:rsid w:val="00B0532D"/>
    <w:rsid w:val="00B06251"/>
    <w:rsid w:val="00B07C97"/>
    <w:rsid w:val="00B11C67"/>
    <w:rsid w:val="00B14257"/>
    <w:rsid w:val="00B14E97"/>
    <w:rsid w:val="00B15230"/>
    <w:rsid w:val="00B15754"/>
    <w:rsid w:val="00B16002"/>
    <w:rsid w:val="00B16E4A"/>
    <w:rsid w:val="00B2046E"/>
    <w:rsid w:val="00B20E8B"/>
    <w:rsid w:val="00B21D6C"/>
    <w:rsid w:val="00B257E1"/>
    <w:rsid w:val="00B2599A"/>
    <w:rsid w:val="00B26C31"/>
    <w:rsid w:val="00B27AC4"/>
    <w:rsid w:val="00B27E04"/>
    <w:rsid w:val="00B27F51"/>
    <w:rsid w:val="00B341F0"/>
    <w:rsid w:val="00B343CC"/>
    <w:rsid w:val="00B349F0"/>
    <w:rsid w:val="00B40EEB"/>
    <w:rsid w:val="00B41B4D"/>
    <w:rsid w:val="00B446F6"/>
    <w:rsid w:val="00B5084A"/>
    <w:rsid w:val="00B50ACE"/>
    <w:rsid w:val="00B50B43"/>
    <w:rsid w:val="00B548A8"/>
    <w:rsid w:val="00B56C28"/>
    <w:rsid w:val="00B606A1"/>
    <w:rsid w:val="00B614F7"/>
    <w:rsid w:val="00B61B26"/>
    <w:rsid w:val="00B65E6B"/>
    <w:rsid w:val="00B673AA"/>
    <w:rsid w:val="00B675B2"/>
    <w:rsid w:val="00B679AB"/>
    <w:rsid w:val="00B74C3A"/>
    <w:rsid w:val="00B77C27"/>
    <w:rsid w:val="00B81261"/>
    <w:rsid w:val="00B8223E"/>
    <w:rsid w:val="00B832AE"/>
    <w:rsid w:val="00B85DC1"/>
    <w:rsid w:val="00B86678"/>
    <w:rsid w:val="00B9105B"/>
    <w:rsid w:val="00B919EA"/>
    <w:rsid w:val="00B92F9B"/>
    <w:rsid w:val="00B94027"/>
    <w:rsid w:val="00B941B3"/>
    <w:rsid w:val="00B9612D"/>
    <w:rsid w:val="00B96513"/>
    <w:rsid w:val="00BA0377"/>
    <w:rsid w:val="00BA106C"/>
    <w:rsid w:val="00BA1D47"/>
    <w:rsid w:val="00BA3CFA"/>
    <w:rsid w:val="00BA529B"/>
    <w:rsid w:val="00BA66F0"/>
    <w:rsid w:val="00BB154B"/>
    <w:rsid w:val="00BB2239"/>
    <w:rsid w:val="00BB2AE7"/>
    <w:rsid w:val="00BB6464"/>
    <w:rsid w:val="00BC11C4"/>
    <w:rsid w:val="00BC1BB8"/>
    <w:rsid w:val="00BC551F"/>
    <w:rsid w:val="00BC7A19"/>
    <w:rsid w:val="00BC7E2F"/>
    <w:rsid w:val="00BD14AD"/>
    <w:rsid w:val="00BD7B16"/>
    <w:rsid w:val="00BD7FE1"/>
    <w:rsid w:val="00BE037E"/>
    <w:rsid w:val="00BE22AA"/>
    <w:rsid w:val="00BE37CA"/>
    <w:rsid w:val="00BE4DC8"/>
    <w:rsid w:val="00BE6144"/>
    <w:rsid w:val="00BE635A"/>
    <w:rsid w:val="00BE72EE"/>
    <w:rsid w:val="00BF17E9"/>
    <w:rsid w:val="00BF1F7E"/>
    <w:rsid w:val="00BF2ABB"/>
    <w:rsid w:val="00BF5099"/>
    <w:rsid w:val="00BF525D"/>
    <w:rsid w:val="00BF77BF"/>
    <w:rsid w:val="00C06333"/>
    <w:rsid w:val="00C10B5E"/>
    <w:rsid w:val="00C10F10"/>
    <w:rsid w:val="00C11BA8"/>
    <w:rsid w:val="00C11E55"/>
    <w:rsid w:val="00C15D4D"/>
    <w:rsid w:val="00C175DC"/>
    <w:rsid w:val="00C233C1"/>
    <w:rsid w:val="00C2372E"/>
    <w:rsid w:val="00C25549"/>
    <w:rsid w:val="00C2718C"/>
    <w:rsid w:val="00C30171"/>
    <w:rsid w:val="00C305AE"/>
    <w:rsid w:val="00C309D8"/>
    <w:rsid w:val="00C31F02"/>
    <w:rsid w:val="00C33E55"/>
    <w:rsid w:val="00C342DF"/>
    <w:rsid w:val="00C376C9"/>
    <w:rsid w:val="00C43519"/>
    <w:rsid w:val="00C4525D"/>
    <w:rsid w:val="00C45263"/>
    <w:rsid w:val="00C51016"/>
    <w:rsid w:val="00C51537"/>
    <w:rsid w:val="00C526AB"/>
    <w:rsid w:val="00C52BC3"/>
    <w:rsid w:val="00C54781"/>
    <w:rsid w:val="00C60203"/>
    <w:rsid w:val="00C614EB"/>
    <w:rsid w:val="00C61AFA"/>
    <w:rsid w:val="00C61D64"/>
    <w:rsid w:val="00C62099"/>
    <w:rsid w:val="00C62A34"/>
    <w:rsid w:val="00C64EA3"/>
    <w:rsid w:val="00C67939"/>
    <w:rsid w:val="00C71CC6"/>
    <w:rsid w:val="00C7207E"/>
    <w:rsid w:val="00C72867"/>
    <w:rsid w:val="00C75E81"/>
    <w:rsid w:val="00C81CA3"/>
    <w:rsid w:val="00C82459"/>
    <w:rsid w:val="00C83BB6"/>
    <w:rsid w:val="00C83F37"/>
    <w:rsid w:val="00C84A9D"/>
    <w:rsid w:val="00C858A7"/>
    <w:rsid w:val="00C86609"/>
    <w:rsid w:val="00C92B4C"/>
    <w:rsid w:val="00C954F6"/>
    <w:rsid w:val="00C95FA1"/>
    <w:rsid w:val="00CA36A0"/>
    <w:rsid w:val="00CA4E98"/>
    <w:rsid w:val="00CA6BC5"/>
    <w:rsid w:val="00CB370B"/>
    <w:rsid w:val="00CB4DCF"/>
    <w:rsid w:val="00CC0011"/>
    <w:rsid w:val="00CC1DCA"/>
    <w:rsid w:val="00CC2789"/>
    <w:rsid w:val="00CC571B"/>
    <w:rsid w:val="00CC61CD"/>
    <w:rsid w:val="00CC6AB2"/>
    <w:rsid w:val="00CC6C02"/>
    <w:rsid w:val="00CC737B"/>
    <w:rsid w:val="00CC790D"/>
    <w:rsid w:val="00CD18D3"/>
    <w:rsid w:val="00CD39DF"/>
    <w:rsid w:val="00CD5011"/>
    <w:rsid w:val="00CD528E"/>
    <w:rsid w:val="00CE0A97"/>
    <w:rsid w:val="00CE5FED"/>
    <w:rsid w:val="00CE640F"/>
    <w:rsid w:val="00CE7105"/>
    <w:rsid w:val="00CE76BC"/>
    <w:rsid w:val="00CF00E6"/>
    <w:rsid w:val="00CF2DDB"/>
    <w:rsid w:val="00CF540E"/>
    <w:rsid w:val="00D0165C"/>
    <w:rsid w:val="00D0298F"/>
    <w:rsid w:val="00D02F07"/>
    <w:rsid w:val="00D05398"/>
    <w:rsid w:val="00D07623"/>
    <w:rsid w:val="00D11C6E"/>
    <w:rsid w:val="00D11E38"/>
    <w:rsid w:val="00D131B2"/>
    <w:rsid w:val="00D15D88"/>
    <w:rsid w:val="00D17D5D"/>
    <w:rsid w:val="00D21491"/>
    <w:rsid w:val="00D23559"/>
    <w:rsid w:val="00D257A0"/>
    <w:rsid w:val="00D25BC8"/>
    <w:rsid w:val="00D27D49"/>
    <w:rsid w:val="00D27DEF"/>
    <w:rsid w:val="00D27EBE"/>
    <w:rsid w:val="00D351D8"/>
    <w:rsid w:val="00D35AAE"/>
    <w:rsid w:val="00D36A49"/>
    <w:rsid w:val="00D41A0A"/>
    <w:rsid w:val="00D47DC7"/>
    <w:rsid w:val="00D517C6"/>
    <w:rsid w:val="00D53872"/>
    <w:rsid w:val="00D5468C"/>
    <w:rsid w:val="00D54A85"/>
    <w:rsid w:val="00D554C3"/>
    <w:rsid w:val="00D602CA"/>
    <w:rsid w:val="00D62F84"/>
    <w:rsid w:val="00D64CFB"/>
    <w:rsid w:val="00D662B8"/>
    <w:rsid w:val="00D670D5"/>
    <w:rsid w:val="00D71D84"/>
    <w:rsid w:val="00D72464"/>
    <w:rsid w:val="00D72A57"/>
    <w:rsid w:val="00D768EB"/>
    <w:rsid w:val="00D81E17"/>
    <w:rsid w:val="00D82D1E"/>
    <w:rsid w:val="00D832D9"/>
    <w:rsid w:val="00D90F00"/>
    <w:rsid w:val="00D92D9E"/>
    <w:rsid w:val="00D95605"/>
    <w:rsid w:val="00D96804"/>
    <w:rsid w:val="00D96F11"/>
    <w:rsid w:val="00D975C0"/>
    <w:rsid w:val="00D97C07"/>
    <w:rsid w:val="00DA19C2"/>
    <w:rsid w:val="00DA2E20"/>
    <w:rsid w:val="00DA3594"/>
    <w:rsid w:val="00DA5285"/>
    <w:rsid w:val="00DA5BE1"/>
    <w:rsid w:val="00DA64AC"/>
    <w:rsid w:val="00DA7FD9"/>
    <w:rsid w:val="00DB191D"/>
    <w:rsid w:val="00DB33D9"/>
    <w:rsid w:val="00DB4F91"/>
    <w:rsid w:val="00DB6D0A"/>
    <w:rsid w:val="00DB7B9F"/>
    <w:rsid w:val="00DC06BE"/>
    <w:rsid w:val="00DC13FF"/>
    <w:rsid w:val="00DC1F0F"/>
    <w:rsid w:val="00DC3117"/>
    <w:rsid w:val="00DC4E2A"/>
    <w:rsid w:val="00DC5DD9"/>
    <w:rsid w:val="00DC5EB5"/>
    <w:rsid w:val="00DC6D2D"/>
    <w:rsid w:val="00DC7072"/>
    <w:rsid w:val="00DD4E59"/>
    <w:rsid w:val="00DD5621"/>
    <w:rsid w:val="00DE0BDA"/>
    <w:rsid w:val="00DE33B5"/>
    <w:rsid w:val="00DE53CA"/>
    <w:rsid w:val="00DE5E18"/>
    <w:rsid w:val="00DE67CA"/>
    <w:rsid w:val="00DF0487"/>
    <w:rsid w:val="00DF199F"/>
    <w:rsid w:val="00DF3FC4"/>
    <w:rsid w:val="00DF49D2"/>
    <w:rsid w:val="00DF5EA4"/>
    <w:rsid w:val="00DF6516"/>
    <w:rsid w:val="00DF6950"/>
    <w:rsid w:val="00E0122F"/>
    <w:rsid w:val="00E02681"/>
    <w:rsid w:val="00E02792"/>
    <w:rsid w:val="00E02E85"/>
    <w:rsid w:val="00E034D8"/>
    <w:rsid w:val="00E03E5D"/>
    <w:rsid w:val="00E04CC0"/>
    <w:rsid w:val="00E070E3"/>
    <w:rsid w:val="00E1082E"/>
    <w:rsid w:val="00E1221E"/>
    <w:rsid w:val="00E15358"/>
    <w:rsid w:val="00E15816"/>
    <w:rsid w:val="00E160D5"/>
    <w:rsid w:val="00E2370E"/>
    <w:rsid w:val="00E239FF"/>
    <w:rsid w:val="00E24A27"/>
    <w:rsid w:val="00E25168"/>
    <w:rsid w:val="00E27D7B"/>
    <w:rsid w:val="00E30556"/>
    <w:rsid w:val="00E30981"/>
    <w:rsid w:val="00E30D7F"/>
    <w:rsid w:val="00E3169E"/>
    <w:rsid w:val="00E33136"/>
    <w:rsid w:val="00E33B7E"/>
    <w:rsid w:val="00E34D7C"/>
    <w:rsid w:val="00E35C1B"/>
    <w:rsid w:val="00E3618F"/>
    <w:rsid w:val="00E3723D"/>
    <w:rsid w:val="00E42A31"/>
    <w:rsid w:val="00E44A15"/>
    <w:rsid w:val="00E44C89"/>
    <w:rsid w:val="00E457A6"/>
    <w:rsid w:val="00E473F3"/>
    <w:rsid w:val="00E54F9E"/>
    <w:rsid w:val="00E61BA2"/>
    <w:rsid w:val="00E628C3"/>
    <w:rsid w:val="00E63864"/>
    <w:rsid w:val="00E63D9C"/>
    <w:rsid w:val="00E6403F"/>
    <w:rsid w:val="00E75451"/>
    <w:rsid w:val="00E75EA9"/>
    <w:rsid w:val="00E76042"/>
    <w:rsid w:val="00E76AD6"/>
    <w:rsid w:val="00E770C4"/>
    <w:rsid w:val="00E77B7F"/>
    <w:rsid w:val="00E77DF0"/>
    <w:rsid w:val="00E82AAF"/>
    <w:rsid w:val="00E84C5A"/>
    <w:rsid w:val="00E861DB"/>
    <w:rsid w:val="00E86AE6"/>
    <w:rsid w:val="00E90832"/>
    <w:rsid w:val="00E908F1"/>
    <w:rsid w:val="00E93406"/>
    <w:rsid w:val="00E956C5"/>
    <w:rsid w:val="00E95C39"/>
    <w:rsid w:val="00E968B6"/>
    <w:rsid w:val="00EA2C39"/>
    <w:rsid w:val="00EA5137"/>
    <w:rsid w:val="00EA5AC4"/>
    <w:rsid w:val="00EA5E91"/>
    <w:rsid w:val="00EB09B0"/>
    <w:rsid w:val="00EB0A3C"/>
    <w:rsid w:val="00EB0A96"/>
    <w:rsid w:val="00EB22C5"/>
    <w:rsid w:val="00EB50C6"/>
    <w:rsid w:val="00EB5AA1"/>
    <w:rsid w:val="00EB77F9"/>
    <w:rsid w:val="00EC546B"/>
    <w:rsid w:val="00EC5769"/>
    <w:rsid w:val="00EC7D00"/>
    <w:rsid w:val="00ED0304"/>
    <w:rsid w:val="00ED1E61"/>
    <w:rsid w:val="00ED4FF7"/>
    <w:rsid w:val="00ED5B7B"/>
    <w:rsid w:val="00ED6C9E"/>
    <w:rsid w:val="00EE0744"/>
    <w:rsid w:val="00EE1932"/>
    <w:rsid w:val="00EE34E7"/>
    <w:rsid w:val="00EE38FA"/>
    <w:rsid w:val="00EE3E2C"/>
    <w:rsid w:val="00EE5D23"/>
    <w:rsid w:val="00EE6797"/>
    <w:rsid w:val="00EE750D"/>
    <w:rsid w:val="00EF102E"/>
    <w:rsid w:val="00EF1449"/>
    <w:rsid w:val="00EF2356"/>
    <w:rsid w:val="00EF2D64"/>
    <w:rsid w:val="00EF37CB"/>
    <w:rsid w:val="00EF3CA4"/>
    <w:rsid w:val="00EF43E3"/>
    <w:rsid w:val="00EF49A8"/>
    <w:rsid w:val="00EF75A2"/>
    <w:rsid w:val="00EF7859"/>
    <w:rsid w:val="00F014DA"/>
    <w:rsid w:val="00F02591"/>
    <w:rsid w:val="00F0759A"/>
    <w:rsid w:val="00F109FE"/>
    <w:rsid w:val="00F11563"/>
    <w:rsid w:val="00F157AA"/>
    <w:rsid w:val="00F1601A"/>
    <w:rsid w:val="00F207C5"/>
    <w:rsid w:val="00F21F67"/>
    <w:rsid w:val="00F22CCC"/>
    <w:rsid w:val="00F30AE1"/>
    <w:rsid w:val="00F3268E"/>
    <w:rsid w:val="00F33428"/>
    <w:rsid w:val="00F34079"/>
    <w:rsid w:val="00F43BD5"/>
    <w:rsid w:val="00F45DB1"/>
    <w:rsid w:val="00F526DD"/>
    <w:rsid w:val="00F537BD"/>
    <w:rsid w:val="00F5696E"/>
    <w:rsid w:val="00F57D96"/>
    <w:rsid w:val="00F57EF7"/>
    <w:rsid w:val="00F60EFF"/>
    <w:rsid w:val="00F621D5"/>
    <w:rsid w:val="00F62791"/>
    <w:rsid w:val="00F64836"/>
    <w:rsid w:val="00F657A7"/>
    <w:rsid w:val="00F66FF5"/>
    <w:rsid w:val="00F67087"/>
    <w:rsid w:val="00F67D2D"/>
    <w:rsid w:val="00F7130F"/>
    <w:rsid w:val="00F805D4"/>
    <w:rsid w:val="00F80F2C"/>
    <w:rsid w:val="00F83801"/>
    <w:rsid w:val="00F858F2"/>
    <w:rsid w:val="00F860CC"/>
    <w:rsid w:val="00F86A0D"/>
    <w:rsid w:val="00F8722E"/>
    <w:rsid w:val="00F87622"/>
    <w:rsid w:val="00F93571"/>
    <w:rsid w:val="00F94398"/>
    <w:rsid w:val="00F947B9"/>
    <w:rsid w:val="00F977F7"/>
    <w:rsid w:val="00F97CB1"/>
    <w:rsid w:val="00FA3920"/>
    <w:rsid w:val="00FA3AA5"/>
    <w:rsid w:val="00FA4D48"/>
    <w:rsid w:val="00FA554F"/>
    <w:rsid w:val="00FA6386"/>
    <w:rsid w:val="00FA66F9"/>
    <w:rsid w:val="00FB00C3"/>
    <w:rsid w:val="00FB2B56"/>
    <w:rsid w:val="00FB342B"/>
    <w:rsid w:val="00FB51D6"/>
    <w:rsid w:val="00FB55D5"/>
    <w:rsid w:val="00FC12BF"/>
    <w:rsid w:val="00FC2C60"/>
    <w:rsid w:val="00FC55BE"/>
    <w:rsid w:val="00FD0A7C"/>
    <w:rsid w:val="00FD167C"/>
    <w:rsid w:val="00FD2A30"/>
    <w:rsid w:val="00FD3E6F"/>
    <w:rsid w:val="00FD51B9"/>
    <w:rsid w:val="00FD5849"/>
    <w:rsid w:val="00FE03E4"/>
    <w:rsid w:val="00FE2A39"/>
    <w:rsid w:val="00FE2A59"/>
    <w:rsid w:val="00FF39CF"/>
    <w:rsid w:val="00FF4422"/>
    <w:rsid w:val="00FF4C6C"/>
    <w:rsid w:val="00FF567E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."/>
  <w:listSeparator w:val=","/>
  <w14:docId w14:val="18423FBD"/>
  <w15:docId w15:val="{7AB7A836-5A66-4167-9D71-8C674D8F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438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4380"/>
    <w:rPr>
      <w:rFonts w:ascii="Lato" w:hAnsi="Lato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1438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91E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E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EC4"/>
    <w:rPr>
      <w:rFonts w:ascii="Lato" w:hAnsi="La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E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EC4"/>
    <w:rPr>
      <w:rFonts w:ascii="Lato" w:hAnsi="Lato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408A8"/>
    <w:pPr>
      <w:spacing w:after="0"/>
    </w:pPr>
    <w:rPr>
      <w:rFonts w:ascii="Lato" w:hAnsi="La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short%20document%20-%20portrait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July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FBA5A8-AA04-415B-B188-CD0B95E7C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short document - portrait.dotx</Template>
  <TotalTime>0</TotalTime>
  <Pages>8</Pages>
  <Words>1763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Territory Business Confidence Survey</vt:lpstr>
    </vt:vector>
  </TitlesOfParts>
  <Company>&lt;NAME&gt;</Company>
  <LinksUpToDate>false</LinksUpToDate>
  <CharactersWithSpaces>11793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Territory Business Confidence Survey</dc:title>
  <dc:creator>Northern Territory Government</dc:creator>
  <cp:lastModifiedBy>Matthew Spratt</cp:lastModifiedBy>
  <cp:revision>2</cp:revision>
  <cp:lastPrinted>2023-07-18T05:38:00Z</cp:lastPrinted>
  <dcterms:created xsi:type="dcterms:W3CDTF">2023-07-26T06:04:00Z</dcterms:created>
  <dcterms:modified xsi:type="dcterms:W3CDTF">2023-07-26T06:04:00Z</dcterms:modified>
</cp:coreProperties>
</file>