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DE367" w14:textId="77777777" w:rsidR="00AC0916" w:rsidRPr="006C4494" w:rsidRDefault="00AC0916" w:rsidP="00AC0916">
      <w:pPr>
        <w:tabs>
          <w:tab w:val="left" w:pos="4253"/>
        </w:tabs>
        <w:spacing w:line="240" w:lineRule="auto"/>
        <w:rPr>
          <w:sz w:val="20"/>
        </w:rPr>
      </w:pPr>
      <w:r w:rsidRPr="006C4494">
        <w:rPr>
          <w:rFonts w:ascii="Arial" w:hAnsi="Arial" w:cs="Arial"/>
          <w:b/>
          <w:i/>
          <w:color w:val="C45911" w:themeColor="accent2" w:themeShade="BF"/>
          <w:sz w:val="40"/>
        </w:rPr>
        <w:t>EconNotes</w:t>
      </w:r>
    </w:p>
    <w:p w14:paraId="4020DAEC" w14:textId="77777777" w:rsidR="00AC0916" w:rsidRPr="00AC0916" w:rsidRDefault="00AC0916" w:rsidP="00AC0916">
      <w:pPr>
        <w:tabs>
          <w:tab w:val="left" w:pos="4253"/>
        </w:tabs>
        <w:spacing w:after="0" w:line="360" w:lineRule="auto"/>
        <w:jc w:val="center"/>
        <w:rPr>
          <w:rFonts w:ascii="Arial" w:hAnsi="Arial" w:cs="Arial"/>
          <w:b/>
          <w:sz w:val="20"/>
          <w:szCs w:val="20"/>
        </w:rPr>
      </w:pPr>
    </w:p>
    <w:p w14:paraId="4EBDD829" w14:textId="28F5B141" w:rsidR="00DD3C90" w:rsidRPr="00EF1451" w:rsidRDefault="00DD3C90" w:rsidP="006F5841">
      <w:pPr>
        <w:tabs>
          <w:tab w:val="left" w:pos="4253"/>
        </w:tabs>
        <w:spacing w:line="360" w:lineRule="auto"/>
        <w:jc w:val="center"/>
        <w:rPr>
          <w:rFonts w:ascii="Arial" w:hAnsi="Arial" w:cs="Arial"/>
          <w:b/>
          <w:sz w:val="36"/>
          <w:szCs w:val="44"/>
        </w:rPr>
      </w:pPr>
      <w:r w:rsidRPr="00EF1451">
        <w:rPr>
          <w:rFonts w:ascii="Arial" w:hAnsi="Arial" w:cs="Arial"/>
          <w:b/>
          <w:sz w:val="36"/>
          <w:szCs w:val="44"/>
        </w:rPr>
        <w:t>NT business count, entries and exits, 2021</w:t>
      </w:r>
      <w:r w:rsidR="00EF1451" w:rsidRPr="00EF1451">
        <w:rPr>
          <w:rFonts w:ascii="Arial" w:hAnsi="Arial" w:cs="Arial"/>
          <w:b/>
          <w:sz w:val="36"/>
          <w:szCs w:val="44"/>
        </w:rPr>
        <w:t xml:space="preserve"> – PART A</w:t>
      </w:r>
    </w:p>
    <w:p w14:paraId="641A7EC0" w14:textId="77777777" w:rsidR="00DD3C90" w:rsidRPr="00A5465B" w:rsidRDefault="00DD3C90" w:rsidP="006F5841">
      <w:pPr>
        <w:spacing w:line="360" w:lineRule="auto"/>
        <w:jc w:val="both"/>
        <w:rPr>
          <w:rFonts w:ascii="Arial" w:hAnsi="Arial" w:cs="Arial"/>
          <w:b/>
        </w:rPr>
      </w:pPr>
      <w:r w:rsidRPr="00A5465B">
        <w:rPr>
          <w:rFonts w:ascii="Arial" w:hAnsi="Arial" w:cs="Arial"/>
          <w:b/>
        </w:rPr>
        <w:t>1. Introduction</w:t>
      </w:r>
    </w:p>
    <w:p w14:paraId="5507C558" w14:textId="77777777" w:rsidR="00EF1451" w:rsidRPr="00EF1451" w:rsidRDefault="00EF1451" w:rsidP="00EF1451">
      <w:pPr>
        <w:pStyle w:val="ListParagraph"/>
        <w:numPr>
          <w:ilvl w:val="0"/>
          <w:numId w:val="2"/>
        </w:numPr>
        <w:spacing w:line="360" w:lineRule="auto"/>
        <w:jc w:val="both"/>
        <w:rPr>
          <w:rFonts w:ascii="Arial" w:hAnsi="Arial" w:cs="Arial"/>
        </w:rPr>
      </w:pPr>
      <w:r w:rsidRPr="00EF1451">
        <w:rPr>
          <w:rFonts w:ascii="Arial" w:hAnsi="Arial" w:cs="Arial"/>
        </w:rPr>
        <w:t xml:space="preserve">In 2021, unlike releases in previous years, the Australian Bureau of Statistics releases the annual </w:t>
      </w:r>
      <w:r w:rsidRPr="006C331D">
        <w:rPr>
          <w:rFonts w:ascii="Arial" w:hAnsi="Arial" w:cs="Arial"/>
          <w:i/>
        </w:rPr>
        <w:t>Count of Australian Businesses, including entries and exits 2020-21</w:t>
      </w:r>
      <w:r w:rsidRPr="00EF1451">
        <w:rPr>
          <w:rFonts w:ascii="Arial" w:hAnsi="Arial" w:cs="Arial"/>
        </w:rPr>
        <w:t xml:space="preserve"> in two lots.</w:t>
      </w:r>
    </w:p>
    <w:p w14:paraId="262A9E08" w14:textId="77777777" w:rsidR="00EF1451" w:rsidRPr="00EF1451" w:rsidRDefault="00EF1451" w:rsidP="00EF1451">
      <w:pPr>
        <w:pStyle w:val="ListParagraph"/>
        <w:numPr>
          <w:ilvl w:val="0"/>
          <w:numId w:val="2"/>
        </w:numPr>
        <w:spacing w:line="360" w:lineRule="auto"/>
        <w:jc w:val="both"/>
        <w:rPr>
          <w:rFonts w:ascii="Arial" w:hAnsi="Arial" w:cs="Arial"/>
        </w:rPr>
      </w:pPr>
      <w:r w:rsidRPr="00EF1451">
        <w:rPr>
          <w:rFonts w:ascii="Arial" w:hAnsi="Arial" w:cs="Arial"/>
        </w:rPr>
        <w:t>The first set of data was released on 24 August 2021. This contains macro-level counts of actively trading businesses, rates of entry to and exit from the market sector of the economy, and rates of business survival at the Australia and state/territory levels. Quarterly experimental counts of Australian businesses for the five quarters ending June 2021, have also been included in this release.</w:t>
      </w:r>
    </w:p>
    <w:p w14:paraId="054DF2F9" w14:textId="4BFD634F" w:rsidR="00DD3C90" w:rsidRPr="00755B9E" w:rsidRDefault="00EF1451" w:rsidP="00EF1451">
      <w:pPr>
        <w:pStyle w:val="ListParagraph"/>
        <w:numPr>
          <w:ilvl w:val="0"/>
          <w:numId w:val="2"/>
        </w:numPr>
        <w:spacing w:line="360" w:lineRule="auto"/>
        <w:jc w:val="both"/>
        <w:rPr>
          <w:rFonts w:ascii="Arial" w:hAnsi="Arial" w:cs="Arial"/>
        </w:rPr>
      </w:pPr>
      <w:r w:rsidRPr="00EF1451">
        <w:rPr>
          <w:rFonts w:ascii="Arial" w:hAnsi="Arial" w:cs="Arial"/>
        </w:rPr>
        <w:t>The second release is scheduled in December 2021. This will include more detailed business count data (business size, turnover, business by industry at state/territory level and regional data) and the interactive maps.</w:t>
      </w:r>
    </w:p>
    <w:p w14:paraId="1A6EE6AB" w14:textId="77777777" w:rsidR="00DD3C90" w:rsidRPr="00755B9E" w:rsidRDefault="00DD3C90" w:rsidP="006F5841">
      <w:pPr>
        <w:spacing w:line="360" w:lineRule="auto"/>
        <w:jc w:val="both"/>
        <w:rPr>
          <w:rFonts w:ascii="Arial" w:hAnsi="Arial" w:cs="Arial"/>
          <w:b/>
          <w:sz w:val="24"/>
        </w:rPr>
      </w:pPr>
      <w:r w:rsidRPr="00755B9E">
        <w:rPr>
          <w:rFonts w:ascii="Arial" w:hAnsi="Arial" w:cs="Arial"/>
          <w:b/>
        </w:rPr>
        <w:t xml:space="preserve">2. </w:t>
      </w:r>
      <w:r w:rsidRPr="00755B9E">
        <w:rPr>
          <w:rFonts w:ascii="Arial" w:hAnsi="Arial" w:cs="Arial"/>
          <w:b/>
          <w:sz w:val="24"/>
        </w:rPr>
        <w:t>Business counts 2021</w:t>
      </w:r>
    </w:p>
    <w:p w14:paraId="1D3F282A" w14:textId="77777777" w:rsidR="00EF1451" w:rsidRPr="00EF1451" w:rsidRDefault="00EF1451" w:rsidP="00EF1451">
      <w:pPr>
        <w:pStyle w:val="ListParagraph"/>
        <w:numPr>
          <w:ilvl w:val="0"/>
          <w:numId w:val="2"/>
        </w:numPr>
        <w:spacing w:line="360" w:lineRule="auto"/>
        <w:jc w:val="both"/>
        <w:rPr>
          <w:rFonts w:ascii="Arial" w:hAnsi="Arial" w:cs="Arial"/>
        </w:rPr>
      </w:pPr>
      <w:r w:rsidRPr="00EF1451">
        <w:rPr>
          <w:rFonts w:ascii="Arial" w:hAnsi="Arial" w:cs="Arial"/>
        </w:rPr>
        <w:t>There were 14 947 actively trading businesses in the Territory as at June 2021, an increase of 407 (2.8%) compared to June 2020 (Chart 1). At the national level, there were 2 402 254 actively trading businesses, an increase of 3.8% (Fig.1).</w:t>
      </w:r>
    </w:p>
    <w:p w14:paraId="1AF49CC4" w14:textId="77777777" w:rsidR="00EF1451" w:rsidRPr="00EF1451" w:rsidRDefault="00EF1451" w:rsidP="00EF1451">
      <w:pPr>
        <w:pStyle w:val="ListParagraph"/>
        <w:numPr>
          <w:ilvl w:val="0"/>
          <w:numId w:val="2"/>
        </w:numPr>
        <w:spacing w:line="360" w:lineRule="auto"/>
        <w:jc w:val="both"/>
        <w:rPr>
          <w:rFonts w:ascii="Arial" w:hAnsi="Arial" w:cs="Arial"/>
        </w:rPr>
      </w:pPr>
      <w:r w:rsidRPr="00EF1451">
        <w:rPr>
          <w:rFonts w:ascii="Arial" w:hAnsi="Arial" w:cs="Arial"/>
        </w:rPr>
        <w:t>The quarterly data for the five quarters from June 2020 to June 2021 show that the Territory business count fell in the December quarter 2020 but registered positive growth in all other quarters.</w:t>
      </w:r>
    </w:p>
    <w:p w14:paraId="352EC5F3" w14:textId="77777777" w:rsidR="00EF1451" w:rsidRPr="00EF1451" w:rsidRDefault="00EF1451" w:rsidP="00EF1451">
      <w:pPr>
        <w:pStyle w:val="ListParagraph"/>
        <w:numPr>
          <w:ilvl w:val="0"/>
          <w:numId w:val="2"/>
        </w:numPr>
        <w:spacing w:line="360" w:lineRule="auto"/>
        <w:jc w:val="both"/>
        <w:rPr>
          <w:rFonts w:ascii="Arial" w:hAnsi="Arial" w:cs="Arial"/>
        </w:rPr>
      </w:pPr>
      <w:r w:rsidRPr="00EF1451">
        <w:rPr>
          <w:rFonts w:ascii="Arial" w:hAnsi="Arial" w:cs="Arial"/>
        </w:rPr>
        <w:t>The Territory businesses represent about 0.6% of the total Australian businesses.</w:t>
      </w:r>
    </w:p>
    <w:p w14:paraId="5E6CBE56" w14:textId="77777777" w:rsidR="00EF1451" w:rsidRPr="00EF1451" w:rsidRDefault="00EF1451" w:rsidP="00EF1451">
      <w:pPr>
        <w:pStyle w:val="ListParagraph"/>
        <w:numPr>
          <w:ilvl w:val="0"/>
          <w:numId w:val="2"/>
        </w:numPr>
        <w:spacing w:line="360" w:lineRule="auto"/>
        <w:jc w:val="both"/>
        <w:rPr>
          <w:rFonts w:ascii="Arial" w:hAnsi="Arial" w:cs="Arial"/>
        </w:rPr>
      </w:pPr>
      <w:r w:rsidRPr="00EF1451">
        <w:rPr>
          <w:rFonts w:ascii="Arial" w:hAnsi="Arial" w:cs="Arial"/>
        </w:rPr>
        <w:t>In 2020-21, there were 2257 business entries (entry rate of 15.5%), and 1792 business exits (exit rate of 12.3%). The business exit rate in the Territory was marginally lower than the exit rate in the previous year. The business entry rate, on the other hand, increased by 5 percentage points from the previous year. The Territory’s entry and exit rates are similar to the national average in 2020-21.</w:t>
      </w:r>
    </w:p>
    <w:p w14:paraId="457C6557" w14:textId="77777777" w:rsidR="00DD3C90" w:rsidRPr="00755B9E" w:rsidRDefault="00DD3C90" w:rsidP="006F5841">
      <w:pPr>
        <w:spacing w:line="360" w:lineRule="auto"/>
        <w:jc w:val="both"/>
        <w:rPr>
          <w:rFonts w:ascii="Arial" w:hAnsi="Arial" w:cs="Arial"/>
          <w:b/>
        </w:rPr>
      </w:pPr>
      <w:r w:rsidRPr="00755B9E">
        <w:rPr>
          <w:rFonts w:ascii="Arial" w:hAnsi="Arial" w:cs="Arial"/>
          <w:b/>
        </w:rPr>
        <w:t xml:space="preserve">3. </w:t>
      </w:r>
      <w:r w:rsidRPr="00755B9E">
        <w:rPr>
          <w:rFonts w:ascii="Arial" w:hAnsi="Arial" w:cs="Arial"/>
          <w:b/>
          <w:sz w:val="24"/>
        </w:rPr>
        <w:t>Business survival rates</w:t>
      </w:r>
    </w:p>
    <w:p w14:paraId="2D1CB4F8" w14:textId="77777777" w:rsidR="00EF1451" w:rsidRPr="00EF1451" w:rsidRDefault="00EF1451" w:rsidP="00EF1451">
      <w:pPr>
        <w:pStyle w:val="ListParagraph"/>
        <w:numPr>
          <w:ilvl w:val="0"/>
          <w:numId w:val="2"/>
        </w:numPr>
        <w:spacing w:line="360" w:lineRule="auto"/>
        <w:jc w:val="both"/>
        <w:rPr>
          <w:rFonts w:ascii="Arial" w:hAnsi="Arial" w:cs="Arial"/>
        </w:rPr>
      </w:pPr>
      <w:r w:rsidRPr="00EF1451">
        <w:rPr>
          <w:rFonts w:ascii="Arial" w:hAnsi="Arial" w:cs="Arial"/>
        </w:rPr>
        <w:t>Almost two-thirds of all the Territory businesses that were operating in June 2017 are still operating in June 2021. Of all the Territory businesses operating in June 2017, 87.2% survived to June 2018, 77.6% survived to June 2019, 70.4% survived to June 2020, and 64.8% survived to June 2021 (Chart 2). Survival rate of Territory businesses were comparable to the national survival rate (Chart 3),</w:t>
      </w:r>
    </w:p>
    <w:p w14:paraId="41576370" w14:textId="04DA7A62" w:rsidR="006C4494" w:rsidRDefault="00EF1451" w:rsidP="00EF1451">
      <w:pPr>
        <w:pStyle w:val="ListParagraph"/>
        <w:numPr>
          <w:ilvl w:val="0"/>
          <w:numId w:val="2"/>
        </w:numPr>
        <w:spacing w:line="360" w:lineRule="auto"/>
        <w:jc w:val="both"/>
        <w:rPr>
          <w:rFonts w:ascii="Arial" w:hAnsi="Arial" w:cs="Arial"/>
        </w:rPr>
      </w:pPr>
      <w:r w:rsidRPr="00EF1451">
        <w:rPr>
          <w:rFonts w:ascii="Arial" w:hAnsi="Arial" w:cs="Arial"/>
        </w:rPr>
        <w:t>Almost half of all the Territory businesses that commenced operations (new entries) in 2017-18 did not survive to June 2021, lowest of all the jurisdictions. Of the Territory businesses that started operations in 2017-18, 75.2% survived to June 2019, 58.6% survived to June 2020 and 50.6% to June 2021 (Charts 4 and 5).</w:t>
      </w:r>
      <w:r w:rsidR="006C4494">
        <w:rPr>
          <w:rFonts w:ascii="Arial" w:hAnsi="Arial" w:cs="Arial"/>
        </w:rPr>
        <w:br w:type="page"/>
      </w:r>
    </w:p>
    <w:tbl>
      <w:tblPr>
        <w:tblStyle w:val="TableGrid"/>
        <w:tblW w:w="5586" w:type="pct"/>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arts"/>
      </w:tblPr>
      <w:tblGrid>
        <w:gridCol w:w="5435"/>
        <w:gridCol w:w="245"/>
        <w:gridCol w:w="5406"/>
      </w:tblGrid>
      <w:tr w:rsidR="00DC3F2A" w:rsidRPr="009B7E75" w14:paraId="60ED4E07" w14:textId="77777777" w:rsidTr="00AC0916">
        <w:trPr>
          <w:trHeight w:val="844"/>
        </w:trPr>
        <w:tc>
          <w:tcPr>
            <w:tcW w:w="2465" w:type="pct"/>
            <w:vAlign w:val="center"/>
          </w:tcPr>
          <w:p w14:paraId="02BA673D" w14:textId="444B3763" w:rsidR="00DC3F2A" w:rsidRPr="009B7E75" w:rsidRDefault="00DC3F2A" w:rsidP="006F5841">
            <w:pPr>
              <w:spacing w:before="80" w:after="200" w:line="276" w:lineRule="auto"/>
              <w:jc w:val="both"/>
              <w:rPr>
                <w:rFonts w:ascii="Arial" w:eastAsia="Calibri" w:hAnsi="Arial" w:cs="Arial"/>
                <w:b/>
                <w:noProof/>
                <w:lang w:eastAsia="en-AU"/>
              </w:rPr>
            </w:pPr>
            <w:bookmarkStart w:id="0" w:name="_GoBack" w:colFirst="0" w:colLast="3"/>
            <w:r w:rsidRPr="00E45392">
              <w:rPr>
                <w:rFonts w:ascii="Arial" w:eastAsia="Calibri" w:hAnsi="Arial" w:cs="Arial"/>
                <w:b/>
                <w:noProof/>
                <w:sz w:val="20"/>
                <w:lang w:eastAsia="en-AU"/>
              </w:rPr>
              <w:lastRenderedPageBreak/>
              <w:t xml:space="preserve">Chart 1: Territory </w:t>
            </w:r>
            <w:r w:rsidR="00EF1451">
              <w:rPr>
                <w:rFonts w:ascii="Arial" w:eastAsia="Calibri" w:hAnsi="Arial" w:cs="Arial"/>
                <w:b/>
                <w:noProof/>
                <w:sz w:val="20"/>
                <w:lang w:eastAsia="en-AU"/>
              </w:rPr>
              <w:t>Business Count, June 2018 to June </w:t>
            </w:r>
            <w:r w:rsidRPr="00E45392">
              <w:rPr>
                <w:rFonts w:ascii="Arial" w:eastAsia="Calibri" w:hAnsi="Arial" w:cs="Arial"/>
                <w:b/>
                <w:noProof/>
                <w:sz w:val="20"/>
                <w:lang w:eastAsia="en-AU"/>
              </w:rPr>
              <w:t>2021</w:t>
            </w:r>
          </w:p>
        </w:tc>
        <w:tc>
          <w:tcPr>
            <w:tcW w:w="124" w:type="pct"/>
          </w:tcPr>
          <w:p w14:paraId="44174077" w14:textId="77777777" w:rsidR="00DC3F2A" w:rsidRPr="009B7E75" w:rsidRDefault="00DC3F2A" w:rsidP="006F5841">
            <w:pPr>
              <w:spacing w:before="80" w:after="200" w:line="276" w:lineRule="auto"/>
              <w:jc w:val="both"/>
              <w:rPr>
                <w:rFonts w:ascii="Arial" w:eastAsia="Calibri" w:hAnsi="Arial" w:cs="Arial"/>
                <w:b/>
                <w:noProof/>
                <w:lang w:eastAsia="en-AU"/>
              </w:rPr>
            </w:pPr>
          </w:p>
        </w:tc>
        <w:tc>
          <w:tcPr>
            <w:tcW w:w="2411" w:type="pct"/>
            <w:vAlign w:val="center"/>
          </w:tcPr>
          <w:p w14:paraId="4B10DCA4" w14:textId="77777777" w:rsidR="00DC3F2A" w:rsidRPr="00E45392" w:rsidRDefault="00E45392" w:rsidP="006F5841">
            <w:pPr>
              <w:spacing w:before="80" w:after="200" w:line="276" w:lineRule="auto"/>
              <w:jc w:val="both"/>
              <w:rPr>
                <w:rFonts w:ascii="Arial" w:eastAsia="Calibri" w:hAnsi="Arial" w:cs="Arial"/>
                <w:b/>
                <w:noProof/>
                <w:sz w:val="20"/>
                <w:lang w:eastAsia="en-AU"/>
              </w:rPr>
            </w:pPr>
            <w:r>
              <w:rPr>
                <w:rFonts w:ascii="Arial" w:eastAsia="Calibri" w:hAnsi="Arial" w:cs="Arial"/>
                <w:b/>
                <w:noProof/>
                <w:sz w:val="20"/>
                <w:lang w:eastAsia="en-AU"/>
              </w:rPr>
              <w:t>Fig 1</w:t>
            </w:r>
            <w:r w:rsidR="00DC3F2A" w:rsidRPr="00E45392">
              <w:rPr>
                <w:rFonts w:ascii="Arial" w:eastAsia="Calibri" w:hAnsi="Arial" w:cs="Arial"/>
                <w:b/>
                <w:noProof/>
                <w:sz w:val="20"/>
                <w:lang w:eastAsia="en-AU"/>
              </w:rPr>
              <w:t xml:space="preserve">: Business Count, </w:t>
            </w:r>
            <w:r w:rsidR="00A54C1E" w:rsidRPr="00E45392">
              <w:rPr>
                <w:rFonts w:ascii="Arial" w:eastAsia="Calibri" w:hAnsi="Arial" w:cs="Arial"/>
                <w:b/>
                <w:noProof/>
                <w:sz w:val="20"/>
                <w:lang w:eastAsia="en-AU"/>
              </w:rPr>
              <w:t xml:space="preserve">Australia </w:t>
            </w:r>
            <w:r w:rsidR="00DC3F2A" w:rsidRPr="00E45392">
              <w:rPr>
                <w:rFonts w:ascii="Arial" w:eastAsia="Calibri" w:hAnsi="Arial" w:cs="Arial"/>
                <w:b/>
                <w:noProof/>
                <w:sz w:val="20"/>
                <w:lang w:eastAsia="en-AU"/>
              </w:rPr>
              <w:t>June 2021</w:t>
            </w:r>
          </w:p>
        </w:tc>
      </w:tr>
      <w:tr w:rsidR="00DC3F2A" w:rsidRPr="009B7E75" w14:paraId="5331DBDF" w14:textId="77777777" w:rsidTr="00AC0916">
        <w:trPr>
          <w:trHeight w:val="592"/>
        </w:trPr>
        <w:tc>
          <w:tcPr>
            <w:tcW w:w="2465" w:type="pct"/>
            <w:vMerge w:val="restart"/>
          </w:tcPr>
          <w:p w14:paraId="0AD74334" w14:textId="77777777" w:rsidR="00DC3F2A" w:rsidRPr="009B7E75" w:rsidRDefault="00DC3F2A" w:rsidP="006F5841">
            <w:pPr>
              <w:spacing w:before="80" w:after="200" w:line="276" w:lineRule="auto"/>
              <w:jc w:val="both"/>
              <w:rPr>
                <w:rFonts w:ascii="Arial" w:eastAsia="Calibri" w:hAnsi="Arial" w:cs="Arial"/>
                <w:noProof/>
                <w:lang w:eastAsia="en-AU"/>
              </w:rPr>
            </w:pPr>
            <w:r w:rsidRPr="009B7E75">
              <w:rPr>
                <w:rFonts w:ascii="Arial" w:eastAsia="Calibri" w:hAnsi="Arial" w:cs="Arial"/>
                <w:noProof/>
                <w:lang w:eastAsia="en-AU"/>
              </w:rPr>
              <w:drawing>
                <wp:inline distT="0" distB="0" distL="0" distR="0" wp14:anchorId="017EEC24" wp14:editId="6D878D1E">
                  <wp:extent cx="3208139" cy="2464905"/>
                  <wp:effectExtent l="0" t="0" r="0" b="0"/>
                  <wp:docPr id="16" name="Picture 16" descr="Over the past three years, the number of actively trading businesses has increased steadily" title="Territory Business Count, June 2018 to Jun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5205" cy="2501067"/>
                          </a:xfrm>
                          <a:prstGeom prst="rect">
                            <a:avLst/>
                          </a:prstGeom>
                          <a:noFill/>
                        </pic:spPr>
                      </pic:pic>
                    </a:graphicData>
                  </a:graphic>
                </wp:inline>
              </w:drawing>
            </w:r>
          </w:p>
        </w:tc>
        <w:tc>
          <w:tcPr>
            <w:tcW w:w="124" w:type="pct"/>
          </w:tcPr>
          <w:p w14:paraId="7F39E180" w14:textId="77777777" w:rsidR="00DC3F2A" w:rsidRPr="009B7E75" w:rsidRDefault="00DC3F2A" w:rsidP="006F5841">
            <w:pPr>
              <w:spacing w:before="80" w:after="200" w:line="276" w:lineRule="auto"/>
              <w:jc w:val="both"/>
              <w:rPr>
                <w:rFonts w:ascii="Calibri" w:eastAsia="Calibri" w:hAnsi="Calibri" w:cs="Times New Roman"/>
              </w:rPr>
            </w:pPr>
          </w:p>
        </w:tc>
        <w:tc>
          <w:tcPr>
            <w:tcW w:w="2411" w:type="pct"/>
            <w:vMerge w:val="restart"/>
          </w:tcPr>
          <w:p w14:paraId="6A8CF3DE" w14:textId="2C74F9A4" w:rsidR="004B6977" w:rsidRDefault="00EF1451" w:rsidP="006F5841">
            <w:pPr>
              <w:jc w:val="both"/>
            </w:pPr>
            <w:r>
              <w:rPr>
                <w:noProof/>
                <w:lang w:eastAsia="en-AU"/>
              </w:rPr>
              <w:drawing>
                <wp:inline distT="0" distB="0" distL="0" distR="0" wp14:anchorId="1E99D24F" wp14:editId="6455BDC5">
                  <wp:extent cx="2886324" cy="2376550"/>
                  <wp:effectExtent l="0" t="0" r="0" b="5080"/>
                  <wp:docPr id="1" name="Picture 1" descr="As at June 2021, the number of actively trading businesses by jurisdiction were:&#10;Northern Territory was 14947&#10;Queensland was 460669&#10;New South Wales was 817648&#10;Australian Capital Territory was 31499&#10;Victoria was 655395&#10;Tasmania was 40718&#10;South Australia was 19404&#10;Western Australia was 230220&#10;" title="Business Count, Australia Jun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28727" cy="2411464"/>
                          </a:xfrm>
                          <a:prstGeom prst="rect">
                            <a:avLst/>
                          </a:prstGeom>
                        </pic:spPr>
                      </pic:pic>
                    </a:graphicData>
                  </a:graphic>
                </wp:inline>
              </w:drawing>
            </w:r>
          </w:p>
          <w:p w14:paraId="1FEC9C38" w14:textId="77777777" w:rsidR="00DC3F2A" w:rsidRPr="009B7E75" w:rsidRDefault="00DC3F2A" w:rsidP="006F5841">
            <w:pPr>
              <w:spacing w:before="80" w:after="200" w:line="276" w:lineRule="auto"/>
              <w:jc w:val="both"/>
              <w:rPr>
                <w:rFonts w:ascii="Arial" w:eastAsia="Calibri" w:hAnsi="Arial" w:cs="Arial"/>
                <w:noProof/>
                <w:lang w:eastAsia="en-AU"/>
              </w:rPr>
            </w:pPr>
          </w:p>
        </w:tc>
      </w:tr>
      <w:tr w:rsidR="00DC3F2A" w:rsidRPr="009B7E75" w14:paraId="74ACB896" w14:textId="77777777" w:rsidTr="00AC0916">
        <w:trPr>
          <w:trHeight w:val="3693"/>
        </w:trPr>
        <w:tc>
          <w:tcPr>
            <w:tcW w:w="2465" w:type="pct"/>
            <w:vMerge/>
          </w:tcPr>
          <w:p w14:paraId="3ACCD773" w14:textId="77777777" w:rsidR="00DC3F2A" w:rsidRPr="009B7E75" w:rsidRDefault="00DC3F2A" w:rsidP="006F5841">
            <w:pPr>
              <w:spacing w:before="80" w:after="200" w:line="276" w:lineRule="auto"/>
              <w:jc w:val="both"/>
              <w:rPr>
                <w:rFonts w:ascii="Arial" w:eastAsia="Calibri" w:hAnsi="Arial" w:cs="Arial"/>
                <w:noProof/>
                <w:lang w:eastAsia="en-AU"/>
              </w:rPr>
            </w:pPr>
          </w:p>
        </w:tc>
        <w:tc>
          <w:tcPr>
            <w:tcW w:w="124" w:type="pct"/>
          </w:tcPr>
          <w:p w14:paraId="5F721DA8" w14:textId="77777777" w:rsidR="00DC3F2A" w:rsidRPr="009B7E75" w:rsidRDefault="00DC3F2A" w:rsidP="006F5841">
            <w:pPr>
              <w:spacing w:before="80" w:after="200" w:line="276" w:lineRule="auto"/>
              <w:jc w:val="both"/>
              <w:rPr>
                <w:rFonts w:ascii="Calibri" w:eastAsia="Calibri" w:hAnsi="Calibri" w:cs="Times New Roman"/>
              </w:rPr>
            </w:pPr>
          </w:p>
        </w:tc>
        <w:tc>
          <w:tcPr>
            <w:tcW w:w="2411" w:type="pct"/>
            <w:vMerge/>
          </w:tcPr>
          <w:p w14:paraId="37E8AFCA" w14:textId="77777777" w:rsidR="00DC3F2A" w:rsidRPr="009B7E75" w:rsidRDefault="00DC3F2A" w:rsidP="006F5841">
            <w:pPr>
              <w:spacing w:before="80" w:after="200" w:line="276" w:lineRule="auto"/>
              <w:jc w:val="both"/>
              <w:rPr>
                <w:rFonts w:ascii="Arial" w:eastAsia="Calibri" w:hAnsi="Arial" w:cs="Arial"/>
                <w:noProof/>
                <w:lang w:eastAsia="en-AU"/>
              </w:rPr>
            </w:pPr>
          </w:p>
        </w:tc>
      </w:tr>
      <w:tr w:rsidR="00DC3F2A" w:rsidRPr="009B7E75" w14:paraId="3A54AA7D" w14:textId="77777777" w:rsidTr="00AC0916">
        <w:trPr>
          <w:trHeight w:val="417"/>
        </w:trPr>
        <w:tc>
          <w:tcPr>
            <w:tcW w:w="2465" w:type="pct"/>
            <w:vAlign w:val="center"/>
          </w:tcPr>
          <w:p w14:paraId="21325B63" w14:textId="3A75D5BF" w:rsidR="00DC3F2A" w:rsidRPr="009B7E75" w:rsidRDefault="00DC3F2A" w:rsidP="00EF1451">
            <w:pPr>
              <w:spacing w:before="80" w:after="200" w:line="276" w:lineRule="auto"/>
              <w:jc w:val="both"/>
              <w:rPr>
                <w:rFonts w:ascii="Arial" w:eastAsia="Calibri" w:hAnsi="Arial" w:cs="Arial"/>
                <w:b/>
                <w:noProof/>
                <w:lang w:eastAsia="en-AU"/>
              </w:rPr>
            </w:pPr>
            <w:r w:rsidRPr="00E45392">
              <w:rPr>
                <w:rFonts w:ascii="Arial" w:eastAsia="Calibri" w:hAnsi="Arial" w:cs="Arial"/>
                <w:b/>
                <w:noProof/>
                <w:sz w:val="20"/>
                <w:lang w:eastAsia="en-AU"/>
              </w:rPr>
              <w:t xml:space="preserve">Chart </w:t>
            </w:r>
            <w:r w:rsidR="00EF1451">
              <w:rPr>
                <w:rFonts w:ascii="Arial" w:eastAsia="Calibri" w:hAnsi="Arial" w:cs="Arial"/>
                <w:b/>
                <w:noProof/>
                <w:sz w:val="20"/>
                <w:lang w:eastAsia="en-AU"/>
              </w:rPr>
              <w:t>2</w:t>
            </w:r>
            <w:r w:rsidRPr="00E45392">
              <w:rPr>
                <w:rFonts w:ascii="Arial" w:eastAsia="Calibri" w:hAnsi="Arial" w:cs="Arial"/>
                <w:b/>
                <w:noProof/>
                <w:sz w:val="20"/>
                <w:lang w:eastAsia="en-AU"/>
              </w:rPr>
              <w:t xml:space="preserve">: </w:t>
            </w:r>
            <w:r w:rsidR="00DD3C90" w:rsidRPr="00E45392">
              <w:rPr>
                <w:rFonts w:ascii="Arial" w:eastAsia="Calibri" w:hAnsi="Arial" w:cs="Arial"/>
                <w:b/>
                <w:noProof/>
                <w:sz w:val="20"/>
                <w:lang w:eastAsia="en-AU"/>
              </w:rPr>
              <w:t>Survival</w:t>
            </w:r>
            <w:r w:rsidR="00E45392" w:rsidRPr="00E45392">
              <w:rPr>
                <w:rFonts w:ascii="Arial" w:eastAsia="Calibri" w:hAnsi="Arial" w:cs="Arial"/>
                <w:b/>
                <w:noProof/>
                <w:sz w:val="20"/>
                <w:lang w:eastAsia="en-AU"/>
              </w:rPr>
              <w:t xml:space="preserve"> in June 2021</w:t>
            </w:r>
            <w:r w:rsidR="00DD3C90" w:rsidRPr="00E45392">
              <w:rPr>
                <w:rFonts w:ascii="Arial" w:eastAsia="Calibri" w:hAnsi="Arial" w:cs="Arial"/>
                <w:b/>
                <w:noProof/>
                <w:sz w:val="20"/>
                <w:lang w:eastAsia="en-AU"/>
              </w:rPr>
              <w:t xml:space="preserve"> of all </w:t>
            </w:r>
            <w:r w:rsidR="007D662A">
              <w:rPr>
                <w:rFonts w:ascii="Arial" w:eastAsia="Calibri" w:hAnsi="Arial" w:cs="Arial"/>
                <w:b/>
                <w:noProof/>
                <w:sz w:val="20"/>
                <w:lang w:eastAsia="en-AU"/>
              </w:rPr>
              <w:t>Territory b</w:t>
            </w:r>
            <w:r w:rsidRPr="00E45392">
              <w:rPr>
                <w:rFonts w:ascii="Arial" w:eastAsia="Calibri" w:hAnsi="Arial" w:cs="Arial"/>
                <w:b/>
                <w:noProof/>
                <w:sz w:val="20"/>
                <w:lang w:eastAsia="en-AU"/>
              </w:rPr>
              <w:t>usiness</w:t>
            </w:r>
            <w:r w:rsidR="007D662A">
              <w:rPr>
                <w:rFonts w:ascii="Arial" w:eastAsia="Calibri" w:hAnsi="Arial" w:cs="Arial"/>
                <w:b/>
                <w:noProof/>
                <w:sz w:val="20"/>
                <w:lang w:eastAsia="en-AU"/>
              </w:rPr>
              <w:t>es</w:t>
            </w:r>
            <w:r w:rsidRPr="00E45392">
              <w:rPr>
                <w:rFonts w:ascii="Arial" w:eastAsia="Calibri" w:hAnsi="Arial" w:cs="Arial"/>
                <w:b/>
                <w:noProof/>
                <w:sz w:val="20"/>
                <w:lang w:eastAsia="en-AU"/>
              </w:rPr>
              <w:t xml:space="preserve"> </w:t>
            </w:r>
            <w:r w:rsidR="00DD3C90" w:rsidRPr="00E45392">
              <w:rPr>
                <w:rFonts w:ascii="Arial" w:eastAsia="Calibri" w:hAnsi="Arial" w:cs="Arial"/>
                <w:b/>
                <w:noProof/>
                <w:sz w:val="20"/>
                <w:lang w:eastAsia="en-AU"/>
              </w:rPr>
              <w:t xml:space="preserve">operating in </w:t>
            </w:r>
            <w:r w:rsidRPr="00E45392">
              <w:rPr>
                <w:rFonts w:ascii="Arial" w:eastAsia="Calibri" w:hAnsi="Arial" w:cs="Arial"/>
                <w:b/>
                <w:noProof/>
                <w:sz w:val="20"/>
                <w:lang w:eastAsia="en-AU"/>
              </w:rPr>
              <w:t xml:space="preserve">June </w:t>
            </w:r>
            <w:r w:rsidR="00DD3C90" w:rsidRPr="00E45392">
              <w:rPr>
                <w:rFonts w:ascii="Arial" w:eastAsia="Calibri" w:hAnsi="Arial" w:cs="Arial"/>
                <w:b/>
                <w:noProof/>
                <w:sz w:val="20"/>
                <w:lang w:eastAsia="en-AU"/>
              </w:rPr>
              <w:t xml:space="preserve">2017 </w:t>
            </w:r>
          </w:p>
        </w:tc>
        <w:tc>
          <w:tcPr>
            <w:tcW w:w="124" w:type="pct"/>
          </w:tcPr>
          <w:p w14:paraId="23E8B969" w14:textId="77777777" w:rsidR="00DC3F2A" w:rsidRPr="009B7E75" w:rsidRDefault="00DC3F2A" w:rsidP="006F5841">
            <w:pPr>
              <w:spacing w:before="80" w:after="200" w:line="276" w:lineRule="auto"/>
              <w:jc w:val="both"/>
              <w:rPr>
                <w:rFonts w:ascii="Calibri" w:eastAsia="Calibri" w:hAnsi="Calibri" w:cs="Times New Roman"/>
              </w:rPr>
            </w:pPr>
          </w:p>
        </w:tc>
        <w:tc>
          <w:tcPr>
            <w:tcW w:w="2411" w:type="pct"/>
            <w:vAlign w:val="center"/>
          </w:tcPr>
          <w:p w14:paraId="321DBFD2" w14:textId="1FC69A7B" w:rsidR="00DC3F2A" w:rsidRPr="00E45392" w:rsidRDefault="00DC3F2A" w:rsidP="00EF1451">
            <w:pPr>
              <w:spacing w:before="80" w:after="200" w:line="276" w:lineRule="auto"/>
              <w:jc w:val="both"/>
              <w:rPr>
                <w:rFonts w:ascii="Arial" w:eastAsia="Calibri" w:hAnsi="Arial" w:cs="Arial"/>
                <w:b/>
                <w:sz w:val="20"/>
              </w:rPr>
            </w:pPr>
            <w:r w:rsidRPr="00E45392">
              <w:rPr>
                <w:rFonts w:ascii="Arial" w:eastAsia="Calibri" w:hAnsi="Arial" w:cs="Arial"/>
                <w:b/>
                <w:noProof/>
                <w:sz w:val="20"/>
                <w:lang w:eastAsia="en-AU"/>
              </w:rPr>
              <w:t xml:space="preserve">Chart </w:t>
            </w:r>
            <w:r w:rsidR="00EF1451">
              <w:rPr>
                <w:rFonts w:ascii="Arial" w:eastAsia="Calibri" w:hAnsi="Arial" w:cs="Arial"/>
                <w:b/>
                <w:noProof/>
                <w:sz w:val="20"/>
                <w:lang w:eastAsia="en-AU"/>
              </w:rPr>
              <w:t>3</w:t>
            </w:r>
            <w:r w:rsidRPr="00E45392">
              <w:rPr>
                <w:rFonts w:ascii="Arial" w:eastAsia="Calibri" w:hAnsi="Arial" w:cs="Arial"/>
                <w:b/>
                <w:noProof/>
                <w:sz w:val="20"/>
                <w:lang w:eastAsia="en-AU"/>
              </w:rPr>
              <w:t xml:space="preserve">: </w:t>
            </w:r>
            <w:r w:rsidR="00DD3C90" w:rsidRPr="00E45392">
              <w:rPr>
                <w:rFonts w:ascii="Arial" w:eastAsia="Calibri" w:hAnsi="Arial" w:cs="Arial"/>
                <w:b/>
                <w:noProof/>
                <w:sz w:val="20"/>
                <w:lang w:eastAsia="en-AU"/>
              </w:rPr>
              <w:t>Jurisdictional comparison of s</w:t>
            </w:r>
            <w:r w:rsidRPr="00E45392">
              <w:rPr>
                <w:rFonts w:ascii="Arial" w:eastAsia="Calibri" w:hAnsi="Arial" w:cs="Arial"/>
                <w:b/>
                <w:noProof/>
                <w:sz w:val="20"/>
                <w:lang w:eastAsia="en-AU"/>
              </w:rPr>
              <w:t xml:space="preserve">urvival rates </w:t>
            </w:r>
            <w:r w:rsidR="00E45392" w:rsidRPr="00E45392">
              <w:rPr>
                <w:rFonts w:ascii="Arial" w:eastAsia="Calibri" w:hAnsi="Arial" w:cs="Arial"/>
                <w:b/>
                <w:noProof/>
                <w:sz w:val="20"/>
                <w:lang w:eastAsia="en-AU"/>
              </w:rPr>
              <w:t>in 2021</w:t>
            </w:r>
            <w:r w:rsidR="007D662A">
              <w:rPr>
                <w:rFonts w:ascii="Arial" w:eastAsia="Calibri" w:hAnsi="Arial" w:cs="Arial"/>
                <w:b/>
                <w:noProof/>
                <w:sz w:val="20"/>
                <w:lang w:eastAsia="en-AU"/>
              </w:rPr>
              <w:t xml:space="preserve"> </w:t>
            </w:r>
            <w:r w:rsidRPr="00E45392">
              <w:rPr>
                <w:rFonts w:ascii="Arial" w:eastAsia="Calibri" w:hAnsi="Arial" w:cs="Arial"/>
                <w:b/>
                <w:noProof/>
                <w:sz w:val="20"/>
                <w:lang w:eastAsia="en-AU"/>
              </w:rPr>
              <w:t xml:space="preserve">of </w:t>
            </w:r>
            <w:r w:rsidR="00DD3C90" w:rsidRPr="00E45392">
              <w:rPr>
                <w:rFonts w:ascii="Arial" w:eastAsia="Calibri" w:hAnsi="Arial" w:cs="Arial"/>
                <w:b/>
                <w:noProof/>
                <w:sz w:val="20"/>
                <w:lang w:eastAsia="en-AU"/>
              </w:rPr>
              <w:t>a</w:t>
            </w:r>
            <w:r w:rsidRPr="00E45392">
              <w:rPr>
                <w:rFonts w:ascii="Arial" w:eastAsia="Calibri" w:hAnsi="Arial" w:cs="Arial"/>
                <w:b/>
                <w:noProof/>
                <w:sz w:val="20"/>
                <w:lang w:eastAsia="en-AU"/>
              </w:rPr>
              <w:t xml:space="preserve">ll </w:t>
            </w:r>
            <w:r w:rsidR="00DD3C90" w:rsidRPr="00E45392">
              <w:rPr>
                <w:rFonts w:ascii="Arial" w:eastAsia="Calibri" w:hAnsi="Arial" w:cs="Arial"/>
                <w:b/>
                <w:noProof/>
                <w:sz w:val="20"/>
                <w:lang w:eastAsia="en-AU"/>
              </w:rPr>
              <w:t>b</w:t>
            </w:r>
            <w:r w:rsidRPr="00E45392">
              <w:rPr>
                <w:rFonts w:ascii="Arial" w:eastAsia="Calibri" w:hAnsi="Arial" w:cs="Arial"/>
                <w:b/>
                <w:noProof/>
                <w:sz w:val="20"/>
                <w:lang w:eastAsia="en-AU"/>
              </w:rPr>
              <w:t>usinesses that were operating in 2017</w:t>
            </w:r>
            <w:r w:rsidR="00DD3C90" w:rsidRPr="00E45392">
              <w:rPr>
                <w:rFonts w:ascii="Arial" w:eastAsia="Calibri" w:hAnsi="Arial" w:cs="Arial"/>
                <w:b/>
                <w:noProof/>
                <w:sz w:val="20"/>
                <w:lang w:eastAsia="en-AU"/>
              </w:rPr>
              <w:t xml:space="preserve"> </w:t>
            </w:r>
          </w:p>
        </w:tc>
      </w:tr>
      <w:tr w:rsidR="00DC3F2A" w:rsidRPr="009B7E75" w14:paraId="73C4FF3D" w14:textId="77777777" w:rsidTr="00AC0916">
        <w:trPr>
          <w:trHeight w:val="577"/>
        </w:trPr>
        <w:tc>
          <w:tcPr>
            <w:tcW w:w="2465" w:type="pct"/>
            <w:vMerge w:val="restart"/>
          </w:tcPr>
          <w:p w14:paraId="5D1D5706" w14:textId="77777777" w:rsidR="00DC3F2A" w:rsidRPr="009B7E75" w:rsidRDefault="00DC3F2A" w:rsidP="006F5841">
            <w:pPr>
              <w:spacing w:before="80" w:after="200" w:line="276" w:lineRule="auto"/>
              <w:jc w:val="both"/>
              <w:rPr>
                <w:rFonts w:ascii="Arial" w:eastAsia="Calibri" w:hAnsi="Arial" w:cs="Arial"/>
                <w:noProof/>
                <w:lang w:eastAsia="en-AU"/>
              </w:rPr>
            </w:pPr>
            <w:r w:rsidRPr="009B7E75">
              <w:rPr>
                <w:rFonts w:ascii="Calibri" w:eastAsia="Calibri" w:hAnsi="Calibri" w:cs="Times New Roman"/>
                <w:noProof/>
                <w:lang w:eastAsia="en-AU"/>
              </w:rPr>
              <w:drawing>
                <wp:inline distT="0" distB="0" distL="0" distR="0" wp14:anchorId="6335D991" wp14:editId="4AA52DAF">
                  <wp:extent cx="3283469" cy="2639833"/>
                  <wp:effectExtent l="0" t="0" r="0" b="8255"/>
                  <wp:docPr id="20" name="Picture 20" descr="Of all the Territory businesses operating in June 2017, 87.2% survived to June 2018, 77.6% survived to June 2019, 70.4% survived to June 2020, and 64.8% survived to June 2021" title="Survival in June 2021 of all Territory businesses operating in Jun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30991" cy="2678039"/>
                          </a:xfrm>
                          <a:prstGeom prst="rect">
                            <a:avLst/>
                          </a:prstGeom>
                        </pic:spPr>
                      </pic:pic>
                    </a:graphicData>
                  </a:graphic>
                </wp:inline>
              </w:drawing>
            </w:r>
          </w:p>
        </w:tc>
        <w:tc>
          <w:tcPr>
            <w:tcW w:w="124" w:type="pct"/>
          </w:tcPr>
          <w:p w14:paraId="49A0644F" w14:textId="77777777" w:rsidR="00DC3F2A" w:rsidRPr="009B7E75" w:rsidRDefault="00DC3F2A" w:rsidP="006F5841">
            <w:pPr>
              <w:spacing w:before="80" w:after="200" w:line="276" w:lineRule="auto"/>
              <w:jc w:val="both"/>
              <w:rPr>
                <w:rFonts w:ascii="Calibri" w:eastAsia="Calibri" w:hAnsi="Calibri" w:cs="Times New Roman"/>
              </w:rPr>
            </w:pPr>
          </w:p>
        </w:tc>
        <w:tc>
          <w:tcPr>
            <w:tcW w:w="2411" w:type="pct"/>
            <w:vMerge w:val="restart"/>
          </w:tcPr>
          <w:p w14:paraId="29351074" w14:textId="77777777" w:rsidR="00DC3F2A" w:rsidRPr="009B7E75" w:rsidRDefault="006F2C68" w:rsidP="006F5841">
            <w:pPr>
              <w:jc w:val="both"/>
              <w:rPr>
                <w:rFonts w:ascii="Arial" w:eastAsia="Calibri" w:hAnsi="Arial" w:cs="Arial"/>
                <w:noProof/>
                <w:lang w:eastAsia="en-AU"/>
              </w:rPr>
            </w:pPr>
            <w:r w:rsidRPr="006F2C68">
              <w:rPr>
                <w:noProof/>
                <w:lang w:eastAsia="en-AU"/>
              </w:rPr>
              <w:drawing>
                <wp:inline distT="0" distB="0" distL="0" distR="0" wp14:anchorId="28554568" wp14:editId="25F85CB2">
                  <wp:extent cx="3291840" cy="2666548"/>
                  <wp:effectExtent l="0" t="0" r="3810" b="635"/>
                  <wp:docPr id="21" name="Picture 21" descr="Survival rate of Territory businesses were comparable to the national survival rate, and above WA, Queensland and the ACT" title="Jurisdictional comparison of survival rates in 2021 of all businesses that were operating in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91972" cy="2747660"/>
                          </a:xfrm>
                          <a:prstGeom prst="rect">
                            <a:avLst/>
                          </a:prstGeom>
                        </pic:spPr>
                      </pic:pic>
                    </a:graphicData>
                  </a:graphic>
                </wp:inline>
              </w:drawing>
            </w:r>
          </w:p>
        </w:tc>
      </w:tr>
      <w:tr w:rsidR="00DC3F2A" w:rsidRPr="009B7E75" w14:paraId="0A160EE4" w14:textId="77777777" w:rsidTr="00AC0916">
        <w:trPr>
          <w:trHeight w:val="3960"/>
        </w:trPr>
        <w:tc>
          <w:tcPr>
            <w:tcW w:w="2465" w:type="pct"/>
            <w:vMerge/>
          </w:tcPr>
          <w:p w14:paraId="6780C3D7" w14:textId="77777777" w:rsidR="00DC3F2A" w:rsidRPr="009B7E75" w:rsidRDefault="00DC3F2A" w:rsidP="006F5841">
            <w:pPr>
              <w:spacing w:before="80" w:after="200" w:line="276" w:lineRule="auto"/>
              <w:jc w:val="both"/>
              <w:rPr>
                <w:rFonts w:ascii="Arial" w:eastAsia="Calibri" w:hAnsi="Arial" w:cs="Arial"/>
                <w:noProof/>
                <w:lang w:eastAsia="en-AU"/>
              </w:rPr>
            </w:pPr>
          </w:p>
        </w:tc>
        <w:tc>
          <w:tcPr>
            <w:tcW w:w="124" w:type="pct"/>
          </w:tcPr>
          <w:p w14:paraId="51E5F289" w14:textId="77777777" w:rsidR="00DC3F2A" w:rsidRPr="009B7E75" w:rsidRDefault="00DC3F2A" w:rsidP="006F5841">
            <w:pPr>
              <w:spacing w:before="80" w:after="200" w:line="276" w:lineRule="auto"/>
              <w:jc w:val="both"/>
              <w:rPr>
                <w:rFonts w:ascii="Arial" w:eastAsia="Calibri" w:hAnsi="Arial" w:cs="Arial"/>
                <w:noProof/>
                <w:lang w:eastAsia="en-AU"/>
              </w:rPr>
            </w:pPr>
          </w:p>
        </w:tc>
        <w:tc>
          <w:tcPr>
            <w:tcW w:w="2411" w:type="pct"/>
            <w:vMerge/>
          </w:tcPr>
          <w:p w14:paraId="7D964D07" w14:textId="77777777" w:rsidR="00DC3F2A" w:rsidRPr="009B7E75" w:rsidRDefault="00DC3F2A" w:rsidP="006F5841">
            <w:pPr>
              <w:spacing w:before="80" w:after="200" w:line="276" w:lineRule="auto"/>
              <w:jc w:val="both"/>
              <w:rPr>
                <w:rFonts w:ascii="Arial" w:eastAsia="Calibri" w:hAnsi="Arial" w:cs="Arial"/>
                <w:noProof/>
                <w:lang w:eastAsia="en-AU"/>
              </w:rPr>
            </w:pPr>
          </w:p>
        </w:tc>
      </w:tr>
      <w:tr w:rsidR="00DC3F2A" w:rsidRPr="009B7E75" w14:paraId="63F1CBDA" w14:textId="77777777" w:rsidTr="00AC0916">
        <w:trPr>
          <w:trHeight w:val="706"/>
        </w:trPr>
        <w:tc>
          <w:tcPr>
            <w:tcW w:w="2465" w:type="pct"/>
            <w:vAlign w:val="center"/>
          </w:tcPr>
          <w:p w14:paraId="0B45F25C" w14:textId="27C76AAA" w:rsidR="00DC3F2A" w:rsidRPr="009B7E75" w:rsidRDefault="00DC3F2A" w:rsidP="00EF1451">
            <w:pPr>
              <w:spacing w:before="80" w:after="200" w:line="276" w:lineRule="auto"/>
              <w:jc w:val="both"/>
              <w:rPr>
                <w:rFonts w:ascii="Arial" w:eastAsia="Calibri" w:hAnsi="Arial" w:cs="Arial"/>
                <w:b/>
                <w:sz w:val="24"/>
              </w:rPr>
            </w:pPr>
            <w:r w:rsidRPr="00E45392">
              <w:rPr>
                <w:rFonts w:ascii="Arial" w:eastAsia="Calibri" w:hAnsi="Arial" w:cs="Arial"/>
                <w:b/>
                <w:noProof/>
                <w:sz w:val="20"/>
                <w:lang w:eastAsia="en-AU"/>
              </w:rPr>
              <w:t xml:space="preserve">Chart </w:t>
            </w:r>
            <w:r w:rsidR="00EF1451">
              <w:rPr>
                <w:rFonts w:ascii="Arial" w:eastAsia="Calibri" w:hAnsi="Arial" w:cs="Arial"/>
                <w:b/>
                <w:noProof/>
                <w:sz w:val="20"/>
                <w:lang w:eastAsia="en-AU"/>
              </w:rPr>
              <w:t>4</w:t>
            </w:r>
            <w:r w:rsidRPr="00E45392">
              <w:rPr>
                <w:rFonts w:ascii="Arial" w:eastAsia="Calibri" w:hAnsi="Arial" w:cs="Arial"/>
                <w:b/>
                <w:noProof/>
                <w:sz w:val="20"/>
                <w:lang w:eastAsia="en-AU"/>
              </w:rPr>
              <w:t>: Survival rate</w:t>
            </w:r>
            <w:r w:rsidR="00DD3C90" w:rsidRPr="00E45392">
              <w:rPr>
                <w:rFonts w:ascii="Arial" w:eastAsia="Calibri" w:hAnsi="Arial" w:cs="Arial"/>
                <w:b/>
                <w:noProof/>
                <w:sz w:val="20"/>
                <w:lang w:eastAsia="en-AU"/>
              </w:rPr>
              <w:t>s</w:t>
            </w:r>
            <w:r w:rsidRPr="00E45392">
              <w:rPr>
                <w:rFonts w:ascii="Arial" w:eastAsia="Calibri" w:hAnsi="Arial" w:cs="Arial"/>
                <w:b/>
                <w:noProof/>
                <w:sz w:val="20"/>
                <w:lang w:eastAsia="en-AU"/>
              </w:rPr>
              <w:t xml:space="preserve"> </w:t>
            </w:r>
            <w:r w:rsidR="00DD3C90" w:rsidRPr="00E45392">
              <w:rPr>
                <w:rFonts w:ascii="Arial" w:eastAsia="Calibri" w:hAnsi="Arial" w:cs="Arial"/>
                <w:b/>
                <w:noProof/>
                <w:sz w:val="20"/>
                <w:lang w:eastAsia="en-AU"/>
              </w:rPr>
              <w:t>of businesses that commenced operations in 2018</w:t>
            </w:r>
          </w:p>
        </w:tc>
        <w:tc>
          <w:tcPr>
            <w:tcW w:w="124" w:type="pct"/>
            <w:vAlign w:val="center"/>
          </w:tcPr>
          <w:p w14:paraId="156F6960" w14:textId="77777777" w:rsidR="00DC3F2A" w:rsidRPr="009B7E75" w:rsidRDefault="00DC3F2A" w:rsidP="006F5841">
            <w:pPr>
              <w:spacing w:before="80" w:after="200" w:line="276" w:lineRule="auto"/>
              <w:jc w:val="both"/>
              <w:rPr>
                <w:rFonts w:ascii="Arial" w:eastAsia="Calibri" w:hAnsi="Arial" w:cs="Arial"/>
                <w:noProof/>
                <w:lang w:eastAsia="en-AU"/>
              </w:rPr>
            </w:pPr>
          </w:p>
        </w:tc>
        <w:tc>
          <w:tcPr>
            <w:tcW w:w="2411" w:type="pct"/>
            <w:vAlign w:val="center"/>
          </w:tcPr>
          <w:p w14:paraId="6E2A32F5" w14:textId="2F846ACE" w:rsidR="00DC3F2A" w:rsidRPr="009B7E75" w:rsidRDefault="00DC3F2A" w:rsidP="00EF1451">
            <w:pPr>
              <w:jc w:val="both"/>
              <w:rPr>
                <w:rFonts w:ascii="Arial" w:eastAsia="Calibri" w:hAnsi="Arial" w:cs="Arial"/>
                <w:b/>
              </w:rPr>
            </w:pPr>
            <w:r w:rsidRPr="00E45392">
              <w:rPr>
                <w:rFonts w:ascii="Arial" w:eastAsia="Calibri" w:hAnsi="Arial" w:cs="Arial"/>
                <w:b/>
                <w:sz w:val="20"/>
              </w:rPr>
              <w:t xml:space="preserve">Chart </w:t>
            </w:r>
            <w:r w:rsidR="00EF1451">
              <w:rPr>
                <w:rFonts w:ascii="Arial" w:eastAsia="Calibri" w:hAnsi="Arial" w:cs="Arial"/>
                <w:b/>
                <w:sz w:val="20"/>
              </w:rPr>
              <w:t>5</w:t>
            </w:r>
            <w:r w:rsidRPr="00E45392">
              <w:rPr>
                <w:rFonts w:ascii="Arial" w:eastAsia="Calibri" w:hAnsi="Arial" w:cs="Arial"/>
                <w:b/>
                <w:sz w:val="20"/>
              </w:rPr>
              <w:t xml:space="preserve">: </w:t>
            </w:r>
            <w:r w:rsidR="00DD3C90" w:rsidRPr="00E45392">
              <w:rPr>
                <w:rFonts w:ascii="Arial" w:eastAsia="Calibri" w:hAnsi="Arial" w:cs="Arial"/>
                <w:b/>
                <w:sz w:val="20"/>
              </w:rPr>
              <w:t xml:space="preserve">Jurisdictional comparison of </w:t>
            </w:r>
            <w:r w:rsidR="00DD3C90" w:rsidRPr="00E45392">
              <w:rPr>
                <w:rFonts w:ascii="Arial" w:eastAsia="Calibri" w:hAnsi="Arial" w:cs="Arial"/>
                <w:b/>
                <w:noProof/>
                <w:sz w:val="20"/>
                <w:lang w:eastAsia="en-AU"/>
              </w:rPr>
              <w:t>survival rates in 2021 of businesses that commenced operations in 2018</w:t>
            </w:r>
          </w:p>
        </w:tc>
      </w:tr>
      <w:tr w:rsidR="00DC3F2A" w:rsidRPr="009B7E75" w14:paraId="69125A35" w14:textId="77777777" w:rsidTr="00AC0916">
        <w:trPr>
          <w:trHeight w:val="70"/>
        </w:trPr>
        <w:tc>
          <w:tcPr>
            <w:tcW w:w="2465" w:type="pct"/>
            <w:vMerge w:val="restart"/>
          </w:tcPr>
          <w:p w14:paraId="4E2644EF" w14:textId="77777777" w:rsidR="00DC3F2A" w:rsidRPr="009B7E75" w:rsidRDefault="00DC3F2A" w:rsidP="006F5841">
            <w:pPr>
              <w:spacing w:before="80" w:after="200" w:line="276" w:lineRule="auto"/>
              <w:jc w:val="both"/>
              <w:rPr>
                <w:rFonts w:ascii="Arial" w:eastAsia="Calibri" w:hAnsi="Arial" w:cs="Arial"/>
                <w:noProof/>
                <w:lang w:eastAsia="en-AU"/>
              </w:rPr>
            </w:pPr>
            <w:r w:rsidRPr="009B7E75">
              <w:rPr>
                <w:rFonts w:ascii="Arial" w:eastAsia="Calibri" w:hAnsi="Arial" w:cs="Arial"/>
                <w:noProof/>
                <w:lang w:eastAsia="en-AU"/>
              </w:rPr>
              <w:drawing>
                <wp:inline distT="0" distB="0" distL="0" distR="0" wp14:anchorId="471382B8" wp14:editId="588AC0DD">
                  <wp:extent cx="3257812" cy="2480807"/>
                  <wp:effectExtent l="0" t="0" r="0" b="0"/>
                  <wp:docPr id="18" name="Picture 18" descr="Almost half of all the Territory businesses that commenced operations (new entries) in 2017-18 did not survive to June 2021" title="Survival rates of businesses that commenced operations in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6591" cy="2495107"/>
                          </a:xfrm>
                          <a:prstGeom prst="rect">
                            <a:avLst/>
                          </a:prstGeom>
                          <a:noFill/>
                        </pic:spPr>
                      </pic:pic>
                    </a:graphicData>
                  </a:graphic>
                </wp:inline>
              </w:drawing>
            </w:r>
          </w:p>
        </w:tc>
        <w:tc>
          <w:tcPr>
            <w:tcW w:w="124" w:type="pct"/>
          </w:tcPr>
          <w:p w14:paraId="2D2F5D64" w14:textId="77777777" w:rsidR="00DC3F2A" w:rsidRPr="009B7E75" w:rsidRDefault="00DC3F2A" w:rsidP="006F5841">
            <w:pPr>
              <w:spacing w:before="80" w:after="200" w:line="276" w:lineRule="auto"/>
              <w:jc w:val="both"/>
              <w:rPr>
                <w:rFonts w:ascii="Arial" w:eastAsia="Calibri" w:hAnsi="Arial" w:cs="Arial"/>
                <w:noProof/>
                <w:lang w:eastAsia="en-AU"/>
              </w:rPr>
            </w:pPr>
          </w:p>
        </w:tc>
        <w:tc>
          <w:tcPr>
            <w:tcW w:w="2411" w:type="pct"/>
            <w:vMerge w:val="restart"/>
          </w:tcPr>
          <w:p w14:paraId="0D1E93A2" w14:textId="77777777" w:rsidR="00DC3F2A" w:rsidRPr="009B7E75" w:rsidRDefault="00DC3F2A" w:rsidP="006F5841">
            <w:pPr>
              <w:spacing w:before="80" w:after="200" w:line="276" w:lineRule="auto"/>
              <w:jc w:val="both"/>
              <w:rPr>
                <w:rFonts w:ascii="Arial" w:eastAsia="Calibri" w:hAnsi="Arial" w:cs="Arial"/>
                <w:noProof/>
                <w:lang w:eastAsia="en-AU"/>
              </w:rPr>
            </w:pPr>
            <w:r w:rsidRPr="009B7E75">
              <w:rPr>
                <w:rFonts w:ascii="Arial" w:eastAsia="Calibri" w:hAnsi="Arial" w:cs="Arial"/>
                <w:noProof/>
                <w:lang w:eastAsia="en-AU"/>
              </w:rPr>
              <w:drawing>
                <wp:inline distT="0" distB="0" distL="0" distR="0" wp14:anchorId="2A9F8AF7" wp14:editId="7D77A8AE">
                  <wp:extent cx="3077155" cy="2542134"/>
                  <wp:effectExtent l="0" t="0" r="9525" b="0"/>
                  <wp:docPr id="19" name="Picture 19" descr="Almost half of all the Territory businesses that commenced operations (new entries) in 2017-18 did not survive to June 2021, lowest of all the jurisdictions" title="Jurisdictional comparison of survival rates in 2021 of businesses that commenced operations in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0026" cy="2552767"/>
                          </a:xfrm>
                          <a:prstGeom prst="rect">
                            <a:avLst/>
                          </a:prstGeom>
                          <a:noFill/>
                        </pic:spPr>
                      </pic:pic>
                    </a:graphicData>
                  </a:graphic>
                </wp:inline>
              </w:drawing>
            </w:r>
          </w:p>
        </w:tc>
      </w:tr>
      <w:tr w:rsidR="00DC3F2A" w:rsidRPr="009B7E75" w14:paraId="0C4EB29C" w14:textId="77777777" w:rsidTr="00AC0916">
        <w:trPr>
          <w:trHeight w:val="3492"/>
        </w:trPr>
        <w:tc>
          <w:tcPr>
            <w:tcW w:w="2465" w:type="pct"/>
            <w:vMerge/>
          </w:tcPr>
          <w:p w14:paraId="001B917A" w14:textId="77777777" w:rsidR="00DC3F2A" w:rsidRPr="009B7E75" w:rsidRDefault="00DC3F2A" w:rsidP="006F5841">
            <w:pPr>
              <w:spacing w:before="80" w:after="200" w:line="276" w:lineRule="auto"/>
              <w:jc w:val="both"/>
              <w:rPr>
                <w:rFonts w:ascii="Arial" w:eastAsia="Calibri" w:hAnsi="Arial" w:cs="Arial"/>
                <w:noProof/>
                <w:lang w:eastAsia="en-AU"/>
              </w:rPr>
            </w:pPr>
          </w:p>
        </w:tc>
        <w:tc>
          <w:tcPr>
            <w:tcW w:w="124" w:type="pct"/>
          </w:tcPr>
          <w:p w14:paraId="3CA8B037" w14:textId="77777777" w:rsidR="00DC3F2A" w:rsidRPr="009B7E75" w:rsidRDefault="00DC3F2A" w:rsidP="006F5841">
            <w:pPr>
              <w:spacing w:before="80" w:after="200" w:line="276" w:lineRule="auto"/>
              <w:jc w:val="both"/>
              <w:rPr>
                <w:rFonts w:ascii="Arial" w:eastAsia="Calibri" w:hAnsi="Arial" w:cs="Arial"/>
                <w:noProof/>
                <w:lang w:eastAsia="en-AU"/>
              </w:rPr>
            </w:pPr>
          </w:p>
        </w:tc>
        <w:tc>
          <w:tcPr>
            <w:tcW w:w="2411" w:type="pct"/>
            <w:vMerge/>
          </w:tcPr>
          <w:p w14:paraId="2E7CFEFB" w14:textId="77777777" w:rsidR="00DC3F2A" w:rsidRPr="009B7E75" w:rsidRDefault="00DC3F2A" w:rsidP="006F5841">
            <w:pPr>
              <w:spacing w:before="80" w:after="200" w:line="276" w:lineRule="auto"/>
              <w:jc w:val="both"/>
              <w:rPr>
                <w:rFonts w:ascii="Arial" w:eastAsia="Calibri" w:hAnsi="Arial" w:cs="Arial"/>
                <w:noProof/>
                <w:lang w:eastAsia="en-AU"/>
              </w:rPr>
            </w:pPr>
          </w:p>
        </w:tc>
      </w:tr>
      <w:bookmarkEnd w:id="0"/>
    </w:tbl>
    <w:p w14:paraId="4226D2D4" w14:textId="77777777" w:rsidR="009B7E75" w:rsidRDefault="009B7E75" w:rsidP="006C4494">
      <w:pPr>
        <w:jc w:val="both"/>
        <w:rPr>
          <w:rFonts w:ascii="Arial" w:hAnsi="Arial" w:cs="Arial"/>
          <w:b/>
          <w:sz w:val="24"/>
        </w:rPr>
      </w:pPr>
    </w:p>
    <w:sectPr w:rsidR="009B7E75" w:rsidSect="006C4494">
      <w:type w:val="continuous"/>
      <w:pgSz w:w="11906" w:h="16838"/>
      <w:pgMar w:top="567" w:right="707" w:bottom="0" w:left="1276" w:header="3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11F30" w14:textId="77777777" w:rsidR="003D509B" w:rsidRDefault="003D509B" w:rsidP="00122754">
      <w:pPr>
        <w:spacing w:after="0" w:line="240" w:lineRule="auto"/>
      </w:pPr>
      <w:r>
        <w:separator/>
      </w:r>
    </w:p>
  </w:endnote>
  <w:endnote w:type="continuationSeparator" w:id="0">
    <w:p w14:paraId="0FF9533A" w14:textId="77777777" w:rsidR="003D509B" w:rsidRDefault="003D509B" w:rsidP="00122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1C440" w14:textId="77777777" w:rsidR="003D509B" w:rsidRDefault="003D509B" w:rsidP="00122754">
      <w:pPr>
        <w:spacing w:after="0" w:line="240" w:lineRule="auto"/>
      </w:pPr>
      <w:r>
        <w:separator/>
      </w:r>
    </w:p>
  </w:footnote>
  <w:footnote w:type="continuationSeparator" w:id="0">
    <w:p w14:paraId="28E466B1" w14:textId="77777777" w:rsidR="003D509B" w:rsidRDefault="003D509B" w:rsidP="001227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580"/>
    <w:multiLevelType w:val="hybridMultilevel"/>
    <w:tmpl w:val="F496C6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9C742C1"/>
    <w:multiLevelType w:val="hybridMultilevel"/>
    <w:tmpl w:val="7488E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1B0553"/>
    <w:multiLevelType w:val="hybridMultilevel"/>
    <w:tmpl w:val="E3F49F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17425B5"/>
    <w:multiLevelType w:val="hybridMultilevel"/>
    <w:tmpl w:val="81C4A750"/>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04329E"/>
    <w:multiLevelType w:val="hybridMultilevel"/>
    <w:tmpl w:val="3CA2A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A51C83"/>
    <w:multiLevelType w:val="hybridMultilevel"/>
    <w:tmpl w:val="8F3EC8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B925B0"/>
    <w:multiLevelType w:val="hybridMultilevel"/>
    <w:tmpl w:val="7792855A"/>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367A0E"/>
    <w:multiLevelType w:val="hybridMultilevel"/>
    <w:tmpl w:val="70FE5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E42622"/>
    <w:multiLevelType w:val="hybridMultilevel"/>
    <w:tmpl w:val="84D214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AB610B"/>
    <w:multiLevelType w:val="multilevel"/>
    <w:tmpl w:val="4594AAAE"/>
    <w:lvl w:ilvl="0">
      <w:start w:val="3"/>
      <w:numFmt w:val="decimal"/>
      <w:lvlText w:val="%1"/>
      <w:lvlJc w:val="left"/>
      <w:pPr>
        <w:ind w:left="360" w:hanging="360"/>
      </w:pPr>
      <w:rPr>
        <w:rFonts w:hint="default"/>
        <w:i/>
      </w:rPr>
    </w:lvl>
    <w:lvl w:ilvl="1">
      <w:start w:val="2"/>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15:restartNumberingAfterBreak="0">
    <w:nsid w:val="5F311A25"/>
    <w:multiLevelType w:val="hybridMultilevel"/>
    <w:tmpl w:val="70D29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F90424"/>
    <w:multiLevelType w:val="hybridMultilevel"/>
    <w:tmpl w:val="01568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DF0C7F"/>
    <w:multiLevelType w:val="multilevel"/>
    <w:tmpl w:val="F5E29BB2"/>
    <w:lvl w:ilvl="0">
      <w:start w:val="1"/>
      <w:numFmt w:val="bullet"/>
      <w:lvlText w:val=""/>
      <w:lvlJc w:val="left"/>
      <w:pPr>
        <w:ind w:left="1080" w:hanging="360"/>
      </w:pPr>
      <w:rPr>
        <w:rFonts w:ascii="Symbol" w:hAnsi="Symbol"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num w:numId="1">
    <w:abstractNumId w:val="11"/>
  </w:num>
  <w:num w:numId="2">
    <w:abstractNumId w:val="3"/>
  </w:num>
  <w:num w:numId="3">
    <w:abstractNumId w:val="10"/>
  </w:num>
  <w:num w:numId="4">
    <w:abstractNumId w:val="7"/>
  </w:num>
  <w:num w:numId="5">
    <w:abstractNumId w:val="5"/>
  </w:num>
  <w:num w:numId="6">
    <w:abstractNumId w:val="8"/>
  </w:num>
  <w:num w:numId="7">
    <w:abstractNumId w:val="12"/>
  </w:num>
  <w:num w:numId="8">
    <w:abstractNumId w:val="2"/>
  </w:num>
  <w:num w:numId="9">
    <w:abstractNumId w:val="0"/>
  </w:num>
  <w:num w:numId="10">
    <w:abstractNumId w:val="1"/>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F5A"/>
    <w:rsid w:val="000008F1"/>
    <w:rsid w:val="00000C11"/>
    <w:rsid w:val="00022F44"/>
    <w:rsid w:val="00031E9E"/>
    <w:rsid w:val="00042BB1"/>
    <w:rsid w:val="00047606"/>
    <w:rsid w:val="000550FB"/>
    <w:rsid w:val="00055EB1"/>
    <w:rsid w:val="0006258A"/>
    <w:rsid w:val="00065394"/>
    <w:rsid w:val="00075279"/>
    <w:rsid w:val="000806D3"/>
    <w:rsid w:val="00094311"/>
    <w:rsid w:val="000A3B88"/>
    <w:rsid w:val="000C05C5"/>
    <w:rsid w:val="000C4EAB"/>
    <w:rsid w:val="000C577C"/>
    <w:rsid w:val="000D321C"/>
    <w:rsid w:val="000F2CA2"/>
    <w:rsid w:val="00107322"/>
    <w:rsid w:val="00122754"/>
    <w:rsid w:val="00141EEF"/>
    <w:rsid w:val="0014361D"/>
    <w:rsid w:val="00161D47"/>
    <w:rsid w:val="001668BD"/>
    <w:rsid w:val="00166BC5"/>
    <w:rsid w:val="00177BAC"/>
    <w:rsid w:val="00186631"/>
    <w:rsid w:val="001B16E0"/>
    <w:rsid w:val="001B57A6"/>
    <w:rsid w:val="001B6E81"/>
    <w:rsid w:val="001B7F14"/>
    <w:rsid w:val="001C167C"/>
    <w:rsid w:val="001C511A"/>
    <w:rsid w:val="001C7127"/>
    <w:rsid w:val="001D2CD1"/>
    <w:rsid w:val="001E250A"/>
    <w:rsid w:val="001F519E"/>
    <w:rsid w:val="001F679B"/>
    <w:rsid w:val="0020262E"/>
    <w:rsid w:val="0020327F"/>
    <w:rsid w:val="002069B8"/>
    <w:rsid w:val="0021046C"/>
    <w:rsid w:val="00215217"/>
    <w:rsid w:val="00240039"/>
    <w:rsid w:val="002518AC"/>
    <w:rsid w:val="00264125"/>
    <w:rsid w:val="002760D4"/>
    <w:rsid w:val="00292B96"/>
    <w:rsid w:val="002A29B1"/>
    <w:rsid w:val="002B3DBF"/>
    <w:rsid w:val="002C1C37"/>
    <w:rsid w:val="002C1EA0"/>
    <w:rsid w:val="002F034F"/>
    <w:rsid w:val="002F16E0"/>
    <w:rsid w:val="002F6C89"/>
    <w:rsid w:val="003106FE"/>
    <w:rsid w:val="00325DEE"/>
    <w:rsid w:val="0032730D"/>
    <w:rsid w:val="00327657"/>
    <w:rsid w:val="00354933"/>
    <w:rsid w:val="00354B04"/>
    <w:rsid w:val="00371B57"/>
    <w:rsid w:val="00372E9B"/>
    <w:rsid w:val="00376809"/>
    <w:rsid w:val="00380F4C"/>
    <w:rsid w:val="003968BC"/>
    <w:rsid w:val="003B768D"/>
    <w:rsid w:val="003C0703"/>
    <w:rsid w:val="003C07D8"/>
    <w:rsid w:val="003C505A"/>
    <w:rsid w:val="003D509B"/>
    <w:rsid w:val="003D67BC"/>
    <w:rsid w:val="003E6994"/>
    <w:rsid w:val="003F5E4C"/>
    <w:rsid w:val="00404118"/>
    <w:rsid w:val="00417FC6"/>
    <w:rsid w:val="00422FC7"/>
    <w:rsid w:val="00430894"/>
    <w:rsid w:val="00430A68"/>
    <w:rsid w:val="004311DF"/>
    <w:rsid w:val="0043578F"/>
    <w:rsid w:val="00446885"/>
    <w:rsid w:val="00452C8A"/>
    <w:rsid w:val="00452EB9"/>
    <w:rsid w:val="00460A33"/>
    <w:rsid w:val="00464F5E"/>
    <w:rsid w:val="00480D55"/>
    <w:rsid w:val="0048291B"/>
    <w:rsid w:val="00483B3F"/>
    <w:rsid w:val="0049005B"/>
    <w:rsid w:val="004A411C"/>
    <w:rsid w:val="004B4833"/>
    <w:rsid w:val="004B6977"/>
    <w:rsid w:val="004C2336"/>
    <w:rsid w:val="004C58C8"/>
    <w:rsid w:val="004C72B0"/>
    <w:rsid w:val="004D7458"/>
    <w:rsid w:val="004F1FA7"/>
    <w:rsid w:val="00512BD4"/>
    <w:rsid w:val="00521819"/>
    <w:rsid w:val="00532AF7"/>
    <w:rsid w:val="00536F5A"/>
    <w:rsid w:val="005514EC"/>
    <w:rsid w:val="005561DC"/>
    <w:rsid w:val="00564491"/>
    <w:rsid w:val="00565D12"/>
    <w:rsid w:val="005700CD"/>
    <w:rsid w:val="00576AD6"/>
    <w:rsid w:val="00583538"/>
    <w:rsid w:val="005A197C"/>
    <w:rsid w:val="005A51F6"/>
    <w:rsid w:val="005A590A"/>
    <w:rsid w:val="005B503F"/>
    <w:rsid w:val="005B6A6D"/>
    <w:rsid w:val="005F34F9"/>
    <w:rsid w:val="005F73A9"/>
    <w:rsid w:val="006104C7"/>
    <w:rsid w:val="00612244"/>
    <w:rsid w:val="00612D3D"/>
    <w:rsid w:val="0063383E"/>
    <w:rsid w:val="00642168"/>
    <w:rsid w:val="006503C9"/>
    <w:rsid w:val="006568C4"/>
    <w:rsid w:val="00671AEE"/>
    <w:rsid w:val="0067306C"/>
    <w:rsid w:val="00682BB9"/>
    <w:rsid w:val="00697DCB"/>
    <w:rsid w:val="006A14E1"/>
    <w:rsid w:val="006A4A11"/>
    <w:rsid w:val="006B05F6"/>
    <w:rsid w:val="006B73AB"/>
    <w:rsid w:val="006C2987"/>
    <w:rsid w:val="006C331D"/>
    <w:rsid w:val="006C4494"/>
    <w:rsid w:val="006C5D15"/>
    <w:rsid w:val="006E4274"/>
    <w:rsid w:val="006E7674"/>
    <w:rsid w:val="006F2C68"/>
    <w:rsid w:val="006F5841"/>
    <w:rsid w:val="007009CF"/>
    <w:rsid w:val="00704937"/>
    <w:rsid w:val="0070621C"/>
    <w:rsid w:val="00715974"/>
    <w:rsid w:val="007245B0"/>
    <w:rsid w:val="00725FE4"/>
    <w:rsid w:val="0073166F"/>
    <w:rsid w:val="00742122"/>
    <w:rsid w:val="007527B8"/>
    <w:rsid w:val="007552D4"/>
    <w:rsid w:val="00755B9E"/>
    <w:rsid w:val="007639BC"/>
    <w:rsid w:val="00770253"/>
    <w:rsid w:val="007C151B"/>
    <w:rsid w:val="007C5687"/>
    <w:rsid w:val="007C72AB"/>
    <w:rsid w:val="007D662A"/>
    <w:rsid w:val="007F4EDB"/>
    <w:rsid w:val="007F735E"/>
    <w:rsid w:val="00817C4E"/>
    <w:rsid w:val="0083213C"/>
    <w:rsid w:val="0084481A"/>
    <w:rsid w:val="00853DB0"/>
    <w:rsid w:val="008579D7"/>
    <w:rsid w:val="008636A4"/>
    <w:rsid w:val="00877450"/>
    <w:rsid w:val="0088291F"/>
    <w:rsid w:val="00885556"/>
    <w:rsid w:val="008A01D6"/>
    <w:rsid w:val="008A3C40"/>
    <w:rsid w:val="008C2826"/>
    <w:rsid w:val="008C35E4"/>
    <w:rsid w:val="008E12F6"/>
    <w:rsid w:val="008E2F6C"/>
    <w:rsid w:val="00902F1E"/>
    <w:rsid w:val="00917203"/>
    <w:rsid w:val="0094739F"/>
    <w:rsid w:val="00951083"/>
    <w:rsid w:val="0096404E"/>
    <w:rsid w:val="00971D93"/>
    <w:rsid w:val="009806CF"/>
    <w:rsid w:val="00993C32"/>
    <w:rsid w:val="009A2255"/>
    <w:rsid w:val="009B7E75"/>
    <w:rsid w:val="009D28DF"/>
    <w:rsid w:val="009D7C9F"/>
    <w:rsid w:val="009E7FEF"/>
    <w:rsid w:val="00A000B3"/>
    <w:rsid w:val="00A06D29"/>
    <w:rsid w:val="00A12D87"/>
    <w:rsid w:val="00A13C9A"/>
    <w:rsid w:val="00A14F6A"/>
    <w:rsid w:val="00A267B6"/>
    <w:rsid w:val="00A32766"/>
    <w:rsid w:val="00A338D4"/>
    <w:rsid w:val="00A41EED"/>
    <w:rsid w:val="00A54C1E"/>
    <w:rsid w:val="00A70561"/>
    <w:rsid w:val="00A74115"/>
    <w:rsid w:val="00A82D92"/>
    <w:rsid w:val="00AA25DA"/>
    <w:rsid w:val="00AB6FA2"/>
    <w:rsid w:val="00AC0916"/>
    <w:rsid w:val="00AC4358"/>
    <w:rsid w:val="00AC53A2"/>
    <w:rsid w:val="00AF26D6"/>
    <w:rsid w:val="00B02646"/>
    <w:rsid w:val="00B11FFD"/>
    <w:rsid w:val="00B158C7"/>
    <w:rsid w:val="00B162FB"/>
    <w:rsid w:val="00B17C47"/>
    <w:rsid w:val="00B37A6D"/>
    <w:rsid w:val="00B41C68"/>
    <w:rsid w:val="00B436DD"/>
    <w:rsid w:val="00B625F1"/>
    <w:rsid w:val="00B86391"/>
    <w:rsid w:val="00B93ACC"/>
    <w:rsid w:val="00B96DC6"/>
    <w:rsid w:val="00BB0979"/>
    <w:rsid w:val="00BE3B7B"/>
    <w:rsid w:val="00BF094C"/>
    <w:rsid w:val="00C149C6"/>
    <w:rsid w:val="00C2120D"/>
    <w:rsid w:val="00C23546"/>
    <w:rsid w:val="00C3553E"/>
    <w:rsid w:val="00C36BB7"/>
    <w:rsid w:val="00C5250E"/>
    <w:rsid w:val="00C540D7"/>
    <w:rsid w:val="00C554C1"/>
    <w:rsid w:val="00C732F2"/>
    <w:rsid w:val="00C74087"/>
    <w:rsid w:val="00CB7F9B"/>
    <w:rsid w:val="00CC2098"/>
    <w:rsid w:val="00CC2E47"/>
    <w:rsid w:val="00CD1D71"/>
    <w:rsid w:val="00CD562E"/>
    <w:rsid w:val="00CF0DA2"/>
    <w:rsid w:val="00CF573B"/>
    <w:rsid w:val="00D00719"/>
    <w:rsid w:val="00D026B4"/>
    <w:rsid w:val="00D05E77"/>
    <w:rsid w:val="00D07F74"/>
    <w:rsid w:val="00D17A52"/>
    <w:rsid w:val="00D22A2C"/>
    <w:rsid w:val="00D22E52"/>
    <w:rsid w:val="00D46F00"/>
    <w:rsid w:val="00D50940"/>
    <w:rsid w:val="00D51D24"/>
    <w:rsid w:val="00D56F47"/>
    <w:rsid w:val="00D60DF6"/>
    <w:rsid w:val="00D65A6B"/>
    <w:rsid w:val="00D67EF6"/>
    <w:rsid w:val="00D748DE"/>
    <w:rsid w:val="00D7504D"/>
    <w:rsid w:val="00DA4CE3"/>
    <w:rsid w:val="00DA6CEA"/>
    <w:rsid w:val="00DB287F"/>
    <w:rsid w:val="00DB71F2"/>
    <w:rsid w:val="00DC3F2A"/>
    <w:rsid w:val="00DC697C"/>
    <w:rsid w:val="00DD3C90"/>
    <w:rsid w:val="00DE097A"/>
    <w:rsid w:val="00DE0986"/>
    <w:rsid w:val="00DE5591"/>
    <w:rsid w:val="00DF4741"/>
    <w:rsid w:val="00E018DE"/>
    <w:rsid w:val="00E203C1"/>
    <w:rsid w:val="00E437D8"/>
    <w:rsid w:val="00E45392"/>
    <w:rsid w:val="00E45F41"/>
    <w:rsid w:val="00E62122"/>
    <w:rsid w:val="00E626CD"/>
    <w:rsid w:val="00E65795"/>
    <w:rsid w:val="00E821FC"/>
    <w:rsid w:val="00E9752C"/>
    <w:rsid w:val="00ED33AA"/>
    <w:rsid w:val="00ED59C9"/>
    <w:rsid w:val="00ED787C"/>
    <w:rsid w:val="00EF1451"/>
    <w:rsid w:val="00F051FD"/>
    <w:rsid w:val="00F10CA8"/>
    <w:rsid w:val="00F153B0"/>
    <w:rsid w:val="00F37C68"/>
    <w:rsid w:val="00F50087"/>
    <w:rsid w:val="00F61DF6"/>
    <w:rsid w:val="00F62074"/>
    <w:rsid w:val="00F6671A"/>
    <w:rsid w:val="00F7045F"/>
    <w:rsid w:val="00F8040B"/>
    <w:rsid w:val="00F80B65"/>
    <w:rsid w:val="00F83D53"/>
    <w:rsid w:val="00F96CFA"/>
    <w:rsid w:val="00FC615F"/>
    <w:rsid w:val="00FC6BF1"/>
    <w:rsid w:val="00FD022A"/>
    <w:rsid w:val="00FD6DEF"/>
    <w:rsid w:val="00FF02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CD75B"/>
  <w15:chartTrackingRefBased/>
  <w15:docId w15:val="{13D19396-7D04-40AB-97CB-3153D71E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6E0"/>
    <w:pPr>
      <w:ind w:left="720"/>
      <w:contextualSpacing/>
    </w:pPr>
  </w:style>
  <w:style w:type="paragraph" w:styleId="FootnoteText">
    <w:name w:val="footnote text"/>
    <w:basedOn w:val="Normal"/>
    <w:link w:val="FootnoteTextChar"/>
    <w:uiPriority w:val="99"/>
    <w:semiHidden/>
    <w:unhideWhenUsed/>
    <w:rsid w:val="001227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2754"/>
    <w:rPr>
      <w:sz w:val="20"/>
      <w:szCs w:val="20"/>
    </w:rPr>
  </w:style>
  <w:style w:type="character" w:styleId="FootnoteReference">
    <w:name w:val="footnote reference"/>
    <w:basedOn w:val="DefaultParagraphFont"/>
    <w:uiPriority w:val="99"/>
    <w:semiHidden/>
    <w:unhideWhenUsed/>
    <w:rsid w:val="00122754"/>
    <w:rPr>
      <w:vertAlign w:val="superscript"/>
    </w:rPr>
  </w:style>
  <w:style w:type="paragraph" w:styleId="Header">
    <w:name w:val="header"/>
    <w:basedOn w:val="Normal"/>
    <w:link w:val="HeaderChar"/>
    <w:uiPriority w:val="99"/>
    <w:unhideWhenUsed/>
    <w:rsid w:val="00CB7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F9B"/>
  </w:style>
  <w:style w:type="paragraph" w:styleId="Footer">
    <w:name w:val="footer"/>
    <w:basedOn w:val="Normal"/>
    <w:link w:val="FooterChar"/>
    <w:uiPriority w:val="99"/>
    <w:unhideWhenUsed/>
    <w:rsid w:val="00CB7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F9B"/>
  </w:style>
  <w:style w:type="paragraph" w:styleId="BalloonText">
    <w:name w:val="Balloon Text"/>
    <w:basedOn w:val="Normal"/>
    <w:link w:val="BalloonTextChar"/>
    <w:uiPriority w:val="99"/>
    <w:semiHidden/>
    <w:unhideWhenUsed/>
    <w:rsid w:val="00480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55"/>
    <w:rPr>
      <w:rFonts w:ascii="Segoe UI" w:hAnsi="Segoe UI" w:cs="Segoe UI"/>
      <w:sz w:val="18"/>
      <w:szCs w:val="18"/>
    </w:rPr>
  </w:style>
  <w:style w:type="table" w:styleId="TableGrid">
    <w:name w:val="Table Grid"/>
    <w:basedOn w:val="TableNormal"/>
    <w:uiPriority w:val="59"/>
    <w:rsid w:val="007C7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0B65"/>
    <w:rPr>
      <w:sz w:val="16"/>
      <w:szCs w:val="16"/>
    </w:rPr>
  </w:style>
  <w:style w:type="paragraph" w:styleId="CommentText">
    <w:name w:val="annotation text"/>
    <w:basedOn w:val="Normal"/>
    <w:link w:val="CommentTextChar"/>
    <w:uiPriority w:val="99"/>
    <w:semiHidden/>
    <w:unhideWhenUsed/>
    <w:rsid w:val="00F80B65"/>
    <w:pPr>
      <w:spacing w:line="240" w:lineRule="auto"/>
    </w:pPr>
    <w:rPr>
      <w:sz w:val="20"/>
      <w:szCs w:val="20"/>
    </w:rPr>
  </w:style>
  <w:style w:type="character" w:customStyle="1" w:styleId="CommentTextChar">
    <w:name w:val="Comment Text Char"/>
    <w:basedOn w:val="DefaultParagraphFont"/>
    <w:link w:val="CommentText"/>
    <w:uiPriority w:val="99"/>
    <w:semiHidden/>
    <w:rsid w:val="00F80B65"/>
    <w:rPr>
      <w:sz w:val="20"/>
      <w:szCs w:val="20"/>
    </w:rPr>
  </w:style>
  <w:style w:type="paragraph" w:styleId="CommentSubject">
    <w:name w:val="annotation subject"/>
    <w:basedOn w:val="CommentText"/>
    <w:next w:val="CommentText"/>
    <w:link w:val="CommentSubjectChar"/>
    <w:uiPriority w:val="99"/>
    <w:semiHidden/>
    <w:unhideWhenUsed/>
    <w:rsid w:val="00F80B65"/>
    <w:rPr>
      <w:b/>
      <w:bCs/>
    </w:rPr>
  </w:style>
  <w:style w:type="character" w:customStyle="1" w:styleId="CommentSubjectChar">
    <w:name w:val="Comment Subject Char"/>
    <w:basedOn w:val="CommentTextChar"/>
    <w:link w:val="CommentSubject"/>
    <w:uiPriority w:val="99"/>
    <w:semiHidden/>
    <w:rsid w:val="00F80B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55B79-A331-4DE0-872D-78A2F0472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business count snapshot - June 2021</dc:title>
  <dc:subject/>
  <dc:creator>Northern Territory Government</dc:creator>
  <cp:keywords/>
  <dc:description/>
  <cp:lastModifiedBy>Andrea Ruske</cp:lastModifiedBy>
  <cp:revision>17</cp:revision>
  <cp:lastPrinted>2021-08-25T05:51:00Z</cp:lastPrinted>
  <dcterms:created xsi:type="dcterms:W3CDTF">2021-08-26T01:04:00Z</dcterms:created>
  <dcterms:modified xsi:type="dcterms:W3CDTF">2021-08-27T05:33:00Z</dcterms:modified>
</cp:coreProperties>
</file>