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74D98" w14:textId="77777777" w:rsidR="003C4941" w:rsidRDefault="00A7279C" w:rsidP="00E14D55">
      <w:pPr>
        <w:pStyle w:val="Heading1"/>
        <w:spacing w:before="0" w:after="60"/>
        <w:rPr>
          <w:noProof/>
          <w:lang w:eastAsia="en-AU"/>
        </w:rPr>
      </w:pPr>
      <w:r>
        <w:rPr>
          <w:noProof/>
          <w:lang w:eastAsia="en-AU"/>
        </w:rPr>
        <w:t>Overview</w:t>
      </w:r>
    </w:p>
    <w:p w14:paraId="5E787AE3" w14:textId="3397441A" w:rsidR="008D0664" w:rsidRPr="00D26E03" w:rsidRDefault="00AA0E34" w:rsidP="00B5455B">
      <w:pPr>
        <w:spacing w:after="120"/>
        <w:rPr>
          <w:spacing w:val="-2"/>
          <w:sz w:val="20"/>
          <w:szCs w:val="20"/>
        </w:rPr>
      </w:pPr>
      <w:r w:rsidRPr="00D26E03">
        <w:rPr>
          <w:spacing w:val="-2"/>
          <w:sz w:val="20"/>
          <w:szCs w:val="20"/>
        </w:rPr>
        <w:t>S</w:t>
      </w:r>
      <w:r w:rsidR="002C5A67" w:rsidRPr="00D26E03">
        <w:rPr>
          <w:spacing w:val="-2"/>
          <w:sz w:val="20"/>
          <w:szCs w:val="20"/>
        </w:rPr>
        <w:t>tate fin</w:t>
      </w:r>
      <w:r w:rsidR="005A3021" w:rsidRPr="00D26E03">
        <w:rPr>
          <w:spacing w:val="-2"/>
          <w:sz w:val="20"/>
          <w:szCs w:val="20"/>
        </w:rPr>
        <w:t xml:space="preserve">al demand (SFD) </w:t>
      </w:r>
      <w:r w:rsidR="00576B83" w:rsidRPr="00D26E03">
        <w:rPr>
          <w:spacing w:val="-2"/>
          <w:sz w:val="20"/>
          <w:szCs w:val="20"/>
        </w:rPr>
        <w:t>decreased</w:t>
      </w:r>
      <w:r w:rsidR="008B100B" w:rsidRPr="00D26E03">
        <w:rPr>
          <w:spacing w:val="-2"/>
          <w:sz w:val="20"/>
          <w:szCs w:val="20"/>
        </w:rPr>
        <w:t xml:space="preserve"> </w:t>
      </w:r>
      <w:r w:rsidR="005A3021" w:rsidRPr="00D26E03">
        <w:rPr>
          <w:spacing w:val="-2"/>
          <w:sz w:val="20"/>
          <w:szCs w:val="20"/>
        </w:rPr>
        <w:t xml:space="preserve">by </w:t>
      </w:r>
      <w:r w:rsidR="008B100B" w:rsidRPr="00D26E03">
        <w:rPr>
          <w:spacing w:val="-2"/>
          <w:sz w:val="20"/>
          <w:szCs w:val="20"/>
        </w:rPr>
        <w:t>1.8</w:t>
      </w:r>
      <w:r w:rsidR="002C5A67" w:rsidRPr="00D26E03">
        <w:rPr>
          <w:spacing w:val="-2"/>
          <w:sz w:val="20"/>
          <w:szCs w:val="20"/>
        </w:rPr>
        <w:t xml:space="preserve">% in the </w:t>
      </w:r>
      <w:r w:rsidR="008B100B" w:rsidRPr="00D26E03">
        <w:rPr>
          <w:spacing w:val="-2"/>
          <w:sz w:val="20"/>
          <w:szCs w:val="20"/>
        </w:rPr>
        <w:t xml:space="preserve">March </w:t>
      </w:r>
      <w:r w:rsidR="00722EFE" w:rsidRPr="00D26E03">
        <w:rPr>
          <w:spacing w:val="-2"/>
          <w:sz w:val="20"/>
          <w:szCs w:val="20"/>
        </w:rPr>
        <w:t>quarter</w:t>
      </w:r>
      <w:r w:rsidR="00D9025E">
        <w:rPr>
          <w:spacing w:val="-2"/>
          <w:sz w:val="20"/>
          <w:szCs w:val="20"/>
        </w:rPr>
        <w:t>,</w:t>
      </w:r>
      <w:r w:rsidR="00C84C61">
        <w:rPr>
          <w:spacing w:val="-2"/>
          <w:sz w:val="20"/>
          <w:szCs w:val="20"/>
        </w:rPr>
        <w:t xml:space="preserve"> as st</w:t>
      </w:r>
      <w:r w:rsidR="00D9025E">
        <w:rPr>
          <w:spacing w:val="-2"/>
          <w:sz w:val="20"/>
          <w:szCs w:val="20"/>
        </w:rPr>
        <w:t>ronger consumption (1.0%, contributing</w:t>
      </w:r>
      <w:r w:rsidR="00C84C61">
        <w:rPr>
          <w:spacing w:val="-2"/>
          <w:sz w:val="20"/>
          <w:szCs w:val="20"/>
        </w:rPr>
        <w:t xml:space="preserve"> </w:t>
      </w:r>
      <w:r w:rsidR="00463C84">
        <w:rPr>
          <w:spacing w:val="-2"/>
          <w:sz w:val="20"/>
          <w:szCs w:val="20"/>
        </w:rPr>
        <w:t>0.7</w:t>
      </w:r>
      <w:r w:rsidR="00286620">
        <w:rPr>
          <w:spacing w:val="-2"/>
          <w:sz w:val="20"/>
          <w:szCs w:val="20"/>
        </w:rPr>
        <w:t> </w:t>
      </w:r>
      <w:r w:rsidR="00463C84">
        <w:rPr>
          <w:spacing w:val="-2"/>
          <w:sz w:val="20"/>
          <w:szCs w:val="20"/>
        </w:rPr>
        <w:t>percentage points (</w:t>
      </w:r>
      <w:proofErr w:type="spellStart"/>
      <w:r w:rsidR="00C84C61">
        <w:rPr>
          <w:spacing w:val="-2"/>
          <w:sz w:val="20"/>
          <w:szCs w:val="20"/>
        </w:rPr>
        <w:t>ppt</w:t>
      </w:r>
      <w:proofErr w:type="spellEnd"/>
      <w:r w:rsidR="00463C84">
        <w:rPr>
          <w:spacing w:val="-2"/>
          <w:sz w:val="20"/>
          <w:szCs w:val="20"/>
        </w:rPr>
        <w:t>)</w:t>
      </w:r>
      <w:r w:rsidR="00C84C61">
        <w:rPr>
          <w:spacing w:val="-2"/>
          <w:sz w:val="20"/>
          <w:szCs w:val="20"/>
        </w:rPr>
        <w:t xml:space="preserve"> </w:t>
      </w:r>
      <w:r w:rsidR="00463C84">
        <w:rPr>
          <w:spacing w:val="-2"/>
          <w:sz w:val="20"/>
          <w:szCs w:val="20"/>
        </w:rPr>
        <w:t xml:space="preserve">to </w:t>
      </w:r>
      <w:r w:rsidR="00C84C61">
        <w:rPr>
          <w:spacing w:val="-2"/>
          <w:sz w:val="20"/>
          <w:szCs w:val="20"/>
        </w:rPr>
        <w:t>growth</w:t>
      </w:r>
      <w:r w:rsidR="00D9025E">
        <w:rPr>
          <w:spacing w:val="-2"/>
          <w:sz w:val="20"/>
          <w:szCs w:val="20"/>
        </w:rPr>
        <w:t xml:space="preserve">), was </w:t>
      </w:r>
      <w:r w:rsidR="00C84C61">
        <w:rPr>
          <w:spacing w:val="-2"/>
          <w:sz w:val="20"/>
          <w:szCs w:val="20"/>
        </w:rPr>
        <w:t>more than offset by weaker investment (</w:t>
      </w:r>
      <w:r w:rsidR="00463C84">
        <w:rPr>
          <w:spacing w:val="-2"/>
          <w:sz w:val="20"/>
          <w:szCs w:val="20"/>
        </w:rPr>
        <w:t>-9.3</w:t>
      </w:r>
      <w:r w:rsidR="00C84C61">
        <w:rPr>
          <w:spacing w:val="-2"/>
          <w:sz w:val="20"/>
          <w:szCs w:val="20"/>
        </w:rPr>
        <w:t>%,</w:t>
      </w:r>
      <w:r w:rsidR="00463C84">
        <w:rPr>
          <w:spacing w:val="-2"/>
          <w:sz w:val="20"/>
          <w:szCs w:val="20"/>
        </w:rPr>
        <w:t xml:space="preserve"> -2.5</w:t>
      </w:r>
      <w:r w:rsidR="00C84C61">
        <w:rPr>
          <w:spacing w:val="-2"/>
          <w:sz w:val="20"/>
          <w:szCs w:val="20"/>
        </w:rPr>
        <w:t xml:space="preserve"> </w:t>
      </w:r>
      <w:proofErr w:type="spellStart"/>
      <w:r w:rsidR="00C84C61">
        <w:rPr>
          <w:spacing w:val="-2"/>
          <w:sz w:val="20"/>
          <w:szCs w:val="20"/>
        </w:rPr>
        <w:t>ppt</w:t>
      </w:r>
      <w:proofErr w:type="spellEnd"/>
      <w:r w:rsidR="00C84C61">
        <w:rPr>
          <w:spacing w:val="-2"/>
          <w:sz w:val="20"/>
          <w:szCs w:val="20"/>
        </w:rPr>
        <w:t>).</w:t>
      </w:r>
      <w:r w:rsidR="00E0193F" w:rsidRPr="00D26E03">
        <w:rPr>
          <w:spacing w:val="-2"/>
          <w:sz w:val="20"/>
          <w:szCs w:val="20"/>
        </w:rPr>
        <w:t xml:space="preserve"> </w:t>
      </w:r>
      <w:r w:rsidR="00296152" w:rsidRPr="00D26E03">
        <w:rPr>
          <w:spacing w:val="-2"/>
          <w:sz w:val="20"/>
          <w:szCs w:val="20"/>
        </w:rPr>
        <w:t xml:space="preserve"> </w:t>
      </w:r>
      <w:r w:rsidR="0018100E" w:rsidRPr="00D26E03">
        <w:rPr>
          <w:spacing w:val="-2"/>
          <w:sz w:val="20"/>
          <w:szCs w:val="20"/>
        </w:rPr>
        <w:t>Private investment de</w:t>
      </w:r>
      <w:r w:rsidR="00D9025E">
        <w:rPr>
          <w:spacing w:val="-2"/>
          <w:sz w:val="20"/>
          <w:szCs w:val="20"/>
        </w:rPr>
        <w:t>clined</w:t>
      </w:r>
      <w:r w:rsidR="0018100E" w:rsidRPr="00D26E03">
        <w:rPr>
          <w:spacing w:val="-2"/>
          <w:sz w:val="20"/>
          <w:szCs w:val="20"/>
        </w:rPr>
        <w:t xml:space="preserve"> by 9.8% in the quarter, </w:t>
      </w:r>
      <w:r w:rsidR="00D9025E">
        <w:rPr>
          <w:spacing w:val="-2"/>
          <w:sz w:val="20"/>
          <w:szCs w:val="20"/>
        </w:rPr>
        <w:t>as</w:t>
      </w:r>
      <w:r w:rsidR="003F3FDD">
        <w:rPr>
          <w:spacing w:val="-2"/>
          <w:sz w:val="20"/>
          <w:szCs w:val="20"/>
        </w:rPr>
        <w:t xml:space="preserve"> </w:t>
      </w:r>
      <w:r w:rsidR="00286620">
        <w:rPr>
          <w:spacing w:val="-2"/>
          <w:sz w:val="20"/>
          <w:szCs w:val="20"/>
        </w:rPr>
        <w:t>weaker</w:t>
      </w:r>
      <w:r w:rsidR="00416500" w:rsidRPr="00D26E03">
        <w:rPr>
          <w:spacing w:val="-2"/>
          <w:sz w:val="20"/>
          <w:szCs w:val="20"/>
        </w:rPr>
        <w:t xml:space="preserve"> </w:t>
      </w:r>
      <w:r w:rsidR="0018100E" w:rsidRPr="00D26E03">
        <w:rPr>
          <w:spacing w:val="-2"/>
          <w:sz w:val="20"/>
          <w:szCs w:val="20"/>
        </w:rPr>
        <w:t>mining</w:t>
      </w:r>
      <w:r w:rsidR="003F3FDD">
        <w:rPr>
          <w:spacing w:val="-2"/>
          <w:sz w:val="20"/>
          <w:szCs w:val="20"/>
        </w:rPr>
        <w:t xml:space="preserve">-related </w:t>
      </w:r>
      <w:r w:rsidR="0018100E" w:rsidRPr="00D26E03">
        <w:rPr>
          <w:spacing w:val="-2"/>
          <w:sz w:val="20"/>
          <w:szCs w:val="20"/>
        </w:rPr>
        <w:t xml:space="preserve">investment </w:t>
      </w:r>
      <w:r w:rsidR="00D9025E">
        <w:rPr>
          <w:spacing w:val="-2"/>
          <w:sz w:val="20"/>
          <w:szCs w:val="20"/>
        </w:rPr>
        <w:t>impacted</w:t>
      </w:r>
      <w:r w:rsidR="003F3FDD">
        <w:rPr>
          <w:spacing w:val="-2"/>
          <w:sz w:val="20"/>
          <w:szCs w:val="20"/>
        </w:rPr>
        <w:t xml:space="preserve"> </w:t>
      </w:r>
      <w:r w:rsidR="0018100E" w:rsidRPr="00D26E03">
        <w:rPr>
          <w:spacing w:val="-2"/>
          <w:sz w:val="20"/>
          <w:szCs w:val="20"/>
        </w:rPr>
        <w:t>engineering construction (</w:t>
      </w:r>
      <w:r w:rsidR="00AD2940">
        <w:rPr>
          <w:spacing w:val="-2"/>
          <w:sz w:val="20"/>
          <w:szCs w:val="20"/>
        </w:rPr>
        <w:t>-</w:t>
      </w:r>
      <w:r w:rsidR="0018100E" w:rsidRPr="00D26E03">
        <w:rPr>
          <w:spacing w:val="-2"/>
          <w:sz w:val="20"/>
          <w:szCs w:val="20"/>
        </w:rPr>
        <w:t xml:space="preserve">18.3%) and </w:t>
      </w:r>
      <w:r w:rsidR="00D9025E">
        <w:rPr>
          <w:spacing w:val="-2"/>
          <w:sz w:val="20"/>
          <w:szCs w:val="20"/>
        </w:rPr>
        <w:t xml:space="preserve">purchases of </w:t>
      </w:r>
      <w:r w:rsidR="0018100E" w:rsidRPr="00D26E03">
        <w:rPr>
          <w:spacing w:val="-2"/>
          <w:sz w:val="20"/>
          <w:szCs w:val="20"/>
        </w:rPr>
        <w:t>machinery and equipment (</w:t>
      </w:r>
      <w:r w:rsidR="00AD2940">
        <w:rPr>
          <w:spacing w:val="-2"/>
          <w:sz w:val="20"/>
          <w:szCs w:val="20"/>
        </w:rPr>
        <w:t>-</w:t>
      </w:r>
      <w:r w:rsidR="0018100E" w:rsidRPr="00D26E03">
        <w:rPr>
          <w:spacing w:val="-2"/>
          <w:sz w:val="20"/>
          <w:szCs w:val="20"/>
        </w:rPr>
        <w:t>12.1%)</w:t>
      </w:r>
      <w:r w:rsidR="00FB0D72">
        <w:rPr>
          <w:spacing w:val="-2"/>
          <w:sz w:val="20"/>
          <w:szCs w:val="20"/>
        </w:rPr>
        <w:t xml:space="preserve">. </w:t>
      </w:r>
      <w:r w:rsidR="0094755B">
        <w:rPr>
          <w:spacing w:val="-2"/>
          <w:sz w:val="20"/>
          <w:szCs w:val="20"/>
        </w:rPr>
        <w:t>P</w:t>
      </w:r>
      <w:r w:rsidR="007C4ABC" w:rsidRPr="00D26E03">
        <w:rPr>
          <w:spacing w:val="-2"/>
          <w:sz w:val="20"/>
          <w:szCs w:val="20"/>
        </w:rPr>
        <w:t xml:space="preserve">ublic investment </w:t>
      </w:r>
      <w:r w:rsidR="008D0664" w:rsidRPr="00D26E03">
        <w:rPr>
          <w:spacing w:val="-2"/>
          <w:sz w:val="20"/>
          <w:szCs w:val="20"/>
        </w:rPr>
        <w:t>decreased</w:t>
      </w:r>
      <w:r w:rsidR="002C54DE" w:rsidRPr="00D26E03">
        <w:rPr>
          <w:spacing w:val="-2"/>
          <w:sz w:val="20"/>
          <w:szCs w:val="20"/>
        </w:rPr>
        <w:t xml:space="preserve"> by 8</w:t>
      </w:r>
      <w:r w:rsidR="00C343C4">
        <w:rPr>
          <w:spacing w:val="-2"/>
          <w:sz w:val="20"/>
          <w:szCs w:val="20"/>
        </w:rPr>
        <w:t>.0</w:t>
      </w:r>
      <w:r w:rsidR="002C54DE" w:rsidRPr="00D26E03">
        <w:rPr>
          <w:spacing w:val="-2"/>
          <w:sz w:val="20"/>
          <w:szCs w:val="20"/>
        </w:rPr>
        <w:t>%</w:t>
      </w:r>
      <w:r w:rsidR="008D0664" w:rsidRPr="00D26E03">
        <w:rPr>
          <w:spacing w:val="-2"/>
          <w:sz w:val="20"/>
          <w:szCs w:val="20"/>
        </w:rPr>
        <w:t xml:space="preserve"> in the quarter</w:t>
      </w:r>
      <w:r w:rsidR="0094755B" w:rsidRPr="00D26E03">
        <w:rPr>
          <w:spacing w:val="-2"/>
          <w:sz w:val="20"/>
          <w:szCs w:val="20"/>
        </w:rPr>
        <w:t xml:space="preserve"> as</w:t>
      </w:r>
      <w:r w:rsidRPr="00D26E03">
        <w:rPr>
          <w:spacing w:val="-2"/>
          <w:sz w:val="20"/>
          <w:szCs w:val="20"/>
        </w:rPr>
        <w:t xml:space="preserve"> </w:t>
      </w:r>
      <w:r w:rsidR="00286620">
        <w:rPr>
          <w:spacing w:val="-2"/>
          <w:sz w:val="20"/>
          <w:szCs w:val="20"/>
        </w:rPr>
        <w:t xml:space="preserve">work for </w:t>
      </w:r>
      <w:r w:rsidR="00AD2940">
        <w:rPr>
          <w:spacing w:val="-2"/>
          <w:sz w:val="20"/>
          <w:szCs w:val="20"/>
        </w:rPr>
        <w:t xml:space="preserve">major </w:t>
      </w:r>
      <w:r w:rsidRPr="00D26E03">
        <w:rPr>
          <w:spacing w:val="-2"/>
          <w:sz w:val="20"/>
          <w:szCs w:val="20"/>
        </w:rPr>
        <w:t>road and utilities infrastructure</w:t>
      </w:r>
      <w:r w:rsidR="007165AC" w:rsidRPr="00D26E03">
        <w:rPr>
          <w:spacing w:val="-2"/>
          <w:sz w:val="20"/>
          <w:szCs w:val="20"/>
        </w:rPr>
        <w:t xml:space="preserve"> projects</w:t>
      </w:r>
      <w:r w:rsidRPr="00D26E03">
        <w:rPr>
          <w:spacing w:val="-2"/>
          <w:sz w:val="20"/>
          <w:szCs w:val="20"/>
        </w:rPr>
        <w:t xml:space="preserve"> </w:t>
      </w:r>
      <w:r w:rsidR="00E0193F" w:rsidRPr="00D26E03">
        <w:rPr>
          <w:spacing w:val="-2"/>
          <w:sz w:val="20"/>
          <w:szCs w:val="20"/>
        </w:rPr>
        <w:t xml:space="preserve">neared </w:t>
      </w:r>
      <w:r w:rsidRPr="00D26E03">
        <w:rPr>
          <w:spacing w:val="-2"/>
          <w:sz w:val="20"/>
          <w:szCs w:val="20"/>
        </w:rPr>
        <w:t>completion.</w:t>
      </w:r>
    </w:p>
    <w:p w14:paraId="4F0F38EC" w14:textId="6AA43BD8" w:rsidR="004E1788" w:rsidRPr="00A4273E" w:rsidRDefault="0069339D" w:rsidP="001922D3">
      <w:pPr>
        <w:spacing w:after="120"/>
        <w:rPr>
          <w:spacing w:val="-2"/>
          <w:sz w:val="20"/>
          <w:szCs w:val="20"/>
        </w:rPr>
      </w:pPr>
      <w:r w:rsidRPr="00D26E03">
        <w:rPr>
          <w:spacing w:val="-2"/>
          <w:sz w:val="20"/>
          <w:szCs w:val="20"/>
        </w:rPr>
        <w:t xml:space="preserve">Household </w:t>
      </w:r>
      <w:r w:rsidR="00D908F9" w:rsidRPr="00D26E03">
        <w:rPr>
          <w:spacing w:val="-2"/>
          <w:sz w:val="20"/>
          <w:szCs w:val="20"/>
        </w:rPr>
        <w:t>consumption increased</w:t>
      </w:r>
      <w:r w:rsidR="001922D3" w:rsidRPr="00D26E03">
        <w:rPr>
          <w:spacing w:val="-2"/>
          <w:sz w:val="20"/>
          <w:szCs w:val="20"/>
        </w:rPr>
        <w:t xml:space="preserve"> </w:t>
      </w:r>
      <w:r w:rsidR="0094755B">
        <w:rPr>
          <w:spacing w:val="-2"/>
          <w:sz w:val="20"/>
          <w:szCs w:val="20"/>
        </w:rPr>
        <w:t>by 1.0</w:t>
      </w:r>
      <w:r w:rsidR="00D908F9" w:rsidRPr="00D26E03">
        <w:rPr>
          <w:spacing w:val="-2"/>
          <w:sz w:val="20"/>
          <w:szCs w:val="20"/>
        </w:rPr>
        <w:t>% in the quarter</w:t>
      </w:r>
      <w:r w:rsidR="00ED0ADD" w:rsidRPr="00D26E03">
        <w:rPr>
          <w:spacing w:val="-2"/>
          <w:sz w:val="20"/>
          <w:szCs w:val="20"/>
        </w:rPr>
        <w:t xml:space="preserve">, </w:t>
      </w:r>
      <w:r w:rsidR="003F3FDD">
        <w:rPr>
          <w:spacing w:val="-2"/>
          <w:sz w:val="20"/>
          <w:szCs w:val="20"/>
        </w:rPr>
        <w:t>with</w:t>
      </w:r>
      <w:r w:rsidR="00EF56B6">
        <w:rPr>
          <w:spacing w:val="-2"/>
          <w:sz w:val="20"/>
          <w:szCs w:val="20"/>
        </w:rPr>
        <w:t xml:space="preserve"> a notable</w:t>
      </w:r>
      <w:r w:rsidR="003F3FDD">
        <w:rPr>
          <w:spacing w:val="-2"/>
          <w:sz w:val="20"/>
          <w:szCs w:val="20"/>
        </w:rPr>
        <w:t xml:space="preserve"> </w:t>
      </w:r>
      <w:r w:rsidR="00EF56B6">
        <w:rPr>
          <w:spacing w:val="-2"/>
          <w:sz w:val="20"/>
          <w:szCs w:val="20"/>
        </w:rPr>
        <w:t xml:space="preserve">increase in </w:t>
      </w:r>
      <w:r w:rsidR="00A03982" w:rsidRPr="00A4273E">
        <w:rPr>
          <w:spacing w:val="-2"/>
          <w:sz w:val="20"/>
          <w:szCs w:val="20"/>
        </w:rPr>
        <w:t>electricity</w:t>
      </w:r>
      <w:r w:rsidR="00ED0ADD" w:rsidRPr="00A4273E">
        <w:rPr>
          <w:spacing w:val="-2"/>
          <w:sz w:val="20"/>
          <w:szCs w:val="20"/>
        </w:rPr>
        <w:t xml:space="preserve"> </w:t>
      </w:r>
      <w:r w:rsidR="00EF56B6">
        <w:rPr>
          <w:spacing w:val="-2"/>
          <w:sz w:val="20"/>
          <w:szCs w:val="20"/>
        </w:rPr>
        <w:t xml:space="preserve">spending </w:t>
      </w:r>
      <w:r w:rsidR="00ED0ADD" w:rsidRPr="00A4273E">
        <w:rPr>
          <w:spacing w:val="-2"/>
          <w:sz w:val="20"/>
          <w:szCs w:val="20"/>
        </w:rPr>
        <w:t>(</w:t>
      </w:r>
      <w:r w:rsidR="00131DE3" w:rsidRPr="00A4273E">
        <w:rPr>
          <w:spacing w:val="-2"/>
          <w:sz w:val="20"/>
          <w:szCs w:val="20"/>
        </w:rPr>
        <w:t>12.9%)</w:t>
      </w:r>
      <w:r w:rsidR="007C028C" w:rsidRPr="00A4273E">
        <w:rPr>
          <w:spacing w:val="-2"/>
          <w:sz w:val="20"/>
          <w:szCs w:val="20"/>
        </w:rPr>
        <w:t xml:space="preserve"> </w:t>
      </w:r>
      <w:r w:rsidR="00EF56B6">
        <w:rPr>
          <w:spacing w:val="-2"/>
          <w:sz w:val="20"/>
          <w:szCs w:val="20"/>
        </w:rPr>
        <w:t>due to decrease in</w:t>
      </w:r>
      <w:r w:rsidR="008D24E2" w:rsidRPr="00A4273E">
        <w:rPr>
          <w:spacing w:val="-2"/>
          <w:sz w:val="20"/>
          <w:szCs w:val="20"/>
        </w:rPr>
        <w:t xml:space="preserve"> </w:t>
      </w:r>
      <w:r w:rsidR="0014759F" w:rsidRPr="00A4273E">
        <w:rPr>
          <w:spacing w:val="-2"/>
          <w:sz w:val="20"/>
          <w:szCs w:val="20"/>
        </w:rPr>
        <w:t>energy</w:t>
      </w:r>
      <w:r w:rsidR="007C028C" w:rsidRPr="00A4273E">
        <w:rPr>
          <w:spacing w:val="-2"/>
          <w:sz w:val="20"/>
          <w:szCs w:val="20"/>
        </w:rPr>
        <w:t xml:space="preserve"> rebates</w:t>
      </w:r>
      <w:r w:rsidR="008D24E2" w:rsidRPr="00A4273E">
        <w:rPr>
          <w:spacing w:val="-2"/>
          <w:sz w:val="20"/>
          <w:szCs w:val="20"/>
        </w:rPr>
        <w:t xml:space="preserve"> </w:t>
      </w:r>
      <w:r w:rsidR="00EF56B6">
        <w:rPr>
          <w:spacing w:val="-2"/>
          <w:sz w:val="20"/>
          <w:szCs w:val="20"/>
        </w:rPr>
        <w:t xml:space="preserve">and a rise in demand. Other categories such as </w:t>
      </w:r>
      <w:r w:rsidR="00ED0ADD" w:rsidRPr="00A4273E">
        <w:rPr>
          <w:spacing w:val="-2"/>
          <w:sz w:val="20"/>
          <w:szCs w:val="20"/>
        </w:rPr>
        <w:t>food (1.0%), hotels, accommodation and cafes (1.</w:t>
      </w:r>
      <w:r w:rsidR="00C343C4" w:rsidRPr="00A4273E">
        <w:rPr>
          <w:spacing w:val="-2"/>
          <w:sz w:val="20"/>
          <w:szCs w:val="20"/>
        </w:rPr>
        <w:t>8</w:t>
      </w:r>
      <w:r w:rsidR="00ED0ADD" w:rsidRPr="00A4273E">
        <w:rPr>
          <w:spacing w:val="-2"/>
          <w:sz w:val="20"/>
          <w:szCs w:val="20"/>
        </w:rPr>
        <w:t>%) and transport services (6.8%)</w:t>
      </w:r>
      <w:r w:rsidR="00EF56B6">
        <w:rPr>
          <w:spacing w:val="-2"/>
          <w:sz w:val="20"/>
          <w:szCs w:val="20"/>
        </w:rPr>
        <w:t xml:space="preserve"> also increased</w:t>
      </w:r>
      <w:r w:rsidR="00ED0ADD" w:rsidRPr="00A4273E">
        <w:rPr>
          <w:spacing w:val="-2"/>
          <w:sz w:val="20"/>
          <w:szCs w:val="20"/>
        </w:rPr>
        <w:t>.</w:t>
      </w:r>
      <w:r w:rsidR="004F7051" w:rsidRPr="00A4273E">
        <w:rPr>
          <w:spacing w:val="-2"/>
          <w:sz w:val="20"/>
          <w:szCs w:val="20"/>
        </w:rPr>
        <w:t xml:space="preserve"> </w:t>
      </w:r>
      <w:r w:rsidR="008D77F1" w:rsidRPr="00A4273E">
        <w:rPr>
          <w:spacing w:val="-2"/>
          <w:sz w:val="20"/>
          <w:szCs w:val="20"/>
        </w:rPr>
        <w:t xml:space="preserve">Government consumption increased by </w:t>
      </w:r>
      <w:r w:rsidR="00C343C4" w:rsidRPr="00A4273E">
        <w:rPr>
          <w:spacing w:val="-2"/>
          <w:sz w:val="20"/>
          <w:szCs w:val="20"/>
        </w:rPr>
        <w:t>1.0</w:t>
      </w:r>
      <w:r w:rsidR="008D77F1" w:rsidRPr="00A4273E">
        <w:rPr>
          <w:spacing w:val="-2"/>
          <w:sz w:val="20"/>
          <w:szCs w:val="20"/>
        </w:rPr>
        <w:t>%, s</w:t>
      </w:r>
      <w:r w:rsidR="00A50F92" w:rsidRPr="00A4273E">
        <w:rPr>
          <w:spacing w:val="-2"/>
          <w:sz w:val="20"/>
          <w:szCs w:val="20"/>
        </w:rPr>
        <w:t xml:space="preserve">upported by increased spending </w:t>
      </w:r>
      <w:r w:rsidR="00162373" w:rsidRPr="00A4273E">
        <w:rPr>
          <w:spacing w:val="-2"/>
          <w:sz w:val="20"/>
          <w:szCs w:val="20"/>
        </w:rPr>
        <w:t xml:space="preserve">across </w:t>
      </w:r>
      <w:r w:rsidR="00AD41F4" w:rsidRPr="00A4273E">
        <w:rPr>
          <w:spacing w:val="-2"/>
          <w:sz w:val="20"/>
          <w:szCs w:val="20"/>
        </w:rPr>
        <w:t xml:space="preserve">health and </w:t>
      </w:r>
      <w:r w:rsidR="00A50F92" w:rsidRPr="00A4273E">
        <w:rPr>
          <w:spacing w:val="-2"/>
          <w:sz w:val="20"/>
          <w:szCs w:val="20"/>
        </w:rPr>
        <w:t>social programs.</w:t>
      </w:r>
    </w:p>
    <w:p w14:paraId="16078323" w14:textId="11322E3E" w:rsidR="00E53053" w:rsidRPr="000104F5" w:rsidRDefault="0098698B" w:rsidP="00B5455B">
      <w:pPr>
        <w:spacing w:after="120"/>
        <w:rPr>
          <w:b/>
          <w:spacing w:val="-2"/>
          <w:sz w:val="20"/>
          <w:szCs w:val="20"/>
        </w:rPr>
      </w:pPr>
      <w:r w:rsidRPr="00A4273E">
        <w:rPr>
          <w:bCs/>
          <w:noProof/>
          <w:spacing w:val="-2"/>
          <w:sz w:val="20"/>
          <w:szCs w:val="20"/>
          <w:lang w:eastAsia="en-AU"/>
        </w:rPr>
        <w:t>Given the project</w:t>
      </w:r>
      <w:r w:rsidR="00286620">
        <w:rPr>
          <w:bCs/>
          <w:noProof/>
          <w:spacing w:val="-2"/>
          <w:sz w:val="20"/>
          <w:szCs w:val="20"/>
          <w:lang w:eastAsia="en-AU"/>
        </w:rPr>
        <w:noBreakHyphen/>
      </w:r>
      <w:r w:rsidRPr="00A4273E">
        <w:rPr>
          <w:bCs/>
          <w:noProof/>
          <w:spacing w:val="-2"/>
          <w:sz w:val="20"/>
          <w:szCs w:val="20"/>
          <w:lang w:eastAsia="en-AU"/>
        </w:rPr>
        <w:t xml:space="preserve">based nature of private investment in the </w:t>
      </w:r>
      <w:r w:rsidR="0027620B">
        <w:rPr>
          <w:bCs/>
          <w:noProof/>
          <w:spacing w:val="-2"/>
          <w:sz w:val="20"/>
          <w:szCs w:val="20"/>
          <w:lang w:eastAsia="en-AU"/>
        </w:rPr>
        <w:t>Territory</w:t>
      </w:r>
      <w:r w:rsidR="008F0456" w:rsidRPr="00A4273E">
        <w:rPr>
          <w:bCs/>
          <w:noProof/>
          <w:spacing w:val="-2"/>
          <w:sz w:val="20"/>
          <w:szCs w:val="20"/>
          <w:lang w:eastAsia="en-AU"/>
        </w:rPr>
        <w:t>, sustained growth in t</w:t>
      </w:r>
      <w:r>
        <w:rPr>
          <w:bCs/>
          <w:noProof/>
          <w:spacing w:val="-2"/>
          <w:sz w:val="20"/>
          <w:szCs w:val="20"/>
          <w:lang w:eastAsia="en-AU"/>
        </w:rPr>
        <w:t xml:space="preserve">ourism can </w:t>
      </w:r>
      <w:r w:rsidR="00286620">
        <w:rPr>
          <w:bCs/>
          <w:noProof/>
          <w:spacing w:val="-2"/>
          <w:sz w:val="20"/>
          <w:szCs w:val="20"/>
          <w:lang w:eastAsia="en-AU"/>
        </w:rPr>
        <w:t>have a stabilising impact on domestic economic activity, with significant localised benefits</w:t>
      </w:r>
      <w:r>
        <w:rPr>
          <w:bCs/>
          <w:noProof/>
          <w:spacing w:val="-2"/>
          <w:sz w:val="20"/>
          <w:szCs w:val="20"/>
          <w:lang w:eastAsia="en-AU"/>
        </w:rPr>
        <w:t xml:space="preserve">. </w:t>
      </w:r>
      <w:r w:rsidR="00286620">
        <w:rPr>
          <w:bCs/>
          <w:noProof/>
          <w:spacing w:val="-2"/>
          <w:sz w:val="20"/>
          <w:szCs w:val="20"/>
          <w:lang w:eastAsia="en-AU"/>
        </w:rPr>
        <w:t>Government incentives, t</w:t>
      </w:r>
      <w:r>
        <w:rPr>
          <w:bCs/>
          <w:noProof/>
          <w:spacing w:val="-2"/>
          <w:sz w:val="20"/>
          <w:szCs w:val="20"/>
          <w:lang w:eastAsia="en-AU"/>
        </w:rPr>
        <w:t xml:space="preserve">he recent </w:t>
      </w:r>
      <w:r w:rsidR="007D6E3D" w:rsidRPr="000104F5">
        <w:rPr>
          <w:bCs/>
          <w:noProof/>
          <w:spacing w:val="-2"/>
          <w:sz w:val="20"/>
          <w:szCs w:val="20"/>
          <w:lang w:eastAsia="en-AU"/>
        </w:rPr>
        <w:t xml:space="preserve">easing </w:t>
      </w:r>
      <w:r>
        <w:rPr>
          <w:bCs/>
          <w:noProof/>
          <w:spacing w:val="-2"/>
          <w:sz w:val="20"/>
          <w:szCs w:val="20"/>
          <w:lang w:eastAsia="en-AU"/>
        </w:rPr>
        <w:t>in</w:t>
      </w:r>
      <w:r w:rsidRPr="000104F5">
        <w:rPr>
          <w:bCs/>
          <w:noProof/>
          <w:spacing w:val="-2"/>
          <w:sz w:val="20"/>
          <w:szCs w:val="20"/>
          <w:lang w:eastAsia="en-AU"/>
        </w:rPr>
        <w:t xml:space="preserve"> </w:t>
      </w:r>
      <w:r w:rsidR="007177C3" w:rsidRPr="000104F5">
        <w:rPr>
          <w:bCs/>
          <w:noProof/>
          <w:spacing w:val="-2"/>
          <w:sz w:val="20"/>
          <w:szCs w:val="20"/>
          <w:lang w:eastAsia="en-AU"/>
        </w:rPr>
        <w:t>inflation</w:t>
      </w:r>
      <w:r w:rsidR="00C80F35" w:rsidRPr="00543B7A">
        <w:rPr>
          <w:bCs/>
          <w:noProof/>
          <w:spacing w:val="-2"/>
          <w:sz w:val="20"/>
          <w:szCs w:val="20"/>
          <w:lang w:eastAsia="en-AU"/>
        </w:rPr>
        <w:t xml:space="preserve"> </w:t>
      </w:r>
      <w:r w:rsidR="00286620">
        <w:rPr>
          <w:bCs/>
          <w:noProof/>
          <w:spacing w:val="-2"/>
          <w:sz w:val="20"/>
          <w:szCs w:val="20"/>
          <w:lang w:eastAsia="en-AU"/>
        </w:rPr>
        <w:t xml:space="preserve">and </w:t>
      </w:r>
      <w:r>
        <w:rPr>
          <w:bCs/>
          <w:noProof/>
          <w:spacing w:val="-2"/>
          <w:sz w:val="20"/>
          <w:szCs w:val="20"/>
          <w:lang w:eastAsia="en-AU"/>
        </w:rPr>
        <w:t>growth in real wages</w:t>
      </w:r>
      <w:r w:rsidR="00123C25" w:rsidRPr="00543B7A">
        <w:rPr>
          <w:bCs/>
          <w:noProof/>
          <w:spacing w:val="-2"/>
          <w:sz w:val="20"/>
          <w:szCs w:val="20"/>
          <w:lang w:eastAsia="en-AU"/>
        </w:rPr>
        <w:t xml:space="preserve"> </w:t>
      </w:r>
      <w:r w:rsidR="00202996" w:rsidRPr="00543B7A">
        <w:rPr>
          <w:bCs/>
          <w:noProof/>
          <w:spacing w:val="-2"/>
          <w:sz w:val="20"/>
          <w:szCs w:val="20"/>
          <w:lang w:eastAsia="en-AU"/>
        </w:rPr>
        <w:t>(Chart</w:t>
      </w:r>
      <w:r w:rsidR="004F1E9D">
        <w:rPr>
          <w:bCs/>
          <w:noProof/>
          <w:spacing w:val="-2"/>
          <w:sz w:val="20"/>
          <w:szCs w:val="20"/>
          <w:lang w:eastAsia="en-AU"/>
        </w:rPr>
        <w:t> </w:t>
      </w:r>
      <w:r w:rsidR="00202996" w:rsidRPr="00543B7A">
        <w:rPr>
          <w:bCs/>
          <w:noProof/>
          <w:spacing w:val="-2"/>
          <w:sz w:val="20"/>
          <w:szCs w:val="20"/>
          <w:lang w:eastAsia="en-AU"/>
        </w:rPr>
        <w:t>2</w:t>
      </w:r>
      <w:r w:rsidR="00A36CE7" w:rsidRPr="00543B7A">
        <w:rPr>
          <w:bCs/>
          <w:noProof/>
          <w:spacing w:val="-2"/>
          <w:sz w:val="20"/>
          <w:szCs w:val="20"/>
          <w:lang w:eastAsia="en-AU"/>
        </w:rPr>
        <w:t>)</w:t>
      </w:r>
      <w:r w:rsidR="00286620">
        <w:rPr>
          <w:bCs/>
          <w:noProof/>
          <w:spacing w:val="-2"/>
          <w:sz w:val="20"/>
          <w:szCs w:val="20"/>
          <w:lang w:eastAsia="en-AU"/>
        </w:rPr>
        <w:t xml:space="preserve"> </w:t>
      </w:r>
      <w:r w:rsidR="009272DC">
        <w:rPr>
          <w:bCs/>
          <w:noProof/>
          <w:spacing w:val="-2"/>
          <w:sz w:val="20"/>
          <w:szCs w:val="20"/>
          <w:lang w:eastAsia="en-AU"/>
        </w:rPr>
        <w:t>are</w:t>
      </w:r>
      <w:r w:rsidR="00286620">
        <w:rPr>
          <w:bCs/>
          <w:noProof/>
          <w:spacing w:val="-2"/>
          <w:sz w:val="20"/>
          <w:szCs w:val="20"/>
          <w:lang w:eastAsia="en-AU"/>
        </w:rPr>
        <w:t xml:space="preserve"> support</w:t>
      </w:r>
      <w:r w:rsidR="009272DC">
        <w:rPr>
          <w:bCs/>
          <w:noProof/>
          <w:spacing w:val="-2"/>
          <w:sz w:val="20"/>
          <w:szCs w:val="20"/>
          <w:lang w:eastAsia="en-AU"/>
        </w:rPr>
        <w:t>ing</w:t>
      </w:r>
      <w:r w:rsidR="00286620">
        <w:rPr>
          <w:bCs/>
          <w:noProof/>
          <w:spacing w:val="-2"/>
          <w:sz w:val="20"/>
          <w:szCs w:val="20"/>
          <w:lang w:eastAsia="en-AU"/>
        </w:rPr>
        <w:t xml:space="preserve"> </w:t>
      </w:r>
      <w:r w:rsidR="007D6E3D" w:rsidRPr="00543B7A">
        <w:rPr>
          <w:bCs/>
          <w:noProof/>
          <w:spacing w:val="-2"/>
          <w:sz w:val="20"/>
          <w:szCs w:val="20"/>
          <w:lang w:eastAsia="en-AU"/>
        </w:rPr>
        <w:t>spending</w:t>
      </w:r>
      <w:r w:rsidR="008F0456">
        <w:rPr>
          <w:bCs/>
          <w:noProof/>
          <w:spacing w:val="-2"/>
          <w:sz w:val="20"/>
          <w:szCs w:val="20"/>
          <w:lang w:eastAsia="en-AU"/>
        </w:rPr>
        <w:t xml:space="preserve">, </w:t>
      </w:r>
      <w:r w:rsidR="00286620">
        <w:rPr>
          <w:bCs/>
          <w:noProof/>
          <w:spacing w:val="-2"/>
          <w:sz w:val="20"/>
          <w:szCs w:val="20"/>
          <w:lang w:eastAsia="en-AU"/>
        </w:rPr>
        <w:t xml:space="preserve">but </w:t>
      </w:r>
      <w:r w:rsidR="008F0456">
        <w:rPr>
          <w:spacing w:val="-2"/>
          <w:sz w:val="20"/>
          <w:szCs w:val="20"/>
        </w:rPr>
        <w:t>v</w:t>
      </w:r>
      <w:r w:rsidR="001B1755" w:rsidRPr="00543B7A">
        <w:rPr>
          <w:spacing w:val="-2"/>
          <w:sz w:val="20"/>
          <w:szCs w:val="20"/>
        </w:rPr>
        <w:t>isitation</w:t>
      </w:r>
      <w:r w:rsidR="003F3FDD" w:rsidRPr="00543B7A">
        <w:rPr>
          <w:spacing w:val="-2"/>
          <w:sz w:val="20"/>
          <w:szCs w:val="20"/>
        </w:rPr>
        <w:t xml:space="preserve"> </w:t>
      </w:r>
      <w:r w:rsidR="008F0456">
        <w:rPr>
          <w:spacing w:val="-2"/>
          <w:sz w:val="20"/>
          <w:szCs w:val="20"/>
        </w:rPr>
        <w:t>remains below pre</w:t>
      </w:r>
      <w:r w:rsidR="004F1E9D">
        <w:rPr>
          <w:spacing w:val="-2"/>
          <w:sz w:val="20"/>
          <w:szCs w:val="20"/>
        </w:rPr>
        <w:noBreakHyphen/>
      </w:r>
      <w:r w:rsidR="008F0456">
        <w:rPr>
          <w:spacing w:val="-2"/>
          <w:sz w:val="20"/>
          <w:szCs w:val="20"/>
        </w:rPr>
        <w:t>pandemic leve</w:t>
      </w:r>
      <w:r w:rsidR="009272DC">
        <w:rPr>
          <w:spacing w:val="-2"/>
          <w:sz w:val="20"/>
          <w:szCs w:val="20"/>
        </w:rPr>
        <w:t>ls </w:t>
      </w:r>
      <w:r w:rsidR="00202996" w:rsidRPr="00543B7A">
        <w:rPr>
          <w:spacing w:val="-2"/>
          <w:sz w:val="20"/>
          <w:szCs w:val="20"/>
        </w:rPr>
        <w:t>(Chart 3</w:t>
      </w:r>
      <w:r w:rsidR="008F0456">
        <w:rPr>
          <w:spacing w:val="-2"/>
          <w:sz w:val="20"/>
          <w:szCs w:val="20"/>
        </w:rPr>
        <w:t xml:space="preserve">) and is projected to recover at a </w:t>
      </w:r>
      <w:r w:rsidR="003C20E3">
        <w:rPr>
          <w:spacing w:val="-2"/>
          <w:sz w:val="20"/>
          <w:szCs w:val="20"/>
        </w:rPr>
        <w:t>sluggish</w:t>
      </w:r>
      <w:r w:rsidR="008F0456">
        <w:rPr>
          <w:spacing w:val="-2"/>
          <w:sz w:val="20"/>
          <w:szCs w:val="20"/>
        </w:rPr>
        <w:t xml:space="preserve"> pace</w:t>
      </w:r>
      <w:r w:rsidR="006F4399">
        <w:rPr>
          <w:spacing w:val="-2"/>
          <w:sz w:val="20"/>
          <w:szCs w:val="20"/>
        </w:rPr>
        <w:t xml:space="preserve"> (Chart 4</w:t>
      </w:r>
      <w:r w:rsidR="008F0456">
        <w:rPr>
          <w:spacing w:val="-2"/>
          <w:sz w:val="20"/>
          <w:szCs w:val="20"/>
        </w:rPr>
        <w:t>) a</w:t>
      </w:r>
      <w:r w:rsidR="009272DC">
        <w:rPr>
          <w:spacing w:val="-2"/>
          <w:sz w:val="20"/>
          <w:szCs w:val="20"/>
        </w:rPr>
        <w:t xml:space="preserve">s it </w:t>
      </w:r>
      <w:r w:rsidR="008F0456">
        <w:rPr>
          <w:spacing w:val="-2"/>
          <w:sz w:val="20"/>
          <w:szCs w:val="20"/>
        </w:rPr>
        <w:t>faces several downside risks.</w:t>
      </w:r>
    </w:p>
    <w:tbl>
      <w:tblPr>
        <w:tblStyle w:val="NTGtable1"/>
        <w:tblW w:w="10319" w:type="dxa"/>
        <w:jc w:val="center"/>
        <w:tblLayout w:type="fixed"/>
        <w:tblLook w:val="04A0" w:firstRow="1" w:lastRow="0" w:firstColumn="1" w:lastColumn="0" w:noHBand="0" w:noVBand="1"/>
      </w:tblPr>
      <w:tblGrid>
        <w:gridCol w:w="3514"/>
        <w:gridCol w:w="931"/>
        <w:gridCol w:w="1261"/>
        <w:gridCol w:w="1074"/>
        <w:gridCol w:w="1068"/>
        <w:gridCol w:w="1047"/>
        <w:gridCol w:w="1424"/>
      </w:tblGrid>
      <w:tr w:rsidR="00256555" w:rsidRPr="00EF56B6" w14:paraId="14CE1570" w14:textId="77777777" w:rsidTr="00134500">
        <w:trPr>
          <w:cnfStyle w:val="100000000000" w:firstRow="1" w:lastRow="0" w:firstColumn="0" w:lastColumn="0" w:oddVBand="0" w:evenVBand="0" w:oddHBand="0" w:evenHBand="0" w:firstRowFirstColumn="0" w:firstRowLastColumn="0" w:lastRowFirstColumn="0" w:lastRowLastColumn="0"/>
          <w:trHeight w:val="251"/>
          <w:jc w:val="center"/>
        </w:trPr>
        <w:tc>
          <w:tcPr>
            <w:cnfStyle w:val="001000000100" w:firstRow="0" w:lastRow="0" w:firstColumn="1" w:lastColumn="0" w:oddVBand="0" w:evenVBand="0" w:oddHBand="0" w:evenHBand="0" w:firstRowFirstColumn="1" w:firstRowLastColumn="0" w:lastRowFirstColumn="0" w:lastRowLastColumn="0"/>
            <w:tcW w:w="3514" w:type="dxa"/>
            <w:vAlign w:val="center"/>
          </w:tcPr>
          <w:p w14:paraId="393EA18B" w14:textId="77777777" w:rsidR="00256555" w:rsidRPr="00EF56B6" w:rsidRDefault="00256555" w:rsidP="00256555">
            <w:pPr>
              <w:spacing w:before="0" w:after="0"/>
              <w:jc w:val="center"/>
              <w:rPr>
                <w:rFonts w:ascii="Calibri" w:hAnsi="Calibri"/>
                <w:sz w:val="18"/>
              </w:rPr>
            </w:pPr>
            <w:r w:rsidRPr="00EF56B6">
              <w:rPr>
                <w:rFonts w:ascii="Calibri" w:hAnsi="Calibri"/>
                <w:sz w:val="18"/>
              </w:rPr>
              <w:t>Indicator</w:t>
            </w:r>
          </w:p>
        </w:tc>
        <w:tc>
          <w:tcPr>
            <w:tcW w:w="931" w:type="dxa"/>
            <w:vAlign w:val="center"/>
          </w:tcPr>
          <w:p w14:paraId="32C82471" w14:textId="77777777" w:rsidR="00256555" w:rsidRPr="00EF56B6"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18"/>
              </w:rPr>
            </w:pPr>
            <w:r w:rsidRPr="00EF56B6">
              <w:rPr>
                <w:rFonts w:ascii="Calibri" w:hAnsi="Calibri"/>
                <w:sz w:val="18"/>
              </w:rPr>
              <w:t>Most recent</w:t>
            </w:r>
          </w:p>
        </w:tc>
        <w:tc>
          <w:tcPr>
            <w:tcW w:w="1261" w:type="dxa"/>
            <w:vAlign w:val="center"/>
          </w:tcPr>
          <w:p w14:paraId="432ADFD0" w14:textId="77777777" w:rsidR="00256555" w:rsidRPr="00EF56B6"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18"/>
              </w:rPr>
            </w:pPr>
            <w:r w:rsidRPr="00EF56B6">
              <w:rPr>
                <w:rFonts w:ascii="Calibri" w:hAnsi="Calibri"/>
                <w:sz w:val="18"/>
              </w:rPr>
              <w:t>Measure</w:t>
            </w:r>
          </w:p>
        </w:tc>
        <w:tc>
          <w:tcPr>
            <w:tcW w:w="1074" w:type="dxa"/>
            <w:vAlign w:val="center"/>
          </w:tcPr>
          <w:p w14:paraId="5ED90374" w14:textId="77777777" w:rsidR="00256555" w:rsidRPr="00EF56B6"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18"/>
              </w:rPr>
            </w:pPr>
            <w:r w:rsidRPr="00EF56B6">
              <w:rPr>
                <w:rFonts w:ascii="Calibri" w:hAnsi="Calibri"/>
                <w:sz w:val="18"/>
              </w:rPr>
              <w:t>Period change</w:t>
            </w:r>
            <w:r w:rsidRPr="00EF56B6">
              <w:rPr>
                <w:rFonts w:ascii="Calibri" w:hAnsi="Calibri" w:cs="Calibri"/>
                <w:sz w:val="18"/>
              </w:rPr>
              <w:t>¹</w:t>
            </w:r>
          </w:p>
        </w:tc>
        <w:tc>
          <w:tcPr>
            <w:tcW w:w="1068" w:type="dxa"/>
            <w:vAlign w:val="center"/>
          </w:tcPr>
          <w:p w14:paraId="466671A0" w14:textId="77777777" w:rsidR="00256555" w:rsidRPr="00EF56B6"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18"/>
              </w:rPr>
            </w:pPr>
            <w:r w:rsidRPr="00EF56B6">
              <w:rPr>
                <w:rFonts w:ascii="Calibri" w:hAnsi="Calibri"/>
                <w:sz w:val="18"/>
              </w:rPr>
              <w:t>Annual change</w:t>
            </w:r>
            <w:r w:rsidRPr="00EF56B6">
              <w:rPr>
                <w:rFonts w:ascii="Calibri" w:hAnsi="Calibri" w:cs="Calibri"/>
                <w:sz w:val="18"/>
                <w:vertAlign w:val="superscript"/>
              </w:rPr>
              <w:t>2</w:t>
            </w:r>
          </w:p>
        </w:tc>
        <w:tc>
          <w:tcPr>
            <w:tcW w:w="1047" w:type="dxa"/>
            <w:vAlign w:val="center"/>
          </w:tcPr>
          <w:p w14:paraId="6321E3F6" w14:textId="77777777" w:rsidR="00256555" w:rsidRPr="00EF56B6"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18"/>
              </w:rPr>
            </w:pPr>
            <w:r w:rsidRPr="00EF56B6">
              <w:rPr>
                <w:rFonts w:ascii="Calibri" w:hAnsi="Calibri"/>
                <w:sz w:val="18"/>
              </w:rPr>
              <w:t>Year on Year</w:t>
            </w:r>
            <w:r w:rsidRPr="00EF56B6">
              <w:rPr>
                <w:rFonts w:ascii="Calibri" w:hAnsi="Calibri" w:cs="Calibri"/>
                <w:sz w:val="18"/>
                <w:vertAlign w:val="superscript"/>
              </w:rPr>
              <w:t>3</w:t>
            </w:r>
          </w:p>
        </w:tc>
        <w:tc>
          <w:tcPr>
            <w:tcW w:w="1424" w:type="dxa"/>
            <w:vAlign w:val="center"/>
          </w:tcPr>
          <w:p w14:paraId="2633303B" w14:textId="77777777" w:rsidR="00256555" w:rsidRPr="00EF56B6" w:rsidRDefault="00256555" w:rsidP="00256555">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18"/>
              </w:rPr>
            </w:pPr>
            <w:r w:rsidRPr="00EF56B6">
              <w:rPr>
                <w:rFonts w:ascii="Calibri" w:hAnsi="Calibri"/>
                <w:sz w:val="18"/>
              </w:rPr>
              <w:t>COVID period change</w:t>
            </w:r>
            <w:r w:rsidRPr="00EF56B6">
              <w:rPr>
                <w:rFonts w:ascii="Calibri" w:hAnsi="Calibri"/>
                <w:sz w:val="18"/>
                <w:vertAlign w:val="superscript"/>
              </w:rPr>
              <w:t>4</w:t>
            </w:r>
          </w:p>
        </w:tc>
      </w:tr>
      <w:tr w:rsidR="00B243D8" w:rsidRPr="00EF56B6" w14:paraId="024EEC56"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D9D9D9" w:themeFill="background1" w:themeFillShade="D9"/>
            <w:vAlign w:val="center"/>
          </w:tcPr>
          <w:p w14:paraId="41192089" w14:textId="77777777" w:rsidR="004F7E54" w:rsidRPr="00EF56B6" w:rsidRDefault="004F7E54" w:rsidP="00256555">
            <w:pPr>
              <w:spacing w:before="0" w:after="0"/>
              <w:rPr>
                <w:rFonts w:ascii="Calibri" w:hAnsi="Calibri"/>
                <w:b/>
                <w:sz w:val="18"/>
              </w:rPr>
            </w:pPr>
            <w:r w:rsidRPr="00EF56B6">
              <w:rPr>
                <w:rFonts w:ascii="Calibri" w:hAnsi="Calibri"/>
                <w:b/>
                <w:sz w:val="18"/>
              </w:rPr>
              <w:t>Economic Growth</w:t>
            </w:r>
          </w:p>
        </w:tc>
        <w:tc>
          <w:tcPr>
            <w:tcW w:w="931" w:type="dxa"/>
            <w:shd w:val="clear" w:color="auto" w:fill="D9D9D9" w:themeFill="background1" w:themeFillShade="D9"/>
          </w:tcPr>
          <w:p w14:paraId="7C02001B" w14:textId="77777777" w:rsidR="004F7E54" w:rsidRPr="00EF56B6" w:rsidRDefault="004F7E54"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261" w:type="dxa"/>
            <w:shd w:val="clear" w:color="auto" w:fill="D9D9D9" w:themeFill="background1" w:themeFillShade="D9"/>
          </w:tcPr>
          <w:p w14:paraId="73CB11ED" w14:textId="77777777" w:rsidR="004F7E54" w:rsidRPr="00EF56B6" w:rsidRDefault="001E6821"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rPr>
            </w:pPr>
            <w:r w:rsidRPr="00EF56B6">
              <w:rPr>
                <w:rFonts w:ascii="Calibri" w:hAnsi="Calibri" w:cs="Calibri"/>
                <w:b/>
                <w:color w:val="000000"/>
                <w:sz w:val="18"/>
              </w:rPr>
              <w:t>$B</w:t>
            </w:r>
          </w:p>
        </w:tc>
        <w:tc>
          <w:tcPr>
            <w:tcW w:w="1074" w:type="dxa"/>
            <w:shd w:val="clear" w:color="auto" w:fill="D9D9D9" w:themeFill="background1" w:themeFillShade="D9"/>
          </w:tcPr>
          <w:p w14:paraId="507BB6B2" w14:textId="77777777" w:rsidR="004F7E54" w:rsidRPr="00EF56B6" w:rsidRDefault="004F7E5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68" w:type="dxa"/>
            <w:shd w:val="clear" w:color="auto" w:fill="D9D9D9" w:themeFill="background1" w:themeFillShade="D9"/>
          </w:tcPr>
          <w:p w14:paraId="351C9F69" w14:textId="77777777" w:rsidR="004F7E54" w:rsidRPr="00EF56B6" w:rsidRDefault="004F7E5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47" w:type="dxa"/>
            <w:shd w:val="clear" w:color="auto" w:fill="D9D9D9" w:themeFill="background1" w:themeFillShade="D9"/>
          </w:tcPr>
          <w:p w14:paraId="261C4355" w14:textId="77777777" w:rsidR="004F7E54" w:rsidRPr="00EF56B6" w:rsidRDefault="004F7E5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424" w:type="dxa"/>
            <w:shd w:val="clear" w:color="auto" w:fill="D9D9D9" w:themeFill="background1" w:themeFillShade="D9"/>
            <w:vAlign w:val="center"/>
          </w:tcPr>
          <w:p w14:paraId="254FD299" w14:textId="77777777" w:rsidR="004F7E54" w:rsidRPr="00EF56B6" w:rsidRDefault="004F7E54"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r>
      <w:tr w:rsidR="00B243D8" w:rsidRPr="00EF56B6" w14:paraId="7205BFB2"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28CD4DED" w14:textId="77777777" w:rsidR="00C54EB6" w:rsidRPr="00EF56B6" w:rsidRDefault="00C54EB6"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State final demand (NT) (</w:t>
            </w:r>
            <w:proofErr w:type="spellStart"/>
            <w:r w:rsidRPr="00EF56B6">
              <w:rPr>
                <w:rFonts w:ascii="Calibri" w:hAnsi="Calibri" w:cs="Calibri"/>
                <w:iCs/>
                <w:color w:val="000000"/>
                <w:sz w:val="18"/>
              </w:rPr>
              <w:t>sa</w:t>
            </w:r>
            <w:proofErr w:type="spellEnd"/>
            <w:r w:rsidRPr="00EF56B6">
              <w:rPr>
                <w:rFonts w:ascii="Calibri" w:hAnsi="Calibri" w:cs="Calibri"/>
                <w:iCs/>
                <w:color w:val="000000"/>
                <w:sz w:val="18"/>
              </w:rPr>
              <w:t>)</w:t>
            </w:r>
          </w:p>
        </w:tc>
        <w:tc>
          <w:tcPr>
            <w:tcW w:w="931" w:type="dxa"/>
            <w:shd w:val="clear" w:color="auto" w:fill="auto"/>
            <w:vAlign w:val="center"/>
          </w:tcPr>
          <w:p w14:paraId="673336CB" w14:textId="77777777" w:rsidR="00C54EB6" w:rsidRPr="00EF56B6" w:rsidRDefault="0038654C"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Mar-24</w:t>
            </w:r>
          </w:p>
        </w:tc>
        <w:tc>
          <w:tcPr>
            <w:tcW w:w="1261" w:type="dxa"/>
            <w:shd w:val="clear" w:color="auto" w:fill="auto"/>
            <w:vAlign w:val="center"/>
          </w:tcPr>
          <w:p w14:paraId="32C9F558" w14:textId="77777777" w:rsidR="00C54EB6" w:rsidRPr="00EF56B6" w:rsidRDefault="00ED1EB8"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7.</w:t>
            </w:r>
            <w:r w:rsidR="00050FCC" w:rsidRPr="00EF56B6">
              <w:rPr>
                <w:rFonts w:ascii="Calibri" w:hAnsi="Calibri" w:cs="Calibri"/>
                <w:color w:val="000000"/>
                <w:sz w:val="18"/>
              </w:rPr>
              <w:t>535</w:t>
            </w:r>
          </w:p>
        </w:tc>
        <w:tc>
          <w:tcPr>
            <w:tcW w:w="1074" w:type="dxa"/>
            <w:shd w:val="clear" w:color="auto" w:fill="auto"/>
            <w:vAlign w:val="center"/>
          </w:tcPr>
          <w:p w14:paraId="08D60484" w14:textId="77777777" w:rsidR="00C54EB6" w:rsidRPr="00EF56B6" w:rsidRDefault="00050FCC"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-1.8</w:t>
            </w:r>
            <w:r w:rsidR="00CF1103" w:rsidRPr="00EF56B6">
              <w:rPr>
                <w:rFonts w:ascii="Calibri" w:hAnsi="Calibri" w:cs="Calibri"/>
                <w:color w:val="000000"/>
                <w:sz w:val="18"/>
              </w:rPr>
              <w:t>%</w:t>
            </w:r>
          </w:p>
        </w:tc>
        <w:tc>
          <w:tcPr>
            <w:tcW w:w="1068" w:type="dxa"/>
            <w:shd w:val="clear" w:color="auto" w:fill="auto"/>
            <w:vAlign w:val="center"/>
          </w:tcPr>
          <w:p w14:paraId="157803BD" w14:textId="77777777" w:rsidR="00C54EB6" w:rsidRPr="00EF56B6" w:rsidRDefault="00050FCC" w:rsidP="00050FC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2.6</w:t>
            </w:r>
            <w:r w:rsidR="00CF1103" w:rsidRPr="00EF56B6">
              <w:rPr>
                <w:rFonts w:ascii="Calibri" w:hAnsi="Calibri" w:cs="Calibri"/>
                <w:color w:val="000000"/>
                <w:sz w:val="18"/>
              </w:rPr>
              <w:t>%</w:t>
            </w:r>
          </w:p>
        </w:tc>
        <w:tc>
          <w:tcPr>
            <w:tcW w:w="1047" w:type="dxa"/>
            <w:shd w:val="clear" w:color="auto" w:fill="auto"/>
            <w:vAlign w:val="center"/>
          </w:tcPr>
          <w:p w14:paraId="38341D96" w14:textId="77777777" w:rsidR="00C54EB6" w:rsidRPr="00EF56B6" w:rsidRDefault="00050FCC" w:rsidP="00050FC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2.1</w:t>
            </w:r>
            <w:r w:rsidR="00E00EC5" w:rsidRPr="00EF56B6">
              <w:rPr>
                <w:rFonts w:ascii="Calibri" w:hAnsi="Calibri" w:cs="Calibri"/>
                <w:color w:val="000000"/>
                <w:sz w:val="18"/>
              </w:rPr>
              <w:t>%</w:t>
            </w:r>
          </w:p>
        </w:tc>
        <w:tc>
          <w:tcPr>
            <w:tcW w:w="1424" w:type="dxa"/>
            <w:shd w:val="clear" w:color="auto" w:fill="auto"/>
            <w:vAlign w:val="center"/>
          </w:tcPr>
          <w:p w14:paraId="425FD89C" w14:textId="77777777" w:rsidR="00C54EB6" w:rsidRPr="00EF56B6" w:rsidRDefault="00050FCC" w:rsidP="00050FCC">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17.1</w:t>
            </w:r>
            <w:r w:rsidR="00CF1103" w:rsidRPr="00EF56B6">
              <w:rPr>
                <w:rFonts w:ascii="Calibri" w:hAnsi="Calibri" w:cs="Calibri"/>
                <w:color w:val="000000"/>
                <w:sz w:val="18"/>
              </w:rPr>
              <w:t>%</w:t>
            </w:r>
          </w:p>
        </w:tc>
      </w:tr>
      <w:tr w:rsidR="00797CA2" w:rsidRPr="00EF56B6" w14:paraId="14D11901"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F2F2F2" w:themeFill="background1" w:themeFillShade="F2"/>
            <w:vAlign w:val="center"/>
          </w:tcPr>
          <w:p w14:paraId="61980680" w14:textId="77777777" w:rsidR="00DC1968" w:rsidRPr="00EF56B6" w:rsidRDefault="00DC1968"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ab/>
              <w:t>Consumption</w:t>
            </w:r>
          </w:p>
        </w:tc>
        <w:tc>
          <w:tcPr>
            <w:tcW w:w="931" w:type="dxa"/>
            <w:shd w:val="clear" w:color="auto" w:fill="F2F2F2" w:themeFill="background1" w:themeFillShade="F2"/>
            <w:vAlign w:val="center"/>
          </w:tcPr>
          <w:p w14:paraId="203E39A3" w14:textId="77777777" w:rsidR="00DC1968" w:rsidRPr="00EF56B6" w:rsidRDefault="00DC1968"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261" w:type="dxa"/>
            <w:shd w:val="clear" w:color="auto" w:fill="F2F2F2" w:themeFill="background1" w:themeFillShade="F2"/>
            <w:vAlign w:val="center"/>
          </w:tcPr>
          <w:p w14:paraId="0E35F397" w14:textId="77777777" w:rsidR="00DC1968" w:rsidRPr="00EF56B6" w:rsidDel="001E6821" w:rsidRDefault="00050FCC"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5.695</w:t>
            </w:r>
          </w:p>
        </w:tc>
        <w:tc>
          <w:tcPr>
            <w:tcW w:w="1074" w:type="dxa"/>
            <w:shd w:val="clear" w:color="auto" w:fill="F2F2F2" w:themeFill="background1" w:themeFillShade="F2"/>
            <w:vAlign w:val="center"/>
          </w:tcPr>
          <w:p w14:paraId="46CEA55F" w14:textId="77777777" w:rsidR="00DC1968" w:rsidRPr="00EF56B6" w:rsidRDefault="003F302E" w:rsidP="003F302E">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1.0</w:t>
            </w:r>
            <w:r w:rsidR="00CF1103" w:rsidRPr="00EF56B6">
              <w:rPr>
                <w:rFonts w:ascii="Calibri" w:hAnsi="Calibri" w:cs="Calibri"/>
                <w:color w:val="000000"/>
                <w:sz w:val="18"/>
              </w:rPr>
              <w:t>%</w:t>
            </w:r>
          </w:p>
        </w:tc>
        <w:tc>
          <w:tcPr>
            <w:tcW w:w="1068" w:type="dxa"/>
            <w:shd w:val="clear" w:color="auto" w:fill="F2F2F2" w:themeFill="background1" w:themeFillShade="F2"/>
            <w:vAlign w:val="center"/>
          </w:tcPr>
          <w:p w14:paraId="00AB0C3A" w14:textId="77777777" w:rsidR="00DC1968" w:rsidRPr="00EF56B6" w:rsidRDefault="003F302E" w:rsidP="003F302E">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3.1</w:t>
            </w:r>
            <w:r w:rsidR="00CF1103" w:rsidRPr="00EF56B6">
              <w:rPr>
                <w:rFonts w:ascii="Calibri" w:hAnsi="Calibri" w:cs="Calibri"/>
                <w:color w:val="000000"/>
                <w:sz w:val="18"/>
              </w:rPr>
              <w:t>%</w:t>
            </w:r>
          </w:p>
        </w:tc>
        <w:tc>
          <w:tcPr>
            <w:tcW w:w="1047" w:type="dxa"/>
            <w:shd w:val="clear" w:color="auto" w:fill="F2F2F2" w:themeFill="background1" w:themeFillShade="F2"/>
            <w:vAlign w:val="center"/>
          </w:tcPr>
          <w:p w14:paraId="3D00B0F6" w14:textId="77777777" w:rsidR="00DC1968" w:rsidRPr="00EF56B6" w:rsidRDefault="003F302E" w:rsidP="003F302E">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2.2</w:t>
            </w:r>
            <w:r w:rsidR="00CF1103" w:rsidRPr="00EF56B6">
              <w:rPr>
                <w:rFonts w:ascii="Calibri" w:hAnsi="Calibri" w:cs="Calibri"/>
                <w:color w:val="000000"/>
                <w:sz w:val="18"/>
              </w:rPr>
              <w:t>%</w:t>
            </w:r>
          </w:p>
        </w:tc>
        <w:tc>
          <w:tcPr>
            <w:tcW w:w="1424" w:type="dxa"/>
            <w:shd w:val="clear" w:color="auto" w:fill="F2F2F2" w:themeFill="background1" w:themeFillShade="F2"/>
            <w:vAlign w:val="center"/>
          </w:tcPr>
          <w:p w14:paraId="5E91A76E" w14:textId="77777777" w:rsidR="00DC1968" w:rsidRPr="00EF56B6" w:rsidRDefault="003F302E" w:rsidP="003F302E">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10.5</w:t>
            </w:r>
            <w:r w:rsidR="00CF1103" w:rsidRPr="00EF56B6">
              <w:rPr>
                <w:rFonts w:ascii="Calibri" w:hAnsi="Calibri" w:cs="Calibri"/>
                <w:color w:val="000000"/>
                <w:sz w:val="18"/>
              </w:rPr>
              <w:t>%</w:t>
            </w:r>
          </w:p>
        </w:tc>
      </w:tr>
      <w:tr w:rsidR="00797CA2" w:rsidRPr="00EF56B6" w14:paraId="3C3CCE74"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F2F2F2" w:themeFill="background1" w:themeFillShade="F2"/>
            <w:vAlign w:val="center"/>
          </w:tcPr>
          <w:p w14:paraId="34B90060" w14:textId="77777777" w:rsidR="001E6821" w:rsidRPr="00EF56B6" w:rsidRDefault="00DC1968"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ab/>
              <w:t>Investment</w:t>
            </w:r>
          </w:p>
        </w:tc>
        <w:tc>
          <w:tcPr>
            <w:tcW w:w="931" w:type="dxa"/>
            <w:shd w:val="clear" w:color="auto" w:fill="F2F2F2" w:themeFill="background1" w:themeFillShade="F2"/>
            <w:vAlign w:val="center"/>
          </w:tcPr>
          <w:p w14:paraId="38502184" w14:textId="77777777" w:rsidR="001E6821" w:rsidRPr="00EF56B6" w:rsidRDefault="001E6821"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
        </w:tc>
        <w:tc>
          <w:tcPr>
            <w:tcW w:w="1261" w:type="dxa"/>
            <w:shd w:val="clear" w:color="auto" w:fill="F2F2F2" w:themeFill="background1" w:themeFillShade="F2"/>
            <w:vAlign w:val="center"/>
          </w:tcPr>
          <w:p w14:paraId="75229918" w14:textId="77777777" w:rsidR="001E6821" w:rsidRPr="00EF56B6" w:rsidDel="001E6821" w:rsidRDefault="003F302E" w:rsidP="003F302E">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1.84</w:t>
            </w:r>
          </w:p>
        </w:tc>
        <w:tc>
          <w:tcPr>
            <w:tcW w:w="1074" w:type="dxa"/>
            <w:shd w:val="clear" w:color="auto" w:fill="F2F2F2" w:themeFill="background1" w:themeFillShade="F2"/>
            <w:vAlign w:val="center"/>
          </w:tcPr>
          <w:p w14:paraId="4B582D3F" w14:textId="77777777" w:rsidR="001E6821" w:rsidRPr="00EF56B6" w:rsidRDefault="003F302E" w:rsidP="003F302E">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-9.3</w:t>
            </w:r>
            <w:r w:rsidR="00CF1103" w:rsidRPr="00EF56B6">
              <w:rPr>
                <w:rFonts w:ascii="Calibri" w:hAnsi="Calibri" w:cs="Calibri"/>
                <w:color w:val="000000"/>
                <w:sz w:val="18"/>
              </w:rPr>
              <w:t>%</w:t>
            </w:r>
          </w:p>
        </w:tc>
        <w:tc>
          <w:tcPr>
            <w:tcW w:w="1068" w:type="dxa"/>
            <w:shd w:val="clear" w:color="auto" w:fill="F2F2F2" w:themeFill="background1" w:themeFillShade="F2"/>
            <w:vAlign w:val="center"/>
          </w:tcPr>
          <w:p w14:paraId="10CCA9B9" w14:textId="77777777" w:rsidR="001E6821" w:rsidRPr="00EF56B6" w:rsidRDefault="003F302E" w:rsidP="003F302E">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1.2</w:t>
            </w:r>
            <w:r w:rsidR="00CF1103" w:rsidRPr="00EF56B6">
              <w:rPr>
                <w:rFonts w:ascii="Calibri" w:hAnsi="Calibri" w:cs="Calibri"/>
                <w:color w:val="000000"/>
                <w:sz w:val="18"/>
              </w:rPr>
              <w:t>%</w:t>
            </w:r>
          </w:p>
        </w:tc>
        <w:tc>
          <w:tcPr>
            <w:tcW w:w="1047" w:type="dxa"/>
            <w:shd w:val="clear" w:color="auto" w:fill="F2F2F2" w:themeFill="background1" w:themeFillShade="F2"/>
            <w:vAlign w:val="center"/>
          </w:tcPr>
          <w:p w14:paraId="1697DDE6" w14:textId="77777777" w:rsidR="001E6821" w:rsidRPr="00EF56B6" w:rsidRDefault="003F302E" w:rsidP="003F302E">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2.0</w:t>
            </w:r>
            <w:r w:rsidR="00CF1103" w:rsidRPr="00EF56B6">
              <w:rPr>
                <w:rFonts w:ascii="Calibri" w:hAnsi="Calibri" w:cs="Calibri"/>
                <w:color w:val="000000"/>
                <w:sz w:val="18"/>
              </w:rPr>
              <w:t>%</w:t>
            </w:r>
          </w:p>
        </w:tc>
        <w:tc>
          <w:tcPr>
            <w:tcW w:w="1424" w:type="dxa"/>
            <w:shd w:val="clear" w:color="auto" w:fill="F2F2F2" w:themeFill="background1" w:themeFillShade="F2"/>
            <w:vAlign w:val="center"/>
          </w:tcPr>
          <w:p w14:paraId="5B28832A" w14:textId="77777777" w:rsidR="001E6821" w:rsidRPr="00EF56B6" w:rsidRDefault="003F302E" w:rsidP="003F302E">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38.7</w:t>
            </w:r>
            <w:r w:rsidR="00CF1103" w:rsidRPr="00EF56B6">
              <w:rPr>
                <w:rFonts w:ascii="Calibri" w:hAnsi="Calibri" w:cs="Calibri"/>
                <w:color w:val="000000"/>
                <w:sz w:val="18"/>
              </w:rPr>
              <w:t>%</w:t>
            </w:r>
          </w:p>
        </w:tc>
      </w:tr>
      <w:tr w:rsidR="00B243D8" w:rsidRPr="00EF56B6" w14:paraId="39D17E82"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03C91D13" w14:textId="77777777" w:rsidR="00C54EB6" w:rsidRPr="00EF56B6" w:rsidRDefault="00C54EB6"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Domestic final demand (</w:t>
            </w:r>
            <w:proofErr w:type="spellStart"/>
            <w:r w:rsidRPr="00EF56B6">
              <w:rPr>
                <w:rFonts w:ascii="Calibri" w:hAnsi="Calibri" w:cs="Calibri"/>
                <w:iCs/>
                <w:color w:val="000000"/>
                <w:sz w:val="18"/>
              </w:rPr>
              <w:t>Aus</w:t>
            </w:r>
            <w:proofErr w:type="spellEnd"/>
            <w:r w:rsidRPr="00EF56B6">
              <w:rPr>
                <w:rFonts w:ascii="Calibri" w:hAnsi="Calibri" w:cs="Calibri"/>
                <w:iCs/>
                <w:color w:val="000000"/>
                <w:sz w:val="18"/>
              </w:rPr>
              <w:t>) (</w:t>
            </w:r>
            <w:proofErr w:type="spellStart"/>
            <w:r w:rsidRPr="00EF56B6">
              <w:rPr>
                <w:rFonts w:ascii="Calibri" w:hAnsi="Calibri" w:cs="Calibri"/>
                <w:iCs/>
                <w:color w:val="000000"/>
                <w:sz w:val="18"/>
              </w:rPr>
              <w:t>sa</w:t>
            </w:r>
            <w:proofErr w:type="spellEnd"/>
            <w:r w:rsidRPr="00EF56B6">
              <w:rPr>
                <w:rFonts w:ascii="Calibri" w:hAnsi="Calibri" w:cs="Calibri"/>
                <w:iCs/>
                <w:color w:val="000000"/>
                <w:sz w:val="18"/>
              </w:rPr>
              <w:t>)</w:t>
            </w:r>
          </w:p>
        </w:tc>
        <w:tc>
          <w:tcPr>
            <w:tcW w:w="931" w:type="dxa"/>
            <w:vAlign w:val="center"/>
          </w:tcPr>
          <w:p w14:paraId="556D08B7" w14:textId="77777777" w:rsidR="00C54EB6" w:rsidRPr="00EF56B6" w:rsidRDefault="0038654C"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Mar-24</w:t>
            </w:r>
          </w:p>
        </w:tc>
        <w:tc>
          <w:tcPr>
            <w:tcW w:w="1261" w:type="dxa"/>
            <w:vAlign w:val="center"/>
          </w:tcPr>
          <w:p w14:paraId="52F431C4" w14:textId="77777777" w:rsidR="00C54EB6" w:rsidRPr="00EF56B6" w:rsidRDefault="003F302E" w:rsidP="003F302E">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583.577</w:t>
            </w:r>
          </w:p>
        </w:tc>
        <w:tc>
          <w:tcPr>
            <w:tcW w:w="1074" w:type="dxa"/>
            <w:vAlign w:val="center"/>
          </w:tcPr>
          <w:p w14:paraId="7D260B82" w14:textId="77777777" w:rsidR="00C54EB6" w:rsidRPr="00EF56B6" w:rsidRDefault="003F302E" w:rsidP="003F302E">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0.2</w:t>
            </w:r>
            <w:r w:rsidR="00CF1103" w:rsidRPr="00EF56B6">
              <w:rPr>
                <w:rFonts w:ascii="Calibri" w:hAnsi="Calibri" w:cs="Calibri"/>
                <w:color w:val="000000"/>
                <w:sz w:val="18"/>
              </w:rPr>
              <w:t>%</w:t>
            </w:r>
          </w:p>
        </w:tc>
        <w:tc>
          <w:tcPr>
            <w:tcW w:w="1068" w:type="dxa"/>
            <w:vAlign w:val="center"/>
          </w:tcPr>
          <w:p w14:paraId="37947C3A" w14:textId="77777777" w:rsidR="00C54EB6" w:rsidRPr="00EF56B6" w:rsidRDefault="00CF1103"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w:t>
            </w:r>
            <w:r w:rsidR="00ED1EB8" w:rsidRPr="00EF56B6">
              <w:rPr>
                <w:rFonts w:ascii="Calibri" w:hAnsi="Calibri" w:cs="Calibri"/>
                <w:color w:val="000000"/>
                <w:sz w:val="18"/>
              </w:rPr>
              <w:t>3</w:t>
            </w:r>
            <w:r w:rsidRPr="00EF56B6">
              <w:rPr>
                <w:rFonts w:ascii="Calibri" w:hAnsi="Calibri" w:cs="Calibri"/>
                <w:color w:val="000000"/>
                <w:sz w:val="18"/>
              </w:rPr>
              <w:t>%</w:t>
            </w:r>
          </w:p>
        </w:tc>
        <w:tc>
          <w:tcPr>
            <w:tcW w:w="1047" w:type="dxa"/>
            <w:vAlign w:val="center"/>
          </w:tcPr>
          <w:p w14:paraId="566E9C9A" w14:textId="77777777" w:rsidR="00C54EB6" w:rsidRPr="00EF56B6" w:rsidRDefault="003F302E" w:rsidP="003F302E">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2.7</w:t>
            </w:r>
            <w:r w:rsidR="00CF1103" w:rsidRPr="00EF56B6">
              <w:rPr>
                <w:rFonts w:ascii="Calibri" w:hAnsi="Calibri" w:cs="Calibri"/>
                <w:color w:val="000000"/>
                <w:sz w:val="18"/>
              </w:rPr>
              <w:t>%</w:t>
            </w:r>
          </w:p>
        </w:tc>
        <w:tc>
          <w:tcPr>
            <w:tcW w:w="1424" w:type="dxa"/>
            <w:vAlign w:val="center"/>
          </w:tcPr>
          <w:p w14:paraId="6C7AB07C" w14:textId="77777777" w:rsidR="00C54EB6" w:rsidRPr="00EF56B6" w:rsidRDefault="003F302E" w:rsidP="003F302E">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13.5</w:t>
            </w:r>
            <w:r w:rsidR="00CF1103" w:rsidRPr="00EF56B6">
              <w:rPr>
                <w:rFonts w:ascii="Calibri" w:hAnsi="Calibri" w:cs="Calibri"/>
                <w:color w:val="000000"/>
                <w:sz w:val="18"/>
              </w:rPr>
              <w:t>%</w:t>
            </w:r>
          </w:p>
        </w:tc>
      </w:tr>
      <w:tr w:rsidR="00797CA2" w:rsidRPr="00EF56B6" w14:paraId="60E474CB"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F2F2F2" w:themeFill="background1" w:themeFillShade="F2"/>
            <w:vAlign w:val="center"/>
          </w:tcPr>
          <w:p w14:paraId="34EF05A3" w14:textId="77777777" w:rsidR="00DC1968" w:rsidRPr="00EF56B6" w:rsidRDefault="00DC1968"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ab/>
              <w:t>Consumption</w:t>
            </w:r>
          </w:p>
        </w:tc>
        <w:tc>
          <w:tcPr>
            <w:tcW w:w="931" w:type="dxa"/>
            <w:shd w:val="clear" w:color="auto" w:fill="F2F2F2" w:themeFill="background1" w:themeFillShade="F2"/>
            <w:vAlign w:val="center"/>
          </w:tcPr>
          <w:p w14:paraId="50B811D6" w14:textId="77777777" w:rsidR="00DC1968" w:rsidRPr="00EF56B6" w:rsidRDefault="00DC1968"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
        </w:tc>
        <w:tc>
          <w:tcPr>
            <w:tcW w:w="1261" w:type="dxa"/>
            <w:shd w:val="clear" w:color="auto" w:fill="F2F2F2" w:themeFill="background1" w:themeFillShade="F2"/>
            <w:vAlign w:val="center"/>
          </w:tcPr>
          <w:p w14:paraId="40910D7E" w14:textId="77777777" w:rsidR="00DC1968" w:rsidRPr="00EF56B6" w:rsidDel="001E6821" w:rsidRDefault="003F302E" w:rsidP="003F302E">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440.658</w:t>
            </w:r>
          </w:p>
        </w:tc>
        <w:tc>
          <w:tcPr>
            <w:tcW w:w="1074" w:type="dxa"/>
            <w:shd w:val="clear" w:color="auto" w:fill="F2F2F2" w:themeFill="background1" w:themeFillShade="F2"/>
            <w:vAlign w:val="center"/>
          </w:tcPr>
          <w:p w14:paraId="17BF70F2" w14:textId="77777777" w:rsidR="00DC1968" w:rsidRPr="00EF56B6" w:rsidRDefault="003F302E" w:rsidP="003F302E">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0.6</w:t>
            </w:r>
            <w:r w:rsidR="00CF1103" w:rsidRPr="00EF56B6">
              <w:rPr>
                <w:rFonts w:ascii="Calibri" w:hAnsi="Calibri" w:cs="Calibri"/>
                <w:color w:val="000000"/>
                <w:sz w:val="18"/>
              </w:rPr>
              <w:t>%</w:t>
            </w:r>
          </w:p>
        </w:tc>
        <w:tc>
          <w:tcPr>
            <w:tcW w:w="1068" w:type="dxa"/>
            <w:shd w:val="clear" w:color="auto" w:fill="F2F2F2" w:themeFill="background1" w:themeFillShade="F2"/>
            <w:vAlign w:val="center"/>
          </w:tcPr>
          <w:p w14:paraId="265CA30C" w14:textId="77777777" w:rsidR="00DC1968" w:rsidRPr="00EF56B6" w:rsidRDefault="003F302E" w:rsidP="003F302E">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2.1</w:t>
            </w:r>
            <w:r w:rsidR="00CF1103" w:rsidRPr="00EF56B6">
              <w:rPr>
                <w:rFonts w:ascii="Calibri" w:hAnsi="Calibri" w:cs="Calibri"/>
                <w:color w:val="000000"/>
                <w:sz w:val="18"/>
              </w:rPr>
              <w:t>%</w:t>
            </w:r>
          </w:p>
        </w:tc>
        <w:tc>
          <w:tcPr>
            <w:tcW w:w="1047" w:type="dxa"/>
            <w:shd w:val="clear" w:color="auto" w:fill="F2F2F2" w:themeFill="background1" w:themeFillShade="F2"/>
            <w:vAlign w:val="center"/>
          </w:tcPr>
          <w:p w14:paraId="4AE7C080" w14:textId="77777777" w:rsidR="00DC1968" w:rsidRPr="00EF56B6" w:rsidRDefault="003F302E" w:rsidP="003F302E">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1.9</w:t>
            </w:r>
            <w:r w:rsidR="00CF1103" w:rsidRPr="00EF56B6">
              <w:rPr>
                <w:rFonts w:ascii="Calibri" w:hAnsi="Calibri" w:cs="Calibri"/>
                <w:color w:val="000000"/>
                <w:sz w:val="18"/>
              </w:rPr>
              <w:t>%</w:t>
            </w:r>
          </w:p>
        </w:tc>
        <w:tc>
          <w:tcPr>
            <w:tcW w:w="1424" w:type="dxa"/>
            <w:shd w:val="clear" w:color="auto" w:fill="F2F2F2" w:themeFill="background1" w:themeFillShade="F2"/>
            <w:vAlign w:val="center"/>
          </w:tcPr>
          <w:p w14:paraId="37D0D0BB" w14:textId="77777777" w:rsidR="00DC1968" w:rsidRPr="00EF56B6" w:rsidRDefault="003F302E" w:rsidP="003F302E">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12.4</w:t>
            </w:r>
            <w:r w:rsidR="00CF1103" w:rsidRPr="00EF56B6">
              <w:rPr>
                <w:rFonts w:ascii="Calibri" w:hAnsi="Calibri" w:cs="Calibri"/>
                <w:color w:val="000000"/>
                <w:sz w:val="18"/>
              </w:rPr>
              <w:t>%</w:t>
            </w:r>
          </w:p>
        </w:tc>
      </w:tr>
      <w:tr w:rsidR="00DC1968" w:rsidRPr="00EF56B6" w14:paraId="58C2E4CE"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F2F2F2" w:themeFill="background1" w:themeFillShade="F2"/>
            <w:vAlign w:val="center"/>
          </w:tcPr>
          <w:p w14:paraId="376167F0" w14:textId="77777777" w:rsidR="00DC1968" w:rsidRPr="00EF56B6" w:rsidRDefault="00DC1968"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ab/>
              <w:t>Investment</w:t>
            </w:r>
          </w:p>
        </w:tc>
        <w:tc>
          <w:tcPr>
            <w:tcW w:w="931" w:type="dxa"/>
            <w:shd w:val="clear" w:color="auto" w:fill="F2F2F2" w:themeFill="background1" w:themeFillShade="F2"/>
            <w:vAlign w:val="center"/>
          </w:tcPr>
          <w:p w14:paraId="2EDD3403" w14:textId="77777777" w:rsidR="00DC1968" w:rsidRPr="00EF56B6" w:rsidRDefault="00DC1968"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261" w:type="dxa"/>
            <w:shd w:val="clear" w:color="auto" w:fill="F2F2F2" w:themeFill="background1" w:themeFillShade="F2"/>
            <w:vAlign w:val="center"/>
          </w:tcPr>
          <w:p w14:paraId="7721180D" w14:textId="77777777" w:rsidR="00DC1968" w:rsidRPr="00EF56B6" w:rsidDel="001E6821" w:rsidRDefault="003F302E" w:rsidP="003F302E">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142.919</w:t>
            </w:r>
          </w:p>
        </w:tc>
        <w:tc>
          <w:tcPr>
            <w:tcW w:w="1074" w:type="dxa"/>
            <w:shd w:val="clear" w:color="auto" w:fill="F2F2F2" w:themeFill="background1" w:themeFillShade="F2"/>
            <w:vAlign w:val="center"/>
          </w:tcPr>
          <w:p w14:paraId="4BA49712" w14:textId="77777777" w:rsidR="00DC1968" w:rsidRPr="00EF56B6" w:rsidRDefault="003F302E" w:rsidP="003F302E">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-0.9</w:t>
            </w:r>
            <w:r w:rsidR="00CF1103" w:rsidRPr="00EF56B6">
              <w:rPr>
                <w:rFonts w:ascii="Calibri" w:hAnsi="Calibri" w:cs="Calibri"/>
                <w:color w:val="000000"/>
                <w:sz w:val="18"/>
              </w:rPr>
              <w:t>%</w:t>
            </w:r>
          </w:p>
        </w:tc>
        <w:tc>
          <w:tcPr>
            <w:tcW w:w="1068" w:type="dxa"/>
            <w:shd w:val="clear" w:color="auto" w:fill="F2F2F2" w:themeFill="background1" w:themeFillShade="F2"/>
            <w:vAlign w:val="center"/>
          </w:tcPr>
          <w:p w14:paraId="04445A32" w14:textId="77777777" w:rsidR="00DC1968" w:rsidRPr="00EF56B6" w:rsidRDefault="003F302E" w:rsidP="003F302E">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2.9</w:t>
            </w:r>
            <w:r w:rsidR="00CF1103" w:rsidRPr="00EF56B6">
              <w:rPr>
                <w:rFonts w:ascii="Calibri" w:hAnsi="Calibri" w:cs="Calibri"/>
                <w:color w:val="000000"/>
                <w:sz w:val="18"/>
              </w:rPr>
              <w:t>%</w:t>
            </w:r>
          </w:p>
        </w:tc>
        <w:tc>
          <w:tcPr>
            <w:tcW w:w="1047" w:type="dxa"/>
            <w:shd w:val="clear" w:color="auto" w:fill="F2F2F2" w:themeFill="background1" w:themeFillShade="F2"/>
            <w:vAlign w:val="center"/>
          </w:tcPr>
          <w:p w14:paraId="4D44DCAC" w14:textId="77777777" w:rsidR="00DC1968" w:rsidRPr="00EF56B6" w:rsidRDefault="00ED1EB8"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5.4</w:t>
            </w:r>
            <w:r w:rsidR="00CF1103" w:rsidRPr="00EF56B6">
              <w:rPr>
                <w:rFonts w:ascii="Calibri" w:hAnsi="Calibri" w:cs="Calibri"/>
                <w:color w:val="000000"/>
                <w:sz w:val="18"/>
              </w:rPr>
              <w:t>%</w:t>
            </w:r>
          </w:p>
        </w:tc>
        <w:tc>
          <w:tcPr>
            <w:tcW w:w="1424" w:type="dxa"/>
            <w:shd w:val="clear" w:color="auto" w:fill="F2F2F2" w:themeFill="background1" w:themeFillShade="F2"/>
            <w:vAlign w:val="center"/>
          </w:tcPr>
          <w:p w14:paraId="65D28846" w14:textId="77777777" w:rsidR="00DC1968" w:rsidRPr="00EF56B6" w:rsidRDefault="003F302E" w:rsidP="003F302E">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17.2</w:t>
            </w:r>
            <w:r w:rsidR="00CF1103" w:rsidRPr="00EF56B6">
              <w:rPr>
                <w:rFonts w:ascii="Calibri" w:hAnsi="Calibri" w:cs="Calibri"/>
                <w:color w:val="000000"/>
                <w:sz w:val="18"/>
              </w:rPr>
              <w:t>%</w:t>
            </w:r>
          </w:p>
        </w:tc>
      </w:tr>
      <w:tr w:rsidR="00B243D8" w:rsidRPr="00EF56B6" w14:paraId="07F8696D"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47D0AAF2" w14:textId="77777777" w:rsidR="00C54EB6" w:rsidRPr="00EF56B6" w:rsidRDefault="00C54EB6"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Gross state product (NT)</w:t>
            </w:r>
          </w:p>
        </w:tc>
        <w:tc>
          <w:tcPr>
            <w:tcW w:w="931" w:type="dxa"/>
            <w:shd w:val="clear" w:color="auto" w:fill="auto"/>
            <w:vAlign w:val="center"/>
          </w:tcPr>
          <w:p w14:paraId="2B3AE646" w14:textId="77777777" w:rsidR="00C54EB6" w:rsidRPr="00EF56B6" w:rsidRDefault="00CF1103"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202</w:t>
            </w:r>
            <w:r w:rsidR="00F96702" w:rsidRPr="00EF56B6">
              <w:rPr>
                <w:rFonts w:ascii="Calibri" w:hAnsi="Calibri" w:cs="Calibri"/>
                <w:color w:val="000000"/>
                <w:sz w:val="18"/>
              </w:rPr>
              <w:t>2</w:t>
            </w:r>
            <w:r w:rsidRPr="00EF56B6">
              <w:rPr>
                <w:rFonts w:ascii="Calibri" w:hAnsi="Calibri" w:cs="Calibri"/>
                <w:color w:val="000000"/>
                <w:sz w:val="18"/>
              </w:rPr>
              <w:t>-2</w:t>
            </w:r>
            <w:r w:rsidR="00F96702" w:rsidRPr="00EF56B6">
              <w:rPr>
                <w:rFonts w:ascii="Calibri" w:hAnsi="Calibri" w:cs="Calibri"/>
                <w:color w:val="000000"/>
                <w:sz w:val="18"/>
              </w:rPr>
              <w:t>3</w:t>
            </w:r>
          </w:p>
        </w:tc>
        <w:tc>
          <w:tcPr>
            <w:tcW w:w="1261" w:type="dxa"/>
            <w:shd w:val="clear" w:color="auto" w:fill="auto"/>
            <w:vAlign w:val="center"/>
          </w:tcPr>
          <w:p w14:paraId="0DA0D58A" w14:textId="77777777" w:rsidR="00C54EB6" w:rsidRPr="00EF56B6" w:rsidRDefault="00F96702"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30</w:t>
            </w:r>
            <w:r w:rsidR="00CF1103" w:rsidRPr="00EF56B6">
              <w:rPr>
                <w:rFonts w:ascii="Calibri" w:hAnsi="Calibri" w:cs="Calibri"/>
                <w:color w:val="000000"/>
                <w:sz w:val="18"/>
              </w:rPr>
              <w:t>.</w:t>
            </w:r>
            <w:r w:rsidRPr="00EF56B6">
              <w:rPr>
                <w:rFonts w:ascii="Calibri" w:hAnsi="Calibri" w:cs="Calibri"/>
                <w:color w:val="000000"/>
                <w:sz w:val="18"/>
              </w:rPr>
              <w:t>123</w:t>
            </w:r>
          </w:p>
        </w:tc>
        <w:tc>
          <w:tcPr>
            <w:tcW w:w="1074" w:type="dxa"/>
            <w:shd w:val="clear" w:color="auto" w:fill="auto"/>
            <w:vAlign w:val="center"/>
          </w:tcPr>
          <w:p w14:paraId="6E2CB4E5" w14:textId="77777777" w:rsidR="00C54EB6" w:rsidRPr="00EF56B6" w:rsidRDefault="00CF1103"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roofErr w:type="spellStart"/>
            <w:r w:rsidRPr="00EF56B6">
              <w:rPr>
                <w:rFonts w:ascii="Calibri" w:hAnsi="Calibri" w:cs="Calibri"/>
                <w:color w:val="000000"/>
                <w:sz w:val="18"/>
              </w:rPr>
              <w:t>na</w:t>
            </w:r>
            <w:proofErr w:type="spellEnd"/>
          </w:p>
        </w:tc>
        <w:tc>
          <w:tcPr>
            <w:tcW w:w="1068" w:type="dxa"/>
            <w:shd w:val="clear" w:color="auto" w:fill="auto"/>
            <w:vAlign w:val="center"/>
          </w:tcPr>
          <w:p w14:paraId="4424A403" w14:textId="77777777" w:rsidR="00C54EB6" w:rsidRPr="00EF56B6" w:rsidRDefault="00CF1103"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roofErr w:type="spellStart"/>
            <w:r w:rsidRPr="00EF56B6">
              <w:rPr>
                <w:rFonts w:ascii="Calibri" w:hAnsi="Calibri" w:cs="Calibri"/>
                <w:color w:val="000000"/>
                <w:sz w:val="18"/>
              </w:rPr>
              <w:t>na</w:t>
            </w:r>
            <w:proofErr w:type="spellEnd"/>
            <w:r w:rsidRPr="00EF56B6">
              <w:rPr>
                <w:rFonts w:ascii="Calibri" w:hAnsi="Calibri" w:cs="Calibri"/>
                <w:color w:val="000000"/>
                <w:sz w:val="18"/>
              </w:rPr>
              <w:t xml:space="preserve"> </w:t>
            </w:r>
          </w:p>
        </w:tc>
        <w:tc>
          <w:tcPr>
            <w:tcW w:w="1047" w:type="dxa"/>
            <w:shd w:val="clear" w:color="auto" w:fill="auto"/>
            <w:vAlign w:val="center"/>
          </w:tcPr>
          <w:p w14:paraId="4CB4D371" w14:textId="77777777" w:rsidR="00C54EB6" w:rsidRPr="00EF56B6" w:rsidRDefault="00F96702"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-5.2</w:t>
            </w:r>
            <w:r w:rsidR="00CF1103" w:rsidRPr="00EF56B6">
              <w:rPr>
                <w:rFonts w:ascii="Calibri" w:hAnsi="Calibri" w:cs="Calibri"/>
                <w:color w:val="000000"/>
                <w:sz w:val="18"/>
              </w:rPr>
              <w:t>%</w:t>
            </w:r>
          </w:p>
        </w:tc>
        <w:tc>
          <w:tcPr>
            <w:tcW w:w="1424" w:type="dxa"/>
            <w:shd w:val="clear" w:color="auto" w:fill="auto"/>
            <w:vAlign w:val="center"/>
          </w:tcPr>
          <w:p w14:paraId="50207369" w14:textId="77777777" w:rsidR="00C54EB6" w:rsidRPr="00EF56B6" w:rsidRDefault="00CF1103"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roofErr w:type="spellStart"/>
            <w:r w:rsidRPr="00EF56B6">
              <w:rPr>
                <w:rFonts w:ascii="Calibri" w:hAnsi="Calibri" w:cs="Calibri"/>
                <w:color w:val="000000"/>
                <w:sz w:val="18"/>
              </w:rPr>
              <w:t>na</w:t>
            </w:r>
            <w:proofErr w:type="spellEnd"/>
            <w:r w:rsidRPr="00EF56B6">
              <w:rPr>
                <w:rFonts w:ascii="Calibri" w:hAnsi="Calibri" w:cs="Calibri"/>
                <w:color w:val="000000"/>
                <w:sz w:val="18"/>
              </w:rPr>
              <w:t xml:space="preserve"> </w:t>
            </w:r>
          </w:p>
        </w:tc>
      </w:tr>
      <w:tr w:rsidR="00B243D8" w:rsidRPr="00EF56B6" w14:paraId="238AE15A"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5FF12BC0" w14:textId="77777777" w:rsidR="00937C11" w:rsidRPr="00EF56B6" w:rsidRDefault="00720F41"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Gross domestic product (</w:t>
            </w:r>
            <w:proofErr w:type="spellStart"/>
            <w:r w:rsidRPr="00EF56B6">
              <w:rPr>
                <w:rFonts w:ascii="Calibri" w:hAnsi="Calibri" w:cs="Calibri"/>
                <w:iCs/>
                <w:color w:val="000000"/>
                <w:sz w:val="18"/>
              </w:rPr>
              <w:t>Aus</w:t>
            </w:r>
            <w:proofErr w:type="spellEnd"/>
            <w:r w:rsidR="00937C11" w:rsidRPr="00EF56B6">
              <w:rPr>
                <w:rFonts w:ascii="Calibri" w:hAnsi="Calibri" w:cs="Calibri"/>
                <w:iCs/>
                <w:color w:val="000000"/>
                <w:sz w:val="18"/>
              </w:rPr>
              <w:t>)</w:t>
            </w:r>
          </w:p>
        </w:tc>
        <w:tc>
          <w:tcPr>
            <w:tcW w:w="931" w:type="dxa"/>
            <w:vAlign w:val="center"/>
          </w:tcPr>
          <w:p w14:paraId="42284495" w14:textId="77777777" w:rsidR="00937C11" w:rsidRPr="00EF56B6" w:rsidRDefault="00934BDD"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2022-23</w:t>
            </w:r>
          </w:p>
        </w:tc>
        <w:tc>
          <w:tcPr>
            <w:tcW w:w="1261" w:type="dxa"/>
            <w:vAlign w:val="center"/>
          </w:tcPr>
          <w:p w14:paraId="1DDBEE2F" w14:textId="77777777" w:rsidR="00937C11" w:rsidRPr="00EF56B6" w:rsidRDefault="00ED1EB8"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2406</w:t>
            </w:r>
            <w:r w:rsidR="00934BDD" w:rsidRPr="00EF56B6">
              <w:rPr>
                <w:rFonts w:ascii="Calibri" w:hAnsi="Calibri" w:cs="Calibri"/>
                <w:color w:val="000000"/>
                <w:sz w:val="18"/>
              </w:rPr>
              <w:t>.</w:t>
            </w:r>
            <w:r w:rsidRPr="00EF56B6">
              <w:rPr>
                <w:rFonts w:ascii="Calibri" w:hAnsi="Calibri" w:cs="Calibri"/>
                <w:color w:val="000000"/>
                <w:sz w:val="18"/>
              </w:rPr>
              <w:t>726</w:t>
            </w:r>
          </w:p>
        </w:tc>
        <w:tc>
          <w:tcPr>
            <w:tcW w:w="1074" w:type="dxa"/>
            <w:vAlign w:val="center"/>
          </w:tcPr>
          <w:p w14:paraId="194D43B0" w14:textId="77777777" w:rsidR="00937C11" w:rsidRPr="00EF56B6" w:rsidRDefault="001C0CA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roofErr w:type="spellStart"/>
            <w:r w:rsidRPr="00EF56B6">
              <w:rPr>
                <w:rFonts w:ascii="Calibri" w:hAnsi="Calibri" w:cs="Calibri"/>
                <w:color w:val="000000"/>
                <w:sz w:val="18"/>
              </w:rPr>
              <w:t>na</w:t>
            </w:r>
            <w:proofErr w:type="spellEnd"/>
          </w:p>
        </w:tc>
        <w:tc>
          <w:tcPr>
            <w:tcW w:w="1068" w:type="dxa"/>
            <w:vAlign w:val="center"/>
          </w:tcPr>
          <w:p w14:paraId="442A7CC5" w14:textId="77777777" w:rsidR="00937C11" w:rsidRPr="00EF56B6" w:rsidRDefault="001C0CA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roofErr w:type="spellStart"/>
            <w:r w:rsidRPr="00EF56B6">
              <w:rPr>
                <w:rFonts w:ascii="Calibri" w:hAnsi="Calibri" w:cs="Calibri"/>
                <w:color w:val="000000"/>
                <w:sz w:val="18"/>
              </w:rPr>
              <w:t>na</w:t>
            </w:r>
            <w:proofErr w:type="spellEnd"/>
            <w:r w:rsidR="00CF1103" w:rsidRPr="00EF56B6">
              <w:rPr>
                <w:rFonts w:ascii="Calibri" w:hAnsi="Calibri" w:cs="Calibri"/>
                <w:color w:val="000000"/>
                <w:sz w:val="18"/>
              </w:rPr>
              <w:t xml:space="preserve"> </w:t>
            </w:r>
          </w:p>
        </w:tc>
        <w:tc>
          <w:tcPr>
            <w:tcW w:w="1047" w:type="dxa"/>
            <w:vAlign w:val="center"/>
          </w:tcPr>
          <w:p w14:paraId="2D01767F" w14:textId="77777777" w:rsidR="00937C11" w:rsidRPr="00EF56B6" w:rsidRDefault="00CF1103"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3.</w:t>
            </w:r>
            <w:r w:rsidR="00ED1EB8" w:rsidRPr="00EF56B6">
              <w:rPr>
                <w:rFonts w:ascii="Calibri" w:hAnsi="Calibri" w:cs="Calibri"/>
                <w:color w:val="000000"/>
                <w:sz w:val="18"/>
              </w:rPr>
              <w:t>2</w:t>
            </w:r>
            <w:r w:rsidRPr="00EF56B6">
              <w:rPr>
                <w:rFonts w:ascii="Calibri" w:hAnsi="Calibri" w:cs="Calibri"/>
                <w:color w:val="000000"/>
                <w:sz w:val="18"/>
              </w:rPr>
              <w:t>%</w:t>
            </w:r>
          </w:p>
        </w:tc>
        <w:tc>
          <w:tcPr>
            <w:tcW w:w="1424" w:type="dxa"/>
            <w:vAlign w:val="center"/>
          </w:tcPr>
          <w:p w14:paraId="2C2BB350" w14:textId="77777777" w:rsidR="00937C11" w:rsidRPr="00EF56B6" w:rsidRDefault="001C0CA4"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roofErr w:type="spellStart"/>
            <w:r w:rsidRPr="00EF56B6">
              <w:rPr>
                <w:rFonts w:ascii="Calibri" w:hAnsi="Calibri" w:cs="Calibri"/>
                <w:color w:val="000000"/>
                <w:sz w:val="18"/>
              </w:rPr>
              <w:t>na</w:t>
            </w:r>
            <w:proofErr w:type="spellEnd"/>
          </w:p>
        </w:tc>
      </w:tr>
      <w:tr w:rsidR="00B243D8" w:rsidRPr="00EF56B6" w14:paraId="729B858D"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21F3F2A5" w14:textId="77777777" w:rsidR="004F7E54" w:rsidRPr="00EF56B6" w:rsidRDefault="004F7E54" w:rsidP="00256555">
            <w:pPr>
              <w:spacing w:before="0" w:after="0"/>
              <w:rPr>
                <w:rFonts w:ascii="Calibri" w:hAnsi="Calibri"/>
                <w:b/>
                <w:sz w:val="18"/>
              </w:rPr>
            </w:pPr>
            <w:r w:rsidRPr="00EF56B6">
              <w:rPr>
                <w:rFonts w:ascii="Calibri" w:hAnsi="Calibri"/>
                <w:b/>
                <w:sz w:val="18"/>
              </w:rPr>
              <w:t>Partial Indicators</w:t>
            </w:r>
          </w:p>
        </w:tc>
        <w:tc>
          <w:tcPr>
            <w:tcW w:w="931" w:type="dxa"/>
            <w:vAlign w:val="center"/>
          </w:tcPr>
          <w:p w14:paraId="26B05938" w14:textId="77777777" w:rsidR="004F7E54" w:rsidRPr="00EF56B6" w:rsidRDefault="004F7E5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261" w:type="dxa"/>
            <w:vAlign w:val="center"/>
          </w:tcPr>
          <w:p w14:paraId="565B7270" w14:textId="77777777" w:rsidR="004F7E54" w:rsidRPr="00EF56B6" w:rsidRDefault="001034F8"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rPr>
            </w:pPr>
            <w:r w:rsidRPr="00EF56B6">
              <w:rPr>
                <w:rFonts w:ascii="Calibri" w:hAnsi="Calibri" w:cs="Calibri"/>
                <w:b/>
                <w:color w:val="000000"/>
                <w:sz w:val="18"/>
              </w:rPr>
              <w:t>$B</w:t>
            </w:r>
          </w:p>
        </w:tc>
        <w:tc>
          <w:tcPr>
            <w:tcW w:w="1074" w:type="dxa"/>
            <w:vAlign w:val="center"/>
          </w:tcPr>
          <w:p w14:paraId="0D421C44" w14:textId="77777777" w:rsidR="004F7E54" w:rsidRPr="00EF56B6"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068" w:type="dxa"/>
            <w:vAlign w:val="center"/>
          </w:tcPr>
          <w:p w14:paraId="3C430D8F" w14:textId="77777777" w:rsidR="004F7E54" w:rsidRPr="00EF56B6"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047" w:type="dxa"/>
            <w:vAlign w:val="center"/>
          </w:tcPr>
          <w:p w14:paraId="736BEAE8" w14:textId="77777777" w:rsidR="004F7E54" w:rsidRPr="00EF56B6"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424" w:type="dxa"/>
            <w:vAlign w:val="center"/>
          </w:tcPr>
          <w:p w14:paraId="0E1FBCD2" w14:textId="77777777" w:rsidR="004F7E54" w:rsidRPr="00EF56B6" w:rsidRDefault="004F7E54"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r>
      <w:tr w:rsidR="00B243D8" w:rsidRPr="00EF56B6" w14:paraId="06F121CE"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535F5414" w14:textId="77777777" w:rsidR="00D76F16" w:rsidRPr="00EF56B6" w:rsidRDefault="00D76F16"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Nominal retail sales (NT) (</w:t>
            </w:r>
            <w:proofErr w:type="spellStart"/>
            <w:r w:rsidRPr="00EF56B6">
              <w:rPr>
                <w:rFonts w:ascii="Calibri" w:hAnsi="Calibri" w:cs="Calibri"/>
                <w:iCs/>
                <w:color w:val="000000"/>
                <w:sz w:val="18"/>
              </w:rPr>
              <w:t>sa</w:t>
            </w:r>
            <w:proofErr w:type="spellEnd"/>
            <w:r w:rsidRPr="00EF56B6">
              <w:rPr>
                <w:rFonts w:ascii="Calibri" w:hAnsi="Calibri" w:cs="Calibri"/>
                <w:iCs/>
                <w:color w:val="000000"/>
                <w:sz w:val="18"/>
              </w:rPr>
              <w:t>)</w:t>
            </w:r>
          </w:p>
        </w:tc>
        <w:tc>
          <w:tcPr>
            <w:tcW w:w="931" w:type="dxa"/>
            <w:vAlign w:val="center"/>
          </w:tcPr>
          <w:p w14:paraId="0B2965CD" w14:textId="77777777" w:rsidR="00D76F16" w:rsidRPr="00EF56B6" w:rsidRDefault="003E1186"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Apr</w:t>
            </w:r>
            <w:r w:rsidR="00F476B4" w:rsidRPr="00EF56B6">
              <w:rPr>
                <w:rFonts w:ascii="Calibri" w:hAnsi="Calibri" w:cs="Calibri"/>
                <w:color w:val="000000"/>
                <w:sz w:val="18"/>
              </w:rPr>
              <w:t>-24</w:t>
            </w:r>
          </w:p>
        </w:tc>
        <w:tc>
          <w:tcPr>
            <w:tcW w:w="1261" w:type="dxa"/>
            <w:vAlign w:val="center"/>
          </w:tcPr>
          <w:p w14:paraId="4E33177A" w14:textId="77777777" w:rsidR="00D76F16" w:rsidRPr="00EF56B6" w:rsidRDefault="003E1186" w:rsidP="003E118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0.331</w:t>
            </w:r>
          </w:p>
        </w:tc>
        <w:tc>
          <w:tcPr>
            <w:tcW w:w="1074" w:type="dxa"/>
            <w:vAlign w:val="center"/>
          </w:tcPr>
          <w:p w14:paraId="19189165" w14:textId="77777777" w:rsidR="00D76F16" w:rsidRPr="00EF56B6" w:rsidRDefault="003E1186"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w:t>
            </w:r>
            <w:r w:rsidR="00CF1103" w:rsidRPr="00EF56B6">
              <w:rPr>
                <w:rFonts w:ascii="Calibri" w:hAnsi="Calibri" w:cs="Calibri"/>
                <w:color w:val="000000"/>
                <w:sz w:val="18"/>
              </w:rPr>
              <w:t>%</w:t>
            </w:r>
          </w:p>
        </w:tc>
        <w:tc>
          <w:tcPr>
            <w:tcW w:w="1068" w:type="dxa"/>
            <w:vAlign w:val="center"/>
          </w:tcPr>
          <w:p w14:paraId="5E8E7CA6" w14:textId="77777777" w:rsidR="00D76F16" w:rsidRPr="00EF56B6" w:rsidRDefault="003E1186" w:rsidP="003E118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3.8</w:t>
            </w:r>
            <w:r w:rsidR="00CF1103" w:rsidRPr="00EF56B6">
              <w:rPr>
                <w:rFonts w:ascii="Calibri" w:hAnsi="Calibri" w:cs="Calibri"/>
                <w:color w:val="000000"/>
                <w:sz w:val="18"/>
              </w:rPr>
              <w:t>%</w:t>
            </w:r>
          </w:p>
        </w:tc>
        <w:tc>
          <w:tcPr>
            <w:tcW w:w="1047" w:type="dxa"/>
            <w:vAlign w:val="center"/>
          </w:tcPr>
          <w:p w14:paraId="1B50C58C" w14:textId="77777777" w:rsidR="00D76F16" w:rsidRPr="00EF56B6" w:rsidRDefault="003E1186" w:rsidP="003E118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3.7</w:t>
            </w:r>
            <w:r w:rsidR="00CF1103" w:rsidRPr="00EF56B6">
              <w:rPr>
                <w:rFonts w:ascii="Calibri" w:hAnsi="Calibri" w:cs="Calibri"/>
                <w:color w:val="000000"/>
                <w:sz w:val="18"/>
              </w:rPr>
              <w:t>%</w:t>
            </w:r>
          </w:p>
        </w:tc>
        <w:tc>
          <w:tcPr>
            <w:tcW w:w="1424" w:type="dxa"/>
            <w:vAlign w:val="center"/>
          </w:tcPr>
          <w:p w14:paraId="04B74C27" w14:textId="77777777" w:rsidR="00D76F16" w:rsidRPr="00EF56B6" w:rsidRDefault="003E1186" w:rsidP="003E1186">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25.4</w:t>
            </w:r>
            <w:r w:rsidR="00CF1103" w:rsidRPr="00EF56B6">
              <w:rPr>
                <w:rFonts w:ascii="Calibri" w:hAnsi="Calibri" w:cs="Calibri"/>
                <w:color w:val="000000"/>
                <w:sz w:val="18"/>
              </w:rPr>
              <w:t>%</w:t>
            </w:r>
          </w:p>
        </w:tc>
      </w:tr>
      <w:tr w:rsidR="00B243D8" w:rsidRPr="00EF56B6" w14:paraId="649D29DE"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6BAA80B3" w14:textId="77777777" w:rsidR="00D76F16" w:rsidRPr="00EF56B6" w:rsidRDefault="00D76F16"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Nominal retail sales (</w:t>
            </w:r>
            <w:proofErr w:type="spellStart"/>
            <w:r w:rsidRPr="00EF56B6">
              <w:rPr>
                <w:rFonts w:ascii="Calibri" w:hAnsi="Calibri" w:cs="Calibri"/>
                <w:iCs/>
                <w:color w:val="000000"/>
                <w:sz w:val="18"/>
              </w:rPr>
              <w:t>Aus</w:t>
            </w:r>
            <w:proofErr w:type="spellEnd"/>
            <w:r w:rsidRPr="00EF56B6">
              <w:rPr>
                <w:rFonts w:ascii="Calibri" w:hAnsi="Calibri" w:cs="Calibri"/>
                <w:iCs/>
                <w:color w:val="000000"/>
                <w:sz w:val="18"/>
              </w:rPr>
              <w:t>) (</w:t>
            </w:r>
            <w:proofErr w:type="spellStart"/>
            <w:r w:rsidRPr="00EF56B6">
              <w:rPr>
                <w:rFonts w:ascii="Calibri" w:hAnsi="Calibri" w:cs="Calibri"/>
                <w:iCs/>
                <w:color w:val="000000"/>
                <w:sz w:val="18"/>
              </w:rPr>
              <w:t>sa</w:t>
            </w:r>
            <w:proofErr w:type="spellEnd"/>
            <w:r w:rsidRPr="00EF56B6">
              <w:rPr>
                <w:rFonts w:ascii="Calibri" w:hAnsi="Calibri" w:cs="Calibri"/>
                <w:iCs/>
                <w:color w:val="000000"/>
                <w:sz w:val="18"/>
              </w:rPr>
              <w:t>)</w:t>
            </w:r>
          </w:p>
        </w:tc>
        <w:tc>
          <w:tcPr>
            <w:tcW w:w="931" w:type="dxa"/>
            <w:shd w:val="clear" w:color="auto" w:fill="auto"/>
            <w:vAlign w:val="center"/>
          </w:tcPr>
          <w:p w14:paraId="07183AF5" w14:textId="77777777" w:rsidR="00D76F16" w:rsidRPr="00EF56B6" w:rsidRDefault="003E1186"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Apr</w:t>
            </w:r>
            <w:r w:rsidR="00F476B4" w:rsidRPr="00EF56B6">
              <w:rPr>
                <w:rFonts w:ascii="Calibri" w:hAnsi="Calibri" w:cs="Calibri"/>
                <w:color w:val="000000"/>
                <w:sz w:val="18"/>
              </w:rPr>
              <w:t>-24</w:t>
            </w:r>
          </w:p>
        </w:tc>
        <w:tc>
          <w:tcPr>
            <w:tcW w:w="1261" w:type="dxa"/>
            <w:shd w:val="clear" w:color="auto" w:fill="auto"/>
            <w:vAlign w:val="center"/>
          </w:tcPr>
          <w:p w14:paraId="479A7A15" w14:textId="77777777" w:rsidR="00D76F16" w:rsidRPr="00EF56B6" w:rsidRDefault="003E1186" w:rsidP="003E118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35.714</w:t>
            </w:r>
          </w:p>
        </w:tc>
        <w:tc>
          <w:tcPr>
            <w:tcW w:w="1074" w:type="dxa"/>
            <w:shd w:val="clear" w:color="auto" w:fill="auto"/>
            <w:vAlign w:val="center"/>
          </w:tcPr>
          <w:p w14:paraId="0C4A507F" w14:textId="77777777" w:rsidR="00D76F16" w:rsidRPr="00EF56B6" w:rsidRDefault="003E1186" w:rsidP="003E118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0.1</w:t>
            </w:r>
            <w:r w:rsidR="00CF1103" w:rsidRPr="00EF56B6">
              <w:rPr>
                <w:rFonts w:ascii="Calibri" w:hAnsi="Calibri" w:cs="Calibri"/>
                <w:color w:val="000000"/>
                <w:sz w:val="18"/>
              </w:rPr>
              <w:t>%</w:t>
            </w:r>
          </w:p>
        </w:tc>
        <w:tc>
          <w:tcPr>
            <w:tcW w:w="1068" w:type="dxa"/>
            <w:shd w:val="clear" w:color="auto" w:fill="auto"/>
            <w:vAlign w:val="center"/>
          </w:tcPr>
          <w:p w14:paraId="19FEDBF3" w14:textId="77777777" w:rsidR="00D76F16" w:rsidRPr="00EF56B6" w:rsidRDefault="003E1186" w:rsidP="003E118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1.3</w:t>
            </w:r>
            <w:r w:rsidR="00CF1103" w:rsidRPr="00EF56B6">
              <w:rPr>
                <w:rFonts w:ascii="Calibri" w:hAnsi="Calibri" w:cs="Calibri"/>
                <w:color w:val="000000"/>
                <w:sz w:val="18"/>
              </w:rPr>
              <w:t>%</w:t>
            </w:r>
          </w:p>
        </w:tc>
        <w:tc>
          <w:tcPr>
            <w:tcW w:w="1047" w:type="dxa"/>
            <w:shd w:val="clear" w:color="auto" w:fill="auto"/>
            <w:vAlign w:val="center"/>
          </w:tcPr>
          <w:p w14:paraId="6148BB83" w14:textId="77777777" w:rsidR="00D76F16" w:rsidRPr="00EF56B6" w:rsidRDefault="003E1186" w:rsidP="003E118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w:t>
            </w:r>
            <w:r w:rsidR="00162373" w:rsidRPr="00EF56B6">
              <w:rPr>
                <w:rFonts w:ascii="Calibri" w:hAnsi="Calibri" w:cs="Calibri"/>
                <w:color w:val="000000"/>
                <w:sz w:val="18"/>
              </w:rPr>
              <w:t>.0</w:t>
            </w:r>
            <w:r w:rsidR="00CF1103" w:rsidRPr="00EF56B6">
              <w:rPr>
                <w:rFonts w:ascii="Calibri" w:hAnsi="Calibri" w:cs="Calibri"/>
                <w:color w:val="000000"/>
                <w:sz w:val="18"/>
              </w:rPr>
              <w:t>%</w:t>
            </w:r>
          </w:p>
        </w:tc>
        <w:tc>
          <w:tcPr>
            <w:tcW w:w="1424" w:type="dxa"/>
            <w:shd w:val="clear" w:color="auto" w:fill="auto"/>
            <w:vAlign w:val="center"/>
          </w:tcPr>
          <w:p w14:paraId="3E4E804F" w14:textId="77777777" w:rsidR="00D76F16" w:rsidRPr="00EF56B6" w:rsidRDefault="003E1186" w:rsidP="003E1186">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29.8</w:t>
            </w:r>
            <w:r w:rsidR="00CF1103" w:rsidRPr="00EF56B6">
              <w:rPr>
                <w:rFonts w:ascii="Calibri" w:hAnsi="Calibri" w:cs="Calibri"/>
                <w:color w:val="000000"/>
                <w:sz w:val="18"/>
              </w:rPr>
              <w:t>%</w:t>
            </w:r>
          </w:p>
        </w:tc>
      </w:tr>
      <w:tr w:rsidR="00B243D8" w:rsidRPr="00EF56B6" w14:paraId="6BBC68AB"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7C5C1B50" w14:textId="77777777" w:rsidR="003763FC" w:rsidRPr="00EF56B6" w:rsidRDefault="003763FC"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 </w:t>
            </w:r>
          </w:p>
        </w:tc>
        <w:tc>
          <w:tcPr>
            <w:tcW w:w="931" w:type="dxa"/>
            <w:vAlign w:val="center"/>
          </w:tcPr>
          <w:p w14:paraId="7490BAF4" w14:textId="77777777" w:rsidR="003763FC" w:rsidRPr="00EF56B6" w:rsidRDefault="003763FC"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261" w:type="dxa"/>
            <w:vAlign w:val="center"/>
          </w:tcPr>
          <w:p w14:paraId="6F611C3F" w14:textId="77777777" w:rsidR="003763FC" w:rsidRPr="00EF56B6" w:rsidRDefault="003763FC"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74" w:type="dxa"/>
            <w:vAlign w:val="center"/>
          </w:tcPr>
          <w:p w14:paraId="7B859598" w14:textId="77777777" w:rsidR="003763FC" w:rsidRPr="00EF56B6"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68" w:type="dxa"/>
            <w:vAlign w:val="center"/>
          </w:tcPr>
          <w:p w14:paraId="4EC8DA09" w14:textId="77777777" w:rsidR="003763FC" w:rsidRPr="00EF56B6"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47" w:type="dxa"/>
            <w:vAlign w:val="center"/>
          </w:tcPr>
          <w:p w14:paraId="0A6161D1" w14:textId="77777777" w:rsidR="003763FC" w:rsidRPr="00EF56B6"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424" w:type="dxa"/>
            <w:vAlign w:val="center"/>
          </w:tcPr>
          <w:p w14:paraId="54F23A88" w14:textId="77777777" w:rsidR="003763FC" w:rsidRPr="00EF56B6" w:rsidRDefault="003763FC"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r>
      <w:tr w:rsidR="00B243D8" w:rsidRPr="00EF56B6" w14:paraId="70558600"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36084C3A" w14:textId="77777777" w:rsidR="00C54EB6" w:rsidRPr="00EF56B6" w:rsidRDefault="00C54EB6"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Construction work done (NT) (</w:t>
            </w:r>
            <w:proofErr w:type="spellStart"/>
            <w:r w:rsidRPr="00EF56B6">
              <w:rPr>
                <w:rFonts w:ascii="Calibri" w:hAnsi="Calibri" w:cs="Calibri"/>
                <w:iCs/>
                <w:color w:val="000000"/>
                <w:sz w:val="18"/>
              </w:rPr>
              <w:t>sa</w:t>
            </w:r>
            <w:proofErr w:type="spellEnd"/>
            <w:r w:rsidRPr="00EF56B6">
              <w:rPr>
                <w:rFonts w:ascii="Calibri" w:hAnsi="Calibri" w:cs="Calibri"/>
                <w:iCs/>
                <w:color w:val="000000"/>
                <w:sz w:val="18"/>
              </w:rPr>
              <w:t>)</w:t>
            </w:r>
          </w:p>
        </w:tc>
        <w:tc>
          <w:tcPr>
            <w:tcW w:w="931" w:type="dxa"/>
            <w:shd w:val="clear" w:color="auto" w:fill="auto"/>
            <w:vAlign w:val="center"/>
          </w:tcPr>
          <w:p w14:paraId="77611A51" w14:textId="77777777" w:rsidR="00C54EB6" w:rsidRPr="00EF56B6" w:rsidRDefault="003E1186"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Mar-24</w:t>
            </w:r>
          </w:p>
        </w:tc>
        <w:tc>
          <w:tcPr>
            <w:tcW w:w="1261" w:type="dxa"/>
            <w:shd w:val="clear" w:color="auto" w:fill="auto"/>
            <w:vAlign w:val="center"/>
          </w:tcPr>
          <w:p w14:paraId="633BA00B" w14:textId="77777777" w:rsidR="00C54EB6" w:rsidRPr="00EF56B6" w:rsidRDefault="003E1186" w:rsidP="003E118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0.747</w:t>
            </w:r>
          </w:p>
        </w:tc>
        <w:tc>
          <w:tcPr>
            <w:tcW w:w="1074" w:type="dxa"/>
            <w:shd w:val="clear" w:color="auto" w:fill="auto"/>
            <w:vAlign w:val="center"/>
          </w:tcPr>
          <w:p w14:paraId="0177A156" w14:textId="77777777" w:rsidR="00C54EB6" w:rsidRPr="00EF56B6" w:rsidRDefault="003E1186" w:rsidP="003E118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-14.9</w:t>
            </w:r>
            <w:r w:rsidR="001C0CA4" w:rsidRPr="00EF56B6">
              <w:rPr>
                <w:rFonts w:ascii="Calibri" w:hAnsi="Calibri" w:cs="Calibri"/>
                <w:color w:val="000000"/>
                <w:sz w:val="18"/>
              </w:rPr>
              <w:t>%</w:t>
            </w:r>
          </w:p>
        </w:tc>
        <w:tc>
          <w:tcPr>
            <w:tcW w:w="1068" w:type="dxa"/>
            <w:shd w:val="clear" w:color="auto" w:fill="auto"/>
            <w:vAlign w:val="center"/>
          </w:tcPr>
          <w:p w14:paraId="657523D3" w14:textId="77777777" w:rsidR="00C54EB6" w:rsidRPr="00EF56B6" w:rsidRDefault="003E1186" w:rsidP="003E118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-1.1</w:t>
            </w:r>
            <w:r w:rsidR="001C0CA4" w:rsidRPr="00EF56B6">
              <w:rPr>
                <w:rFonts w:ascii="Calibri" w:hAnsi="Calibri" w:cs="Calibri"/>
                <w:color w:val="000000"/>
                <w:sz w:val="18"/>
              </w:rPr>
              <w:t>%</w:t>
            </w:r>
          </w:p>
        </w:tc>
        <w:tc>
          <w:tcPr>
            <w:tcW w:w="1047" w:type="dxa"/>
            <w:shd w:val="clear" w:color="auto" w:fill="auto"/>
            <w:vAlign w:val="center"/>
          </w:tcPr>
          <w:p w14:paraId="59EC4FB6" w14:textId="77777777" w:rsidR="00C54EB6" w:rsidRPr="00EF56B6" w:rsidRDefault="003E1186" w:rsidP="003E118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6.0</w:t>
            </w:r>
            <w:r w:rsidR="001C0CA4" w:rsidRPr="00EF56B6">
              <w:rPr>
                <w:rFonts w:ascii="Calibri" w:hAnsi="Calibri" w:cs="Calibri"/>
                <w:color w:val="000000"/>
                <w:sz w:val="18"/>
              </w:rPr>
              <w:t>%</w:t>
            </w:r>
          </w:p>
        </w:tc>
        <w:tc>
          <w:tcPr>
            <w:tcW w:w="1424" w:type="dxa"/>
            <w:shd w:val="clear" w:color="auto" w:fill="auto"/>
            <w:vAlign w:val="center"/>
          </w:tcPr>
          <w:p w14:paraId="59BADA4C" w14:textId="77777777" w:rsidR="00C54EB6" w:rsidRPr="00EF56B6" w:rsidRDefault="003E1186" w:rsidP="003E1186">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44.3</w:t>
            </w:r>
            <w:r w:rsidR="001C0CA4" w:rsidRPr="00EF56B6">
              <w:rPr>
                <w:rFonts w:ascii="Calibri" w:hAnsi="Calibri" w:cs="Calibri"/>
                <w:color w:val="000000"/>
                <w:sz w:val="18"/>
              </w:rPr>
              <w:t>%</w:t>
            </w:r>
          </w:p>
        </w:tc>
      </w:tr>
      <w:tr w:rsidR="00B243D8" w:rsidRPr="00EF56B6" w14:paraId="7618D50C"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1C029986" w14:textId="77777777" w:rsidR="00C54EB6" w:rsidRPr="00EF56B6" w:rsidRDefault="00720F41"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Construction work done (</w:t>
            </w:r>
            <w:proofErr w:type="spellStart"/>
            <w:r w:rsidRPr="00EF56B6">
              <w:rPr>
                <w:rFonts w:ascii="Calibri" w:hAnsi="Calibri" w:cs="Calibri"/>
                <w:iCs/>
                <w:color w:val="000000"/>
                <w:sz w:val="18"/>
              </w:rPr>
              <w:t>Aus</w:t>
            </w:r>
            <w:proofErr w:type="spellEnd"/>
            <w:r w:rsidR="00C54EB6" w:rsidRPr="00EF56B6">
              <w:rPr>
                <w:rFonts w:ascii="Calibri" w:hAnsi="Calibri" w:cs="Calibri"/>
                <w:iCs/>
                <w:color w:val="000000"/>
                <w:sz w:val="18"/>
              </w:rPr>
              <w:t>) (</w:t>
            </w:r>
            <w:proofErr w:type="spellStart"/>
            <w:r w:rsidR="00C54EB6" w:rsidRPr="00EF56B6">
              <w:rPr>
                <w:rFonts w:ascii="Calibri" w:hAnsi="Calibri" w:cs="Calibri"/>
                <w:iCs/>
                <w:color w:val="000000"/>
                <w:sz w:val="18"/>
              </w:rPr>
              <w:t>sa</w:t>
            </w:r>
            <w:proofErr w:type="spellEnd"/>
            <w:r w:rsidR="00C54EB6" w:rsidRPr="00EF56B6">
              <w:rPr>
                <w:rFonts w:ascii="Calibri" w:hAnsi="Calibri" w:cs="Calibri"/>
                <w:iCs/>
                <w:color w:val="000000"/>
                <w:sz w:val="18"/>
              </w:rPr>
              <w:t>)</w:t>
            </w:r>
          </w:p>
        </w:tc>
        <w:tc>
          <w:tcPr>
            <w:tcW w:w="931" w:type="dxa"/>
            <w:vAlign w:val="center"/>
          </w:tcPr>
          <w:p w14:paraId="2AC87655" w14:textId="77777777" w:rsidR="00C54EB6" w:rsidRPr="00EF56B6" w:rsidRDefault="003E1186"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Mar-24</w:t>
            </w:r>
          </w:p>
        </w:tc>
        <w:tc>
          <w:tcPr>
            <w:tcW w:w="1261" w:type="dxa"/>
            <w:vAlign w:val="center"/>
          </w:tcPr>
          <w:p w14:paraId="67706DBF" w14:textId="77777777" w:rsidR="00C54EB6" w:rsidRPr="00EF56B6" w:rsidRDefault="003E1186"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64.032</w:t>
            </w:r>
          </w:p>
        </w:tc>
        <w:tc>
          <w:tcPr>
            <w:tcW w:w="1074" w:type="dxa"/>
            <w:vAlign w:val="center"/>
          </w:tcPr>
          <w:p w14:paraId="5F2F348B" w14:textId="77777777" w:rsidR="00C54EB6" w:rsidRPr="00EF56B6" w:rsidRDefault="003E1186" w:rsidP="003E118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-2.9</w:t>
            </w:r>
            <w:r w:rsidR="001C0CA4" w:rsidRPr="00EF56B6">
              <w:rPr>
                <w:rFonts w:ascii="Calibri" w:hAnsi="Calibri" w:cs="Calibri"/>
                <w:color w:val="000000"/>
                <w:sz w:val="18"/>
              </w:rPr>
              <w:t>%</w:t>
            </w:r>
          </w:p>
        </w:tc>
        <w:tc>
          <w:tcPr>
            <w:tcW w:w="1068" w:type="dxa"/>
            <w:vAlign w:val="center"/>
          </w:tcPr>
          <w:p w14:paraId="30FF9183" w14:textId="77777777" w:rsidR="00C54EB6" w:rsidRPr="00EF56B6" w:rsidRDefault="003E1186" w:rsidP="003E118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1.8</w:t>
            </w:r>
            <w:r w:rsidR="001C0CA4" w:rsidRPr="00EF56B6">
              <w:rPr>
                <w:rFonts w:ascii="Calibri" w:hAnsi="Calibri" w:cs="Calibri"/>
                <w:color w:val="000000"/>
                <w:sz w:val="18"/>
              </w:rPr>
              <w:t>%</w:t>
            </w:r>
          </w:p>
        </w:tc>
        <w:tc>
          <w:tcPr>
            <w:tcW w:w="1047" w:type="dxa"/>
            <w:vAlign w:val="center"/>
          </w:tcPr>
          <w:p w14:paraId="577E2056" w14:textId="77777777" w:rsidR="00C54EB6" w:rsidRPr="00EF56B6" w:rsidRDefault="003E1186"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7.6</w:t>
            </w:r>
            <w:r w:rsidR="001C0CA4" w:rsidRPr="00EF56B6">
              <w:rPr>
                <w:rFonts w:ascii="Calibri" w:hAnsi="Calibri" w:cs="Calibri"/>
                <w:color w:val="000000"/>
                <w:sz w:val="18"/>
              </w:rPr>
              <w:t>%</w:t>
            </w:r>
          </w:p>
        </w:tc>
        <w:tc>
          <w:tcPr>
            <w:tcW w:w="1424" w:type="dxa"/>
            <w:vAlign w:val="center"/>
          </w:tcPr>
          <w:p w14:paraId="1CAB639A" w14:textId="77777777" w:rsidR="00C54EB6" w:rsidRPr="00EF56B6" w:rsidRDefault="003E1186"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11.7</w:t>
            </w:r>
            <w:r w:rsidR="001C0CA4" w:rsidRPr="00EF56B6">
              <w:rPr>
                <w:rFonts w:ascii="Calibri" w:hAnsi="Calibri" w:cs="Calibri"/>
                <w:color w:val="000000"/>
                <w:sz w:val="18"/>
              </w:rPr>
              <w:t>%</w:t>
            </w:r>
          </w:p>
        </w:tc>
      </w:tr>
      <w:tr w:rsidR="00B243D8" w:rsidRPr="00EF56B6" w14:paraId="1968BD71"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31B21FDA" w14:textId="77777777" w:rsidR="003763FC" w:rsidRPr="00EF56B6" w:rsidRDefault="003763FC"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 </w:t>
            </w:r>
          </w:p>
        </w:tc>
        <w:tc>
          <w:tcPr>
            <w:tcW w:w="931" w:type="dxa"/>
            <w:shd w:val="clear" w:color="auto" w:fill="auto"/>
            <w:vAlign w:val="center"/>
          </w:tcPr>
          <w:p w14:paraId="197CB6A7" w14:textId="77777777" w:rsidR="003763FC" w:rsidRPr="00EF56B6" w:rsidRDefault="003763FC"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
        </w:tc>
        <w:tc>
          <w:tcPr>
            <w:tcW w:w="1261" w:type="dxa"/>
            <w:shd w:val="clear" w:color="auto" w:fill="auto"/>
            <w:vAlign w:val="center"/>
          </w:tcPr>
          <w:p w14:paraId="6077F0F1" w14:textId="77777777" w:rsidR="003763FC" w:rsidRPr="00EF56B6" w:rsidRDefault="003763FC"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
        </w:tc>
        <w:tc>
          <w:tcPr>
            <w:tcW w:w="1074" w:type="dxa"/>
            <w:shd w:val="clear" w:color="auto" w:fill="auto"/>
            <w:vAlign w:val="center"/>
          </w:tcPr>
          <w:p w14:paraId="74634A4E" w14:textId="77777777" w:rsidR="003763FC" w:rsidRPr="00EF56B6" w:rsidRDefault="003763FC"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
        </w:tc>
        <w:tc>
          <w:tcPr>
            <w:tcW w:w="1068" w:type="dxa"/>
            <w:shd w:val="clear" w:color="auto" w:fill="auto"/>
            <w:vAlign w:val="center"/>
          </w:tcPr>
          <w:p w14:paraId="20267CBD" w14:textId="77777777" w:rsidR="003763FC" w:rsidRPr="00EF56B6" w:rsidRDefault="003763FC"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
        </w:tc>
        <w:tc>
          <w:tcPr>
            <w:tcW w:w="1047" w:type="dxa"/>
            <w:shd w:val="clear" w:color="auto" w:fill="auto"/>
            <w:vAlign w:val="center"/>
          </w:tcPr>
          <w:p w14:paraId="7F8C0F6F" w14:textId="77777777" w:rsidR="003763FC" w:rsidRPr="00EF56B6" w:rsidRDefault="003763FC"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
        </w:tc>
        <w:tc>
          <w:tcPr>
            <w:tcW w:w="1424" w:type="dxa"/>
            <w:shd w:val="clear" w:color="auto" w:fill="auto"/>
            <w:vAlign w:val="center"/>
          </w:tcPr>
          <w:p w14:paraId="3B391F0B" w14:textId="77777777" w:rsidR="003763FC" w:rsidRPr="00EF56B6" w:rsidRDefault="003763FC"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
        </w:tc>
      </w:tr>
      <w:tr w:rsidR="00B243D8" w:rsidRPr="00EF56B6" w14:paraId="76240F58"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23866B9" w14:textId="77777777" w:rsidR="00C54EB6" w:rsidRPr="00EF56B6" w:rsidRDefault="00C54EB6"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Residential building activity (NT)</w:t>
            </w:r>
          </w:p>
        </w:tc>
        <w:tc>
          <w:tcPr>
            <w:tcW w:w="931" w:type="dxa"/>
            <w:vAlign w:val="center"/>
          </w:tcPr>
          <w:p w14:paraId="28C9BCC5" w14:textId="77777777" w:rsidR="00C54EB6" w:rsidRPr="00EF56B6" w:rsidRDefault="003E1186"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Dec</w:t>
            </w:r>
            <w:r w:rsidR="001C0CA4" w:rsidRPr="00EF56B6">
              <w:rPr>
                <w:rFonts w:ascii="Calibri" w:hAnsi="Calibri" w:cs="Calibri"/>
                <w:color w:val="000000"/>
                <w:sz w:val="18"/>
              </w:rPr>
              <w:t>-23</w:t>
            </w:r>
          </w:p>
        </w:tc>
        <w:tc>
          <w:tcPr>
            <w:tcW w:w="1261" w:type="dxa"/>
            <w:vAlign w:val="center"/>
          </w:tcPr>
          <w:p w14:paraId="5E5BAB2E" w14:textId="77777777" w:rsidR="00C54EB6" w:rsidRPr="00EF56B6" w:rsidRDefault="003E1186" w:rsidP="003E118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0.07</w:t>
            </w:r>
          </w:p>
        </w:tc>
        <w:tc>
          <w:tcPr>
            <w:tcW w:w="1074" w:type="dxa"/>
            <w:vAlign w:val="center"/>
          </w:tcPr>
          <w:p w14:paraId="7DC2E6D6" w14:textId="77777777" w:rsidR="00C54EB6" w:rsidRPr="00EF56B6" w:rsidRDefault="0038654C" w:rsidP="003E118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w:t>
            </w:r>
            <w:r w:rsidR="003E1186" w:rsidRPr="00EF56B6">
              <w:rPr>
                <w:rFonts w:ascii="Calibri" w:hAnsi="Calibri" w:cs="Calibri"/>
                <w:color w:val="000000"/>
                <w:sz w:val="18"/>
              </w:rPr>
              <w:t>26.9</w:t>
            </w:r>
            <w:r w:rsidR="001C0CA4" w:rsidRPr="00EF56B6">
              <w:rPr>
                <w:rFonts w:ascii="Calibri" w:hAnsi="Calibri" w:cs="Calibri"/>
                <w:color w:val="000000"/>
                <w:sz w:val="18"/>
              </w:rPr>
              <w:t>%</w:t>
            </w:r>
          </w:p>
        </w:tc>
        <w:tc>
          <w:tcPr>
            <w:tcW w:w="1068" w:type="dxa"/>
            <w:vAlign w:val="center"/>
          </w:tcPr>
          <w:p w14:paraId="391EABDC" w14:textId="77777777" w:rsidR="00C54EB6" w:rsidRPr="00EF56B6" w:rsidRDefault="0038654C" w:rsidP="003E118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w:t>
            </w:r>
            <w:r w:rsidR="003E1186" w:rsidRPr="00EF56B6">
              <w:rPr>
                <w:rFonts w:ascii="Calibri" w:hAnsi="Calibri" w:cs="Calibri"/>
                <w:color w:val="000000"/>
                <w:sz w:val="18"/>
              </w:rPr>
              <w:t>20.1</w:t>
            </w:r>
            <w:r w:rsidR="001C0CA4" w:rsidRPr="00EF56B6">
              <w:rPr>
                <w:rFonts w:ascii="Calibri" w:hAnsi="Calibri" w:cs="Calibri"/>
                <w:color w:val="000000"/>
                <w:sz w:val="18"/>
              </w:rPr>
              <w:t>%</w:t>
            </w:r>
          </w:p>
        </w:tc>
        <w:tc>
          <w:tcPr>
            <w:tcW w:w="1047" w:type="dxa"/>
            <w:vAlign w:val="center"/>
          </w:tcPr>
          <w:p w14:paraId="68B3E42C" w14:textId="77777777" w:rsidR="00C54EB6" w:rsidRPr="00EF56B6" w:rsidRDefault="003E1186" w:rsidP="003E118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0.1</w:t>
            </w:r>
            <w:r w:rsidR="001C0CA4" w:rsidRPr="00EF56B6">
              <w:rPr>
                <w:rFonts w:ascii="Calibri" w:hAnsi="Calibri" w:cs="Calibri"/>
                <w:color w:val="000000"/>
                <w:sz w:val="18"/>
              </w:rPr>
              <w:t>%</w:t>
            </w:r>
          </w:p>
        </w:tc>
        <w:tc>
          <w:tcPr>
            <w:tcW w:w="1424" w:type="dxa"/>
            <w:vAlign w:val="center"/>
          </w:tcPr>
          <w:p w14:paraId="5845503D" w14:textId="77777777" w:rsidR="00C54EB6" w:rsidRPr="00EF56B6" w:rsidRDefault="003E1186" w:rsidP="003E1186">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-1.6</w:t>
            </w:r>
            <w:r w:rsidR="001C0CA4" w:rsidRPr="00EF56B6">
              <w:rPr>
                <w:rFonts w:ascii="Calibri" w:hAnsi="Calibri" w:cs="Calibri"/>
                <w:color w:val="000000"/>
                <w:sz w:val="18"/>
              </w:rPr>
              <w:t>%</w:t>
            </w:r>
          </w:p>
        </w:tc>
      </w:tr>
      <w:tr w:rsidR="00B243D8" w:rsidRPr="00EF56B6" w14:paraId="3B0FBAF0"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606DA558" w14:textId="77777777" w:rsidR="00C54EB6" w:rsidRPr="00EF56B6" w:rsidRDefault="00C54EB6"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Res</w:t>
            </w:r>
            <w:r w:rsidR="00720F41" w:rsidRPr="00EF56B6">
              <w:rPr>
                <w:rFonts w:ascii="Calibri" w:hAnsi="Calibri" w:cs="Calibri"/>
                <w:iCs/>
                <w:color w:val="000000"/>
                <w:sz w:val="18"/>
              </w:rPr>
              <w:t>idential building activity (</w:t>
            </w:r>
            <w:proofErr w:type="spellStart"/>
            <w:r w:rsidR="00720F41" w:rsidRPr="00EF56B6">
              <w:rPr>
                <w:rFonts w:ascii="Calibri" w:hAnsi="Calibri" w:cs="Calibri"/>
                <w:iCs/>
                <w:color w:val="000000"/>
                <w:sz w:val="18"/>
              </w:rPr>
              <w:t>Aus</w:t>
            </w:r>
            <w:proofErr w:type="spellEnd"/>
            <w:r w:rsidRPr="00EF56B6">
              <w:rPr>
                <w:rFonts w:ascii="Calibri" w:hAnsi="Calibri" w:cs="Calibri"/>
                <w:iCs/>
                <w:color w:val="000000"/>
                <w:sz w:val="18"/>
              </w:rPr>
              <w:t>)</w:t>
            </w:r>
          </w:p>
        </w:tc>
        <w:tc>
          <w:tcPr>
            <w:tcW w:w="931" w:type="dxa"/>
            <w:shd w:val="clear" w:color="auto" w:fill="auto"/>
            <w:vAlign w:val="center"/>
          </w:tcPr>
          <w:p w14:paraId="696CFCE7" w14:textId="77777777" w:rsidR="00C54EB6" w:rsidRPr="00EF56B6" w:rsidRDefault="003E1186"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Dec</w:t>
            </w:r>
            <w:r w:rsidR="001C0CA4" w:rsidRPr="00EF56B6">
              <w:rPr>
                <w:rFonts w:ascii="Calibri" w:hAnsi="Calibri" w:cs="Calibri"/>
                <w:color w:val="000000"/>
                <w:sz w:val="18"/>
              </w:rPr>
              <w:t>-23</w:t>
            </w:r>
          </w:p>
        </w:tc>
        <w:tc>
          <w:tcPr>
            <w:tcW w:w="1261" w:type="dxa"/>
            <w:shd w:val="clear" w:color="auto" w:fill="auto"/>
            <w:vAlign w:val="center"/>
          </w:tcPr>
          <w:p w14:paraId="152F2541" w14:textId="77777777" w:rsidR="00C54EB6" w:rsidRPr="00EF56B6" w:rsidRDefault="003E1186" w:rsidP="003E118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19.577</w:t>
            </w:r>
          </w:p>
        </w:tc>
        <w:tc>
          <w:tcPr>
            <w:tcW w:w="1074" w:type="dxa"/>
            <w:shd w:val="clear" w:color="auto" w:fill="auto"/>
            <w:vAlign w:val="center"/>
          </w:tcPr>
          <w:p w14:paraId="4CB4E157" w14:textId="77777777" w:rsidR="00C54EB6" w:rsidRPr="00EF56B6" w:rsidRDefault="003E1186"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-8.3</w:t>
            </w:r>
            <w:r w:rsidR="001C0CA4" w:rsidRPr="00EF56B6">
              <w:rPr>
                <w:rFonts w:ascii="Calibri" w:hAnsi="Calibri" w:cs="Calibri"/>
                <w:color w:val="000000"/>
                <w:sz w:val="18"/>
              </w:rPr>
              <w:t>%</w:t>
            </w:r>
          </w:p>
        </w:tc>
        <w:tc>
          <w:tcPr>
            <w:tcW w:w="1068" w:type="dxa"/>
            <w:shd w:val="clear" w:color="auto" w:fill="auto"/>
            <w:vAlign w:val="center"/>
          </w:tcPr>
          <w:p w14:paraId="52359F52" w14:textId="77777777" w:rsidR="00C54EB6" w:rsidRPr="00EF56B6" w:rsidRDefault="003E1186" w:rsidP="003E118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-2.5</w:t>
            </w:r>
            <w:r w:rsidR="001C0CA4" w:rsidRPr="00EF56B6">
              <w:rPr>
                <w:rFonts w:ascii="Calibri" w:hAnsi="Calibri" w:cs="Calibri"/>
                <w:color w:val="000000"/>
                <w:sz w:val="18"/>
              </w:rPr>
              <w:t>%</w:t>
            </w:r>
          </w:p>
        </w:tc>
        <w:tc>
          <w:tcPr>
            <w:tcW w:w="1047" w:type="dxa"/>
            <w:shd w:val="clear" w:color="auto" w:fill="auto"/>
            <w:vAlign w:val="center"/>
          </w:tcPr>
          <w:p w14:paraId="6E2DE906" w14:textId="77777777" w:rsidR="00C54EB6" w:rsidRPr="00EF56B6" w:rsidRDefault="00101BA0"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w:t>
            </w:r>
            <w:r w:rsidR="0038654C" w:rsidRPr="00EF56B6">
              <w:rPr>
                <w:rFonts w:ascii="Calibri" w:hAnsi="Calibri" w:cs="Calibri"/>
                <w:color w:val="000000"/>
                <w:sz w:val="18"/>
              </w:rPr>
              <w:t>.0</w:t>
            </w:r>
            <w:r w:rsidR="001C0CA4" w:rsidRPr="00EF56B6">
              <w:rPr>
                <w:rFonts w:ascii="Calibri" w:hAnsi="Calibri" w:cs="Calibri"/>
                <w:color w:val="000000"/>
                <w:sz w:val="18"/>
              </w:rPr>
              <w:t>%</w:t>
            </w:r>
          </w:p>
        </w:tc>
        <w:tc>
          <w:tcPr>
            <w:tcW w:w="1424" w:type="dxa"/>
            <w:shd w:val="clear" w:color="auto" w:fill="auto"/>
            <w:vAlign w:val="center"/>
          </w:tcPr>
          <w:p w14:paraId="72517C05" w14:textId="77777777" w:rsidR="00C54EB6" w:rsidRPr="00EF56B6" w:rsidRDefault="003E1186" w:rsidP="003E1186">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-4.8</w:t>
            </w:r>
            <w:r w:rsidR="001C0CA4" w:rsidRPr="00EF56B6">
              <w:rPr>
                <w:rFonts w:ascii="Calibri" w:hAnsi="Calibri" w:cs="Calibri"/>
                <w:color w:val="000000"/>
                <w:sz w:val="18"/>
              </w:rPr>
              <w:t>%</w:t>
            </w:r>
          </w:p>
        </w:tc>
      </w:tr>
      <w:tr w:rsidR="00B243D8" w:rsidRPr="00EF56B6" w14:paraId="0ECF25F6"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5834B0C" w14:textId="77777777" w:rsidR="003763FC" w:rsidRPr="00EF56B6" w:rsidRDefault="003763FC"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 </w:t>
            </w:r>
          </w:p>
        </w:tc>
        <w:tc>
          <w:tcPr>
            <w:tcW w:w="931" w:type="dxa"/>
            <w:vAlign w:val="center"/>
          </w:tcPr>
          <w:p w14:paraId="78E2FE99" w14:textId="77777777" w:rsidR="003763FC" w:rsidRPr="00EF56B6" w:rsidRDefault="003763FC"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261" w:type="dxa"/>
            <w:vAlign w:val="center"/>
          </w:tcPr>
          <w:p w14:paraId="374E1B5C" w14:textId="77777777" w:rsidR="003763FC" w:rsidRPr="00EF56B6" w:rsidRDefault="003763FC"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74" w:type="dxa"/>
            <w:vAlign w:val="center"/>
          </w:tcPr>
          <w:p w14:paraId="4A7C61ED" w14:textId="77777777" w:rsidR="003763FC" w:rsidRPr="00EF56B6"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68" w:type="dxa"/>
            <w:vAlign w:val="center"/>
          </w:tcPr>
          <w:p w14:paraId="20C5A235" w14:textId="77777777" w:rsidR="003763FC" w:rsidRPr="00EF56B6"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47" w:type="dxa"/>
            <w:vAlign w:val="center"/>
          </w:tcPr>
          <w:p w14:paraId="58EC8E50" w14:textId="77777777" w:rsidR="003763FC" w:rsidRPr="00EF56B6"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424" w:type="dxa"/>
            <w:vAlign w:val="center"/>
          </w:tcPr>
          <w:p w14:paraId="061C82B6" w14:textId="77777777" w:rsidR="003763FC" w:rsidRPr="00EF56B6" w:rsidRDefault="003763FC"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r>
      <w:tr w:rsidR="00B243D8" w:rsidRPr="00EF56B6" w14:paraId="24F3A66D"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3BEFF76E" w14:textId="77777777" w:rsidR="00937C11" w:rsidRPr="00EF56B6" w:rsidRDefault="00937C11"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Nominal goods exports (NT)</w:t>
            </w:r>
          </w:p>
        </w:tc>
        <w:tc>
          <w:tcPr>
            <w:tcW w:w="931" w:type="dxa"/>
            <w:shd w:val="clear" w:color="auto" w:fill="auto"/>
            <w:vAlign w:val="center"/>
          </w:tcPr>
          <w:p w14:paraId="7FF3FF1D" w14:textId="77777777" w:rsidR="00937C11" w:rsidRPr="00EF56B6" w:rsidRDefault="0038654C"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Apr</w:t>
            </w:r>
            <w:r w:rsidR="001C0CA4" w:rsidRPr="00EF56B6">
              <w:rPr>
                <w:rFonts w:ascii="Calibri" w:hAnsi="Calibri" w:cs="Calibri"/>
                <w:color w:val="000000"/>
                <w:sz w:val="18"/>
              </w:rPr>
              <w:t>-2</w:t>
            </w:r>
            <w:r w:rsidR="00226C17" w:rsidRPr="00EF56B6">
              <w:rPr>
                <w:rFonts w:ascii="Calibri" w:hAnsi="Calibri" w:cs="Calibri"/>
                <w:color w:val="000000"/>
                <w:sz w:val="18"/>
              </w:rPr>
              <w:t>4</w:t>
            </w:r>
          </w:p>
        </w:tc>
        <w:tc>
          <w:tcPr>
            <w:tcW w:w="1261" w:type="dxa"/>
            <w:shd w:val="clear" w:color="auto" w:fill="auto"/>
            <w:vAlign w:val="center"/>
          </w:tcPr>
          <w:p w14:paraId="4E8EF8AA" w14:textId="77777777" w:rsidR="00937C11" w:rsidRPr="00EF56B6" w:rsidRDefault="00101BA0" w:rsidP="00226C17">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w:t>
            </w:r>
            <w:r w:rsidR="0038654C" w:rsidRPr="00EF56B6">
              <w:rPr>
                <w:rFonts w:ascii="Calibri" w:hAnsi="Calibri" w:cs="Calibri"/>
                <w:color w:val="000000"/>
                <w:sz w:val="18"/>
              </w:rPr>
              <w:t>904</w:t>
            </w:r>
          </w:p>
        </w:tc>
        <w:tc>
          <w:tcPr>
            <w:tcW w:w="1074" w:type="dxa"/>
            <w:shd w:val="clear" w:color="auto" w:fill="auto"/>
            <w:vAlign w:val="center"/>
          </w:tcPr>
          <w:p w14:paraId="5DE678C8" w14:textId="77777777" w:rsidR="00937C11" w:rsidRPr="00EF56B6" w:rsidRDefault="0033684F" w:rsidP="0038654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w:t>
            </w:r>
            <w:r w:rsidR="0038654C" w:rsidRPr="00EF56B6">
              <w:rPr>
                <w:rFonts w:ascii="Calibri" w:hAnsi="Calibri" w:cs="Calibri"/>
                <w:color w:val="000000"/>
                <w:sz w:val="18"/>
              </w:rPr>
              <w:t>13.8</w:t>
            </w:r>
            <w:r w:rsidR="001C0CA4" w:rsidRPr="00EF56B6">
              <w:rPr>
                <w:rFonts w:ascii="Calibri" w:hAnsi="Calibri" w:cs="Calibri"/>
                <w:color w:val="000000"/>
                <w:sz w:val="18"/>
              </w:rPr>
              <w:t>%</w:t>
            </w:r>
          </w:p>
        </w:tc>
        <w:tc>
          <w:tcPr>
            <w:tcW w:w="1068" w:type="dxa"/>
            <w:shd w:val="clear" w:color="auto" w:fill="auto"/>
            <w:vAlign w:val="center"/>
          </w:tcPr>
          <w:p w14:paraId="6DB4877D" w14:textId="77777777" w:rsidR="00937C11" w:rsidRPr="00EF56B6" w:rsidRDefault="00F96702" w:rsidP="0038654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w:t>
            </w:r>
            <w:r w:rsidR="0038654C" w:rsidRPr="00EF56B6">
              <w:rPr>
                <w:rFonts w:ascii="Calibri" w:hAnsi="Calibri" w:cs="Calibri"/>
                <w:color w:val="000000"/>
                <w:sz w:val="18"/>
              </w:rPr>
              <w:t>9</w:t>
            </w:r>
            <w:r w:rsidR="00E2141A" w:rsidRPr="00EF56B6">
              <w:rPr>
                <w:rFonts w:ascii="Calibri" w:hAnsi="Calibri" w:cs="Calibri"/>
                <w:color w:val="000000"/>
                <w:sz w:val="18"/>
              </w:rPr>
              <w:t>.0</w:t>
            </w:r>
            <w:r w:rsidR="001C0CA4" w:rsidRPr="00EF56B6">
              <w:rPr>
                <w:rFonts w:ascii="Calibri" w:hAnsi="Calibri" w:cs="Calibri"/>
                <w:color w:val="000000"/>
                <w:sz w:val="18"/>
              </w:rPr>
              <w:t>%</w:t>
            </w:r>
          </w:p>
        </w:tc>
        <w:tc>
          <w:tcPr>
            <w:tcW w:w="1047" w:type="dxa"/>
            <w:shd w:val="clear" w:color="auto" w:fill="auto"/>
            <w:vAlign w:val="center"/>
          </w:tcPr>
          <w:p w14:paraId="41BEC9C2" w14:textId="77777777" w:rsidR="00937C11" w:rsidRPr="00EF56B6" w:rsidRDefault="0033684F" w:rsidP="0038654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w:t>
            </w:r>
            <w:r w:rsidR="0038654C" w:rsidRPr="00EF56B6">
              <w:rPr>
                <w:rFonts w:ascii="Calibri" w:hAnsi="Calibri" w:cs="Calibri"/>
                <w:color w:val="000000"/>
                <w:sz w:val="18"/>
              </w:rPr>
              <w:t>10.7</w:t>
            </w:r>
            <w:r w:rsidR="001C0CA4" w:rsidRPr="00EF56B6">
              <w:rPr>
                <w:rFonts w:ascii="Calibri" w:hAnsi="Calibri" w:cs="Calibri"/>
                <w:color w:val="000000"/>
                <w:sz w:val="18"/>
              </w:rPr>
              <w:t>%</w:t>
            </w:r>
          </w:p>
        </w:tc>
        <w:tc>
          <w:tcPr>
            <w:tcW w:w="1424" w:type="dxa"/>
            <w:shd w:val="clear" w:color="auto" w:fill="auto"/>
            <w:vAlign w:val="center"/>
          </w:tcPr>
          <w:p w14:paraId="4F4F015A" w14:textId="77777777" w:rsidR="00937C11" w:rsidRPr="00EF56B6" w:rsidRDefault="00226C17" w:rsidP="0038654C">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w:t>
            </w:r>
            <w:r w:rsidR="0038654C" w:rsidRPr="00EF56B6">
              <w:rPr>
                <w:rFonts w:ascii="Calibri" w:hAnsi="Calibri" w:cs="Calibri"/>
                <w:color w:val="000000"/>
                <w:sz w:val="18"/>
              </w:rPr>
              <w:t>1.2</w:t>
            </w:r>
            <w:r w:rsidR="001C0CA4" w:rsidRPr="00EF56B6">
              <w:rPr>
                <w:rFonts w:ascii="Calibri" w:hAnsi="Calibri" w:cs="Calibri"/>
                <w:color w:val="000000"/>
                <w:sz w:val="18"/>
              </w:rPr>
              <w:t>%</w:t>
            </w:r>
          </w:p>
        </w:tc>
      </w:tr>
      <w:tr w:rsidR="00B243D8" w:rsidRPr="00EF56B6" w14:paraId="196E5D37"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32445713" w14:textId="77777777" w:rsidR="00937C11" w:rsidRPr="00EF56B6" w:rsidRDefault="00937C11"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 xml:space="preserve">Nominal goods </w:t>
            </w:r>
            <w:r w:rsidR="00720F41" w:rsidRPr="00EF56B6">
              <w:rPr>
                <w:rFonts w:ascii="Calibri" w:hAnsi="Calibri" w:cs="Calibri"/>
                <w:iCs/>
                <w:color w:val="000000"/>
                <w:sz w:val="18"/>
              </w:rPr>
              <w:t>exports (</w:t>
            </w:r>
            <w:proofErr w:type="spellStart"/>
            <w:r w:rsidR="00720F41" w:rsidRPr="00EF56B6">
              <w:rPr>
                <w:rFonts w:ascii="Calibri" w:hAnsi="Calibri" w:cs="Calibri"/>
                <w:iCs/>
                <w:color w:val="000000"/>
                <w:sz w:val="18"/>
              </w:rPr>
              <w:t>Aus</w:t>
            </w:r>
            <w:proofErr w:type="spellEnd"/>
            <w:r w:rsidRPr="00EF56B6">
              <w:rPr>
                <w:rFonts w:ascii="Calibri" w:hAnsi="Calibri" w:cs="Calibri"/>
                <w:iCs/>
                <w:color w:val="000000"/>
                <w:sz w:val="18"/>
              </w:rPr>
              <w:t>) (</w:t>
            </w:r>
            <w:proofErr w:type="spellStart"/>
            <w:r w:rsidRPr="00EF56B6">
              <w:rPr>
                <w:rFonts w:ascii="Calibri" w:hAnsi="Calibri" w:cs="Calibri"/>
                <w:iCs/>
                <w:color w:val="000000"/>
                <w:sz w:val="18"/>
              </w:rPr>
              <w:t>sa</w:t>
            </w:r>
            <w:proofErr w:type="spellEnd"/>
            <w:r w:rsidRPr="00EF56B6">
              <w:rPr>
                <w:rFonts w:ascii="Calibri" w:hAnsi="Calibri" w:cs="Calibri"/>
                <w:iCs/>
                <w:color w:val="000000"/>
                <w:sz w:val="18"/>
              </w:rPr>
              <w:t>)</w:t>
            </w:r>
          </w:p>
        </w:tc>
        <w:tc>
          <w:tcPr>
            <w:tcW w:w="931" w:type="dxa"/>
            <w:vAlign w:val="center"/>
          </w:tcPr>
          <w:p w14:paraId="02CD4594" w14:textId="77777777" w:rsidR="00937C11" w:rsidRPr="00EF56B6" w:rsidRDefault="0038654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Apr</w:t>
            </w:r>
            <w:r w:rsidR="001C0CA4" w:rsidRPr="00EF56B6">
              <w:rPr>
                <w:rFonts w:ascii="Calibri" w:hAnsi="Calibri" w:cs="Calibri"/>
                <w:color w:val="000000"/>
                <w:sz w:val="18"/>
              </w:rPr>
              <w:t>-</w:t>
            </w:r>
            <w:r w:rsidR="00A454E5" w:rsidRPr="00EF56B6">
              <w:rPr>
                <w:rFonts w:ascii="Calibri" w:hAnsi="Calibri" w:cs="Calibri"/>
                <w:color w:val="000000"/>
                <w:sz w:val="18"/>
              </w:rPr>
              <w:t>24</w:t>
            </w:r>
          </w:p>
        </w:tc>
        <w:tc>
          <w:tcPr>
            <w:tcW w:w="1261" w:type="dxa"/>
            <w:vAlign w:val="center"/>
          </w:tcPr>
          <w:p w14:paraId="17F2F1CB" w14:textId="77777777" w:rsidR="00937C11" w:rsidRPr="00EF56B6" w:rsidRDefault="0033684F"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4</w:t>
            </w:r>
            <w:r w:rsidR="0038654C" w:rsidRPr="00EF56B6">
              <w:rPr>
                <w:rFonts w:ascii="Calibri" w:hAnsi="Calibri" w:cs="Calibri"/>
                <w:color w:val="000000"/>
                <w:sz w:val="18"/>
              </w:rPr>
              <w:t>3.32</w:t>
            </w:r>
            <w:r w:rsidR="00E2141A" w:rsidRPr="00EF56B6">
              <w:rPr>
                <w:rFonts w:ascii="Calibri" w:hAnsi="Calibri" w:cs="Calibri"/>
                <w:color w:val="000000"/>
                <w:sz w:val="18"/>
              </w:rPr>
              <w:t>0</w:t>
            </w:r>
          </w:p>
        </w:tc>
        <w:tc>
          <w:tcPr>
            <w:tcW w:w="1074" w:type="dxa"/>
            <w:vAlign w:val="center"/>
          </w:tcPr>
          <w:p w14:paraId="5E32C6F9" w14:textId="77777777" w:rsidR="00937C11" w:rsidRPr="00EF56B6" w:rsidRDefault="0038654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-2.5</w:t>
            </w:r>
            <w:r w:rsidR="001C0CA4" w:rsidRPr="00EF56B6">
              <w:rPr>
                <w:rFonts w:ascii="Calibri" w:hAnsi="Calibri" w:cs="Calibri"/>
                <w:color w:val="000000"/>
                <w:sz w:val="18"/>
              </w:rPr>
              <w:t>%</w:t>
            </w:r>
          </w:p>
        </w:tc>
        <w:tc>
          <w:tcPr>
            <w:tcW w:w="1068" w:type="dxa"/>
            <w:vAlign w:val="center"/>
          </w:tcPr>
          <w:p w14:paraId="5D082136" w14:textId="77777777" w:rsidR="00937C11" w:rsidRPr="00EF56B6" w:rsidRDefault="001C0CA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w:t>
            </w:r>
            <w:r w:rsidR="00101BA0" w:rsidRPr="00EF56B6">
              <w:rPr>
                <w:rFonts w:ascii="Calibri" w:hAnsi="Calibri" w:cs="Calibri"/>
                <w:color w:val="000000"/>
                <w:sz w:val="18"/>
              </w:rPr>
              <w:t>5</w:t>
            </w:r>
            <w:r w:rsidR="0038654C" w:rsidRPr="00EF56B6">
              <w:rPr>
                <w:rFonts w:ascii="Calibri" w:hAnsi="Calibri" w:cs="Calibri"/>
                <w:color w:val="000000"/>
                <w:sz w:val="18"/>
              </w:rPr>
              <w:t>.9</w:t>
            </w:r>
            <w:r w:rsidRPr="00EF56B6">
              <w:rPr>
                <w:rFonts w:ascii="Calibri" w:hAnsi="Calibri" w:cs="Calibri"/>
                <w:color w:val="000000"/>
                <w:sz w:val="18"/>
              </w:rPr>
              <w:t>%</w:t>
            </w:r>
          </w:p>
        </w:tc>
        <w:tc>
          <w:tcPr>
            <w:tcW w:w="1047" w:type="dxa"/>
            <w:vAlign w:val="center"/>
          </w:tcPr>
          <w:p w14:paraId="1BEEFDE5" w14:textId="77777777" w:rsidR="00937C11" w:rsidRPr="00EF56B6" w:rsidRDefault="0033684F"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w:t>
            </w:r>
            <w:r w:rsidR="0038654C" w:rsidRPr="00EF56B6">
              <w:rPr>
                <w:rFonts w:ascii="Calibri" w:hAnsi="Calibri" w:cs="Calibri"/>
                <w:color w:val="000000"/>
                <w:sz w:val="18"/>
              </w:rPr>
              <w:t>10.3</w:t>
            </w:r>
            <w:r w:rsidR="0083751D" w:rsidRPr="00EF56B6">
              <w:rPr>
                <w:rFonts w:ascii="Calibri" w:hAnsi="Calibri" w:cs="Calibri"/>
                <w:color w:val="000000"/>
                <w:sz w:val="18"/>
              </w:rPr>
              <w:t>%</w:t>
            </w:r>
          </w:p>
        </w:tc>
        <w:tc>
          <w:tcPr>
            <w:tcW w:w="1424" w:type="dxa"/>
            <w:vAlign w:val="center"/>
          </w:tcPr>
          <w:p w14:paraId="3A8EF589" w14:textId="77777777" w:rsidR="00937C11" w:rsidRPr="00EF56B6" w:rsidRDefault="0038654C"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39.3</w:t>
            </w:r>
            <w:r w:rsidR="001C0CA4" w:rsidRPr="00EF56B6">
              <w:rPr>
                <w:rFonts w:ascii="Calibri" w:hAnsi="Calibri" w:cs="Calibri"/>
                <w:color w:val="000000"/>
                <w:sz w:val="18"/>
              </w:rPr>
              <w:t>%</w:t>
            </w:r>
          </w:p>
        </w:tc>
      </w:tr>
      <w:tr w:rsidR="00B243D8" w:rsidRPr="00EF56B6" w14:paraId="61C5C717"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39FAD5A8" w14:textId="77777777" w:rsidR="004F7E54" w:rsidRPr="00EF56B6" w:rsidRDefault="004F7E54" w:rsidP="00256555">
            <w:pPr>
              <w:spacing w:before="0" w:after="0"/>
              <w:rPr>
                <w:rFonts w:ascii="Calibri" w:hAnsi="Calibri"/>
                <w:b/>
                <w:sz w:val="18"/>
              </w:rPr>
            </w:pPr>
            <w:r w:rsidRPr="00EF56B6">
              <w:rPr>
                <w:rFonts w:ascii="Calibri" w:hAnsi="Calibri"/>
                <w:b/>
                <w:sz w:val="18"/>
              </w:rPr>
              <w:t>Prices</w:t>
            </w:r>
          </w:p>
        </w:tc>
        <w:tc>
          <w:tcPr>
            <w:tcW w:w="931" w:type="dxa"/>
            <w:vAlign w:val="center"/>
          </w:tcPr>
          <w:p w14:paraId="66E35D3A" w14:textId="77777777" w:rsidR="004F7E54" w:rsidRPr="00EF56B6" w:rsidRDefault="004F7E5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261" w:type="dxa"/>
            <w:vAlign w:val="center"/>
          </w:tcPr>
          <w:p w14:paraId="3B7C7A0C" w14:textId="77777777" w:rsidR="004F7E54" w:rsidRPr="00EF56B6" w:rsidRDefault="00256555"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b/>
                <w:color w:val="000000"/>
                <w:sz w:val="18"/>
              </w:rPr>
              <w:t>Annual Δ</w:t>
            </w:r>
            <w:r w:rsidRPr="00EF56B6">
              <w:rPr>
                <w:rFonts w:ascii="Calibri" w:hAnsi="Calibri" w:cs="Calibri"/>
                <w:b/>
                <w:color w:val="000000"/>
                <w:sz w:val="18"/>
                <w:vertAlign w:val="superscript"/>
              </w:rPr>
              <w:t>2</w:t>
            </w:r>
          </w:p>
        </w:tc>
        <w:tc>
          <w:tcPr>
            <w:tcW w:w="1074" w:type="dxa"/>
            <w:vAlign w:val="center"/>
          </w:tcPr>
          <w:p w14:paraId="3163017E" w14:textId="77777777" w:rsidR="004F7E54" w:rsidRPr="00EF56B6"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068" w:type="dxa"/>
            <w:vAlign w:val="center"/>
          </w:tcPr>
          <w:p w14:paraId="3E3CFE2A" w14:textId="77777777" w:rsidR="004F7E54" w:rsidRPr="00EF56B6"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047" w:type="dxa"/>
            <w:vAlign w:val="center"/>
          </w:tcPr>
          <w:p w14:paraId="44EF5E5C" w14:textId="77777777" w:rsidR="004F7E54" w:rsidRPr="00EF56B6"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424" w:type="dxa"/>
            <w:vAlign w:val="center"/>
          </w:tcPr>
          <w:p w14:paraId="2E03C5BE" w14:textId="77777777" w:rsidR="004F7E54" w:rsidRPr="00EF56B6" w:rsidRDefault="004F7E54"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r>
      <w:tr w:rsidR="00B243D8" w:rsidRPr="00EF56B6" w14:paraId="1BA41AF5"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7B73989D" w14:textId="77777777" w:rsidR="00937C11" w:rsidRPr="00EF56B6" w:rsidRDefault="00937C11"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Inflation (Darwin)</w:t>
            </w:r>
          </w:p>
        </w:tc>
        <w:tc>
          <w:tcPr>
            <w:tcW w:w="931" w:type="dxa"/>
            <w:vAlign w:val="center"/>
          </w:tcPr>
          <w:p w14:paraId="1CB2C862" w14:textId="77777777" w:rsidR="00937C11" w:rsidRPr="00EF56B6" w:rsidRDefault="003E1186"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Mar</w:t>
            </w:r>
            <w:r w:rsidR="001C0CA4" w:rsidRPr="00EF56B6">
              <w:rPr>
                <w:rFonts w:ascii="Calibri" w:hAnsi="Calibri" w:cs="Calibri"/>
                <w:color w:val="000000"/>
                <w:sz w:val="18"/>
              </w:rPr>
              <w:t>-2</w:t>
            </w:r>
            <w:r w:rsidRPr="00EF56B6">
              <w:rPr>
                <w:rFonts w:ascii="Calibri" w:hAnsi="Calibri" w:cs="Calibri"/>
                <w:color w:val="000000"/>
                <w:sz w:val="18"/>
              </w:rPr>
              <w:t>4</w:t>
            </w:r>
          </w:p>
        </w:tc>
        <w:tc>
          <w:tcPr>
            <w:tcW w:w="1261" w:type="dxa"/>
            <w:vAlign w:val="center"/>
          </w:tcPr>
          <w:p w14:paraId="11BE0922" w14:textId="77777777" w:rsidR="00937C11" w:rsidRPr="00EF56B6" w:rsidRDefault="003E1186" w:rsidP="003E1186">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3.3</w:t>
            </w:r>
            <w:r w:rsidR="001C0CA4" w:rsidRPr="00EF56B6">
              <w:rPr>
                <w:rFonts w:ascii="Calibri" w:hAnsi="Calibri" w:cs="Calibri"/>
                <w:color w:val="000000"/>
                <w:sz w:val="18"/>
              </w:rPr>
              <w:t>%</w:t>
            </w:r>
          </w:p>
        </w:tc>
        <w:tc>
          <w:tcPr>
            <w:tcW w:w="1074" w:type="dxa"/>
            <w:vAlign w:val="center"/>
          </w:tcPr>
          <w:p w14:paraId="4271134D" w14:textId="77777777" w:rsidR="00937C11" w:rsidRPr="00EF56B6" w:rsidRDefault="00207524" w:rsidP="003E118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w:t>
            </w:r>
            <w:r w:rsidR="003E1186" w:rsidRPr="00EF56B6">
              <w:rPr>
                <w:rFonts w:ascii="Calibri" w:hAnsi="Calibri" w:cs="Calibri"/>
                <w:color w:val="000000"/>
                <w:sz w:val="18"/>
              </w:rPr>
              <w:t>0.6</w:t>
            </w:r>
            <w:r w:rsidRPr="00EF56B6">
              <w:rPr>
                <w:rFonts w:ascii="Calibri" w:hAnsi="Calibri" w:cs="Calibri"/>
                <w:color w:val="000000"/>
                <w:sz w:val="18"/>
              </w:rPr>
              <w:t xml:space="preserve"> </w:t>
            </w:r>
            <w:proofErr w:type="spellStart"/>
            <w:r w:rsidR="001C0CA4" w:rsidRPr="00EF56B6">
              <w:rPr>
                <w:rFonts w:ascii="Calibri" w:hAnsi="Calibri" w:cs="Calibri"/>
                <w:color w:val="000000"/>
                <w:sz w:val="18"/>
              </w:rPr>
              <w:t>ppt</w:t>
            </w:r>
            <w:proofErr w:type="spellEnd"/>
          </w:p>
        </w:tc>
        <w:tc>
          <w:tcPr>
            <w:tcW w:w="1068" w:type="dxa"/>
            <w:vAlign w:val="center"/>
          </w:tcPr>
          <w:p w14:paraId="06FE426C" w14:textId="77777777" w:rsidR="00937C11" w:rsidRPr="00EF56B6" w:rsidRDefault="001C0CA4" w:rsidP="003E1186">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w:t>
            </w:r>
            <w:r w:rsidR="003E1186" w:rsidRPr="00EF56B6">
              <w:rPr>
                <w:rFonts w:ascii="Calibri" w:hAnsi="Calibri" w:cs="Calibri"/>
                <w:color w:val="000000"/>
                <w:sz w:val="18"/>
              </w:rPr>
              <w:t>2.9</w:t>
            </w:r>
            <w:r w:rsidRPr="00EF56B6">
              <w:rPr>
                <w:rFonts w:ascii="Calibri" w:hAnsi="Calibri" w:cs="Calibri"/>
                <w:color w:val="000000"/>
                <w:sz w:val="18"/>
              </w:rPr>
              <w:t xml:space="preserve"> </w:t>
            </w:r>
            <w:proofErr w:type="spellStart"/>
            <w:r w:rsidRPr="00EF56B6">
              <w:rPr>
                <w:rFonts w:ascii="Calibri" w:hAnsi="Calibri" w:cs="Calibri"/>
                <w:color w:val="000000"/>
                <w:sz w:val="18"/>
              </w:rPr>
              <w:t>ppt</w:t>
            </w:r>
            <w:proofErr w:type="spellEnd"/>
          </w:p>
        </w:tc>
        <w:tc>
          <w:tcPr>
            <w:tcW w:w="1047" w:type="dxa"/>
            <w:vAlign w:val="center"/>
          </w:tcPr>
          <w:p w14:paraId="6346EDB8" w14:textId="77777777" w:rsidR="00937C11" w:rsidRPr="00EF56B6" w:rsidRDefault="001C0CA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roofErr w:type="spellStart"/>
            <w:r w:rsidRPr="00EF56B6">
              <w:rPr>
                <w:rFonts w:ascii="Calibri" w:hAnsi="Calibri" w:cs="Calibri"/>
                <w:color w:val="000000"/>
                <w:sz w:val="18"/>
              </w:rPr>
              <w:t>na</w:t>
            </w:r>
            <w:proofErr w:type="spellEnd"/>
            <w:r w:rsidRPr="00EF56B6">
              <w:rPr>
                <w:rFonts w:ascii="Calibri" w:hAnsi="Calibri" w:cs="Calibri"/>
                <w:color w:val="000000"/>
                <w:sz w:val="18"/>
              </w:rPr>
              <w:t xml:space="preserve"> </w:t>
            </w:r>
          </w:p>
        </w:tc>
        <w:tc>
          <w:tcPr>
            <w:tcW w:w="1424" w:type="dxa"/>
            <w:vAlign w:val="center"/>
          </w:tcPr>
          <w:p w14:paraId="331A866F" w14:textId="77777777" w:rsidR="00937C11" w:rsidRPr="00EF56B6" w:rsidRDefault="003E1186" w:rsidP="003E1186">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3.6</w:t>
            </w:r>
            <w:r w:rsidR="001C0CA4" w:rsidRPr="00EF56B6">
              <w:rPr>
                <w:rFonts w:ascii="Calibri" w:hAnsi="Calibri" w:cs="Calibri"/>
                <w:color w:val="000000"/>
                <w:sz w:val="18"/>
              </w:rPr>
              <w:t xml:space="preserve"> </w:t>
            </w:r>
            <w:proofErr w:type="spellStart"/>
            <w:r w:rsidR="001C0CA4" w:rsidRPr="00EF56B6">
              <w:rPr>
                <w:rFonts w:ascii="Calibri" w:hAnsi="Calibri" w:cs="Calibri"/>
                <w:color w:val="000000"/>
                <w:sz w:val="18"/>
              </w:rPr>
              <w:t>ppt</w:t>
            </w:r>
            <w:proofErr w:type="spellEnd"/>
          </w:p>
        </w:tc>
      </w:tr>
      <w:tr w:rsidR="00B243D8" w:rsidRPr="00EF56B6" w14:paraId="33B1A608"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01AAD930" w14:textId="77777777" w:rsidR="00937C11" w:rsidRPr="00EF56B6" w:rsidRDefault="00937C11"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Inflation (8 Capitals)</w:t>
            </w:r>
          </w:p>
        </w:tc>
        <w:tc>
          <w:tcPr>
            <w:tcW w:w="931" w:type="dxa"/>
            <w:shd w:val="clear" w:color="auto" w:fill="auto"/>
            <w:vAlign w:val="center"/>
          </w:tcPr>
          <w:p w14:paraId="125AB20D" w14:textId="77777777" w:rsidR="00937C11" w:rsidRPr="00EF56B6" w:rsidRDefault="003E1186"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Mar-24</w:t>
            </w:r>
          </w:p>
        </w:tc>
        <w:tc>
          <w:tcPr>
            <w:tcW w:w="1261" w:type="dxa"/>
            <w:shd w:val="clear" w:color="auto" w:fill="auto"/>
            <w:vAlign w:val="center"/>
          </w:tcPr>
          <w:p w14:paraId="3C6D4543" w14:textId="77777777" w:rsidR="00937C11" w:rsidRPr="00EF56B6" w:rsidRDefault="003E1186" w:rsidP="003E118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3.6</w:t>
            </w:r>
            <w:r w:rsidR="001C0CA4" w:rsidRPr="00EF56B6">
              <w:rPr>
                <w:rFonts w:ascii="Calibri" w:hAnsi="Calibri" w:cs="Calibri"/>
                <w:color w:val="000000"/>
                <w:sz w:val="18"/>
              </w:rPr>
              <w:t>%</w:t>
            </w:r>
          </w:p>
        </w:tc>
        <w:tc>
          <w:tcPr>
            <w:tcW w:w="1074" w:type="dxa"/>
            <w:shd w:val="clear" w:color="auto" w:fill="auto"/>
            <w:vAlign w:val="center"/>
          </w:tcPr>
          <w:p w14:paraId="4706F015" w14:textId="77777777" w:rsidR="00937C11" w:rsidRPr="00EF56B6" w:rsidRDefault="003E1186" w:rsidP="003E118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-0.4</w:t>
            </w:r>
            <w:r w:rsidR="001C0CA4" w:rsidRPr="00EF56B6">
              <w:rPr>
                <w:rFonts w:ascii="Calibri" w:hAnsi="Calibri" w:cs="Calibri"/>
                <w:color w:val="000000"/>
                <w:sz w:val="18"/>
              </w:rPr>
              <w:t xml:space="preserve"> </w:t>
            </w:r>
            <w:proofErr w:type="spellStart"/>
            <w:r w:rsidR="001C0CA4" w:rsidRPr="00EF56B6">
              <w:rPr>
                <w:rFonts w:ascii="Calibri" w:hAnsi="Calibri" w:cs="Calibri"/>
                <w:color w:val="000000"/>
                <w:sz w:val="18"/>
              </w:rPr>
              <w:t>ppt</w:t>
            </w:r>
            <w:proofErr w:type="spellEnd"/>
          </w:p>
        </w:tc>
        <w:tc>
          <w:tcPr>
            <w:tcW w:w="1068" w:type="dxa"/>
            <w:shd w:val="clear" w:color="auto" w:fill="auto"/>
            <w:vAlign w:val="center"/>
          </w:tcPr>
          <w:p w14:paraId="7035402D" w14:textId="77777777" w:rsidR="00937C11" w:rsidRPr="00EF56B6" w:rsidRDefault="003E1186" w:rsidP="003E1186">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-3.4</w:t>
            </w:r>
            <w:r w:rsidR="001C0CA4" w:rsidRPr="00EF56B6">
              <w:rPr>
                <w:rFonts w:ascii="Calibri" w:hAnsi="Calibri" w:cs="Calibri"/>
                <w:color w:val="000000"/>
                <w:sz w:val="18"/>
              </w:rPr>
              <w:t xml:space="preserve"> </w:t>
            </w:r>
            <w:proofErr w:type="spellStart"/>
            <w:r w:rsidR="001C0CA4" w:rsidRPr="00EF56B6">
              <w:rPr>
                <w:rFonts w:ascii="Calibri" w:hAnsi="Calibri" w:cs="Calibri"/>
                <w:color w:val="000000"/>
                <w:sz w:val="18"/>
              </w:rPr>
              <w:t>ppt</w:t>
            </w:r>
            <w:proofErr w:type="spellEnd"/>
          </w:p>
        </w:tc>
        <w:tc>
          <w:tcPr>
            <w:tcW w:w="1047" w:type="dxa"/>
            <w:shd w:val="clear" w:color="auto" w:fill="auto"/>
            <w:vAlign w:val="center"/>
          </w:tcPr>
          <w:p w14:paraId="45EBE36D" w14:textId="77777777" w:rsidR="00937C11" w:rsidRPr="00EF56B6" w:rsidRDefault="001C0CA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roofErr w:type="spellStart"/>
            <w:r w:rsidRPr="00EF56B6">
              <w:rPr>
                <w:rFonts w:ascii="Calibri" w:hAnsi="Calibri" w:cs="Calibri"/>
                <w:color w:val="000000"/>
                <w:sz w:val="18"/>
              </w:rPr>
              <w:t>na</w:t>
            </w:r>
            <w:proofErr w:type="spellEnd"/>
          </w:p>
        </w:tc>
        <w:tc>
          <w:tcPr>
            <w:tcW w:w="1424" w:type="dxa"/>
            <w:shd w:val="clear" w:color="auto" w:fill="auto"/>
            <w:vAlign w:val="center"/>
          </w:tcPr>
          <w:p w14:paraId="0580A7CA" w14:textId="77777777" w:rsidR="00937C11" w:rsidRPr="00EF56B6" w:rsidRDefault="003E1186"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3.1</w:t>
            </w:r>
            <w:r w:rsidR="001C0CA4" w:rsidRPr="00EF56B6">
              <w:rPr>
                <w:rFonts w:ascii="Calibri" w:hAnsi="Calibri" w:cs="Calibri"/>
                <w:color w:val="000000"/>
                <w:sz w:val="18"/>
              </w:rPr>
              <w:t xml:space="preserve"> </w:t>
            </w:r>
            <w:proofErr w:type="spellStart"/>
            <w:r w:rsidR="001C0CA4" w:rsidRPr="00EF56B6">
              <w:rPr>
                <w:rFonts w:ascii="Calibri" w:hAnsi="Calibri" w:cs="Calibri"/>
                <w:color w:val="000000"/>
                <w:sz w:val="18"/>
              </w:rPr>
              <w:t>ppt</w:t>
            </w:r>
            <w:proofErr w:type="spellEnd"/>
          </w:p>
        </w:tc>
      </w:tr>
      <w:tr w:rsidR="00B243D8" w:rsidRPr="00EF56B6" w14:paraId="310679FF"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413B5CD8" w14:textId="77777777" w:rsidR="003763FC" w:rsidRPr="00EF56B6" w:rsidRDefault="003763FC"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 </w:t>
            </w:r>
          </w:p>
        </w:tc>
        <w:tc>
          <w:tcPr>
            <w:tcW w:w="931" w:type="dxa"/>
            <w:vAlign w:val="center"/>
          </w:tcPr>
          <w:p w14:paraId="1D659F71" w14:textId="77777777" w:rsidR="003763FC" w:rsidRPr="00EF56B6" w:rsidRDefault="003763FC"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261" w:type="dxa"/>
            <w:vAlign w:val="center"/>
          </w:tcPr>
          <w:p w14:paraId="5EA264C7" w14:textId="77777777" w:rsidR="003763FC" w:rsidRPr="00EF56B6" w:rsidRDefault="003763FC"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74" w:type="dxa"/>
            <w:vAlign w:val="center"/>
          </w:tcPr>
          <w:p w14:paraId="1700FF03" w14:textId="77777777" w:rsidR="003763FC" w:rsidRPr="00EF56B6"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68" w:type="dxa"/>
            <w:vAlign w:val="center"/>
          </w:tcPr>
          <w:p w14:paraId="1C43CBF7" w14:textId="77777777" w:rsidR="003763FC" w:rsidRPr="00EF56B6"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047" w:type="dxa"/>
            <w:vAlign w:val="center"/>
          </w:tcPr>
          <w:p w14:paraId="6FF48D35" w14:textId="77777777" w:rsidR="003763FC" w:rsidRPr="00EF56B6" w:rsidRDefault="003763F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c>
          <w:tcPr>
            <w:tcW w:w="1424" w:type="dxa"/>
            <w:vAlign w:val="center"/>
          </w:tcPr>
          <w:p w14:paraId="13DA193A" w14:textId="77777777" w:rsidR="003763FC" w:rsidRPr="00EF56B6" w:rsidRDefault="003763FC"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
        </w:tc>
      </w:tr>
      <w:tr w:rsidR="00B243D8" w:rsidRPr="00EF56B6" w14:paraId="033C847A"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608300C1" w14:textId="77777777" w:rsidR="00937C11" w:rsidRPr="00EF56B6" w:rsidRDefault="00937C11"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WPI growth (NT)</w:t>
            </w:r>
          </w:p>
        </w:tc>
        <w:tc>
          <w:tcPr>
            <w:tcW w:w="931" w:type="dxa"/>
            <w:shd w:val="clear" w:color="auto" w:fill="auto"/>
            <w:vAlign w:val="center"/>
          </w:tcPr>
          <w:p w14:paraId="1CC0D324" w14:textId="77777777" w:rsidR="00937C11" w:rsidRPr="00EF56B6" w:rsidRDefault="003E1186" w:rsidP="003E1186">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Mar-24</w:t>
            </w:r>
          </w:p>
        </w:tc>
        <w:tc>
          <w:tcPr>
            <w:tcW w:w="1261" w:type="dxa"/>
            <w:shd w:val="clear" w:color="auto" w:fill="auto"/>
            <w:vAlign w:val="center"/>
          </w:tcPr>
          <w:p w14:paraId="2C70DC8D" w14:textId="77777777" w:rsidR="00937C11" w:rsidRPr="00EF56B6" w:rsidRDefault="003E1186" w:rsidP="003E1186">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4.1</w:t>
            </w:r>
            <w:r w:rsidR="001C0CA4" w:rsidRPr="00EF56B6">
              <w:rPr>
                <w:rFonts w:ascii="Calibri" w:hAnsi="Calibri" w:cs="Calibri"/>
                <w:color w:val="000000"/>
                <w:sz w:val="18"/>
              </w:rPr>
              <w:t>%</w:t>
            </w:r>
          </w:p>
        </w:tc>
        <w:tc>
          <w:tcPr>
            <w:tcW w:w="1074" w:type="dxa"/>
            <w:shd w:val="clear" w:color="auto" w:fill="auto"/>
            <w:vAlign w:val="center"/>
          </w:tcPr>
          <w:p w14:paraId="00C9EA36" w14:textId="77777777" w:rsidR="00937C11" w:rsidRPr="00EF56B6" w:rsidRDefault="00F64ECC"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w:t>
            </w:r>
            <w:r w:rsidR="001C0CA4" w:rsidRPr="00EF56B6">
              <w:rPr>
                <w:rFonts w:ascii="Calibri" w:hAnsi="Calibri" w:cs="Calibri"/>
                <w:color w:val="000000"/>
                <w:sz w:val="18"/>
              </w:rPr>
              <w:t>0.</w:t>
            </w:r>
            <w:r w:rsidR="00101BA0" w:rsidRPr="00EF56B6">
              <w:rPr>
                <w:rFonts w:ascii="Calibri" w:hAnsi="Calibri" w:cs="Calibri"/>
                <w:color w:val="000000"/>
                <w:sz w:val="18"/>
              </w:rPr>
              <w:t>2</w:t>
            </w:r>
            <w:r w:rsidR="001C0CA4" w:rsidRPr="00EF56B6">
              <w:rPr>
                <w:rFonts w:ascii="Calibri" w:hAnsi="Calibri" w:cs="Calibri"/>
                <w:color w:val="000000"/>
                <w:sz w:val="18"/>
              </w:rPr>
              <w:t xml:space="preserve"> </w:t>
            </w:r>
            <w:proofErr w:type="spellStart"/>
            <w:r w:rsidR="001C0CA4" w:rsidRPr="00EF56B6">
              <w:rPr>
                <w:rFonts w:ascii="Calibri" w:hAnsi="Calibri" w:cs="Calibri"/>
                <w:color w:val="000000"/>
                <w:sz w:val="18"/>
              </w:rPr>
              <w:t>ppt</w:t>
            </w:r>
            <w:proofErr w:type="spellEnd"/>
          </w:p>
        </w:tc>
        <w:tc>
          <w:tcPr>
            <w:tcW w:w="1068" w:type="dxa"/>
            <w:shd w:val="clear" w:color="auto" w:fill="auto"/>
            <w:vAlign w:val="center"/>
          </w:tcPr>
          <w:p w14:paraId="5D2ADD0D" w14:textId="77777777" w:rsidR="00937C11" w:rsidRPr="00EF56B6" w:rsidRDefault="00F64ECC" w:rsidP="00F64EC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1.2</w:t>
            </w:r>
            <w:r w:rsidR="001C0CA4" w:rsidRPr="00EF56B6">
              <w:rPr>
                <w:rFonts w:ascii="Calibri" w:hAnsi="Calibri" w:cs="Calibri"/>
                <w:color w:val="000000"/>
                <w:sz w:val="18"/>
              </w:rPr>
              <w:t xml:space="preserve"> </w:t>
            </w:r>
            <w:proofErr w:type="spellStart"/>
            <w:r w:rsidR="001C0CA4" w:rsidRPr="00EF56B6">
              <w:rPr>
                <w:rFonts w:ascii="Calibri" w:hAnsi="Calibri" w:cs="Calibri"/>
                <w:color w:val="000000"/>
                <w:sz w:val="18"/>
              </w:rPr>
              <w:t>ppt</w:t>
            </w:r>
            <w:proofErr w:type="spellEnd"/>
          </w:p>
        </w:tc>
        <w:tc>
          <w:tcPr>
            <w:tcW w:w="1047" w:type="dxa"/>
            <w:shd w:val="clear" w:color="auto" w:fill="auto"/>
            <w:vAlign w:val="center"/>
          </w:tcPr>
          <w:p w14:paraId="506F27D8" w14:textId="77777777" w:rsidR="00937C11" w:rsidRPr="00EF56B6" w:rsidRDefault="001C0CA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roofErr w:type="spellStart"/>
            <w:r w:rsidRPr="00EF56B6">
              <w:rPr>
                <w:rFonts w:ascii="Calibri" w:hAnsi="Calibri" w:cs="Calibri"/>
                <w:color w:val="000000"/>
                <w:sz w:val="18"/>
              </w:rPr>
              <w:t>na</w:t>
            </w:r>
            <w:proofErr w:type="spellEnd"/>
          </w:p>
        </w:tc>
        <w:tc>
          <w:tcPr>
            <w:tcW w:w="1424" w:type="dxa"/>
            <w:shd w:val="clear" w:color="auto" w:fill="auto"/>
            <w:vAlign w:val="center"/>
          </w:tcPr>
          <w:p w14:paraId="535872E4" w14:textId="77777777" w:rsidR="00937C11" w:rsidRPr="00EF56B6" w:rsidRDefault="00F64ECC" w:rsidP="00F64ECC">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xml:space="preserve">1.7 </w:t>
            </w:r>
            <w:proofErr w:type="spellStart"/>
            <w:r w:rsidR="001C0CA4" w:rsidRPr="00EF56B6">
              <w:rPr>
                <w:rFonts w:ascii="Calibri" w:hAnsi="Calibri" w:cs="Calibri"/>
                <w:color w:val="000000"/>
                <w:sz w:val="18"/>
              </w:rPr>
              <w:t>ppt</w:t>
            </w:r>
            <w:proofErr w:type="spellEnd"/>
          </w:p>
        </w:tc>
      </w:tr>
      <w:tr w:rsidR="00B243D8" w:rsidRPr="00EF56B6" w14:paraId="271DF949"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43B2E229" w14:textId="77777777" w:rsidR="00937C11" w:rsidRPr="00EF56B6" w:rsidRDefault="00720F41"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WPI growth (</w:t>
            </w:r>
            <w:proofErr w:type="spellStart"/>
            <w:r w:rsidRPr="00EF56B6">
              <w:rPr>
                <w:rFonts w:ascii="Calibri" w:hAnsi="Calibri" w:cs="Calibri"/>
                <w:iCs/>
                <w:color w:val="000000"/>
                <w:sz w:val="18"/>
              </w:rPr>
              <w:t>Aus</w:t>
            </w:r>
            <w:proofErr w:type="spellEnd"/>
            <w:r w:rsidR="00937C11" w:rsidRPr="00EF56B6">
              <w:rPr>
                <w:rFonts w:ascii="Calibri" w:hAnsi="Calibri" w:cs="Calibri"/>
                <w:iCs/>
                <w:color w:val="000000"/>
                <w:sz w:val="18"/>
              </w:rPr>
              <w:t>)</w:t>
            </w:r>
          </w:p>
        </w:tc>
        <w:tc>
          <w:tcPr>
            <w:tcW w:w="931" w:type="dxa"/>
            <w:vAlign w:val="center"/>
          </w:tcPr>
          <w:p w14:paraId="409B0E52" w14:textId="77777777" w:rsidR="00937C11" w:rsidRPr="00EF56B6" w:rsidRDefault="00F64ECC"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Mar-24</w:t>
            </w:r>
          </w:p>
        </w:tc>
        <w:tc>
          <w:tcPr>
            <w:tcW w:w="1261" w:type="dxa"/>
            <w:vAlign w:val="center"/>
          </w:tcPr>
          <w:p w14:paraId="17813EF3" w14:textId="77777777" w:rsidR="00937C11" w:rsidRPr="00EF56B6" w:rsidRDefault="00F64ECC" w:rsidP="00F64ECC">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4.1</w:t>
            </w:r>
            <w:r w:rsidR="001C0CA4" w:rsidRPr="00EF56B6">
              <w:rPr>
                <w:rFonts w:ascii="Calibri" w:hAnsi="Calibri" w:cs="Calibri"/>
                <w:color w:val="000000"/>
                <w:sz w:val="18"/>
              </w:rPr>
              <w:t>%</w:t>
            </w:r>
          </w:p>
        </w:tc>
        <w:tc>
          <w:tcPr>
            <w:tcW w:w="1074" w:type="dxa"/>
            <w:vAlign w:val="center"/>
          </w:tcPr>
          <w:p w14:paraId="5458BDFA" w14:textId="77777777" w:rsidR="00937C11" w:rsidRPr="00EF56B6" w:rsidRDefault="00F64ECC"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w:t>
            </w:r>
            <w:r w:rsidR="001C0CA4" w:rsidRPr="00EF56B6">
              <w:rPr>
                <w:rFonts w:ascii="Calibri" w:hAnsi="Calibri" w:cs="Calibri"/>
                <w:color w:val="000000"/>
                <w:sz w:val="18"/>
              </w:rPr>
              <w:t>0.</w:t>
            </w:r>
            <w:r w:rsidR="00101BA0" w:rsidRPr="00EF56B6">
              <w:rPr>
                <w:rFonts w:ascii="Calibri" w:hAnsi="Calibri" w:cs="Calibri"/>
                <w:color w:val="000000"/>
                <w:sz w:val="18"/>
              </w:rPr>
              <w:t>2</w:t>
            </w:r>
            <w:r w:rsidR="001C0CA4" w:rsidRPr="00EF56B6">
              <w:rPr>
                <w:rFonts w:ascii="Calibri" w:hAnsi="Calibri" w:cs="Calibri"/>
                <w:color w:val="000000"/>
                <w:sz w:val="18"/>
              </w:rPr>
              <w:t xml:space="preserve"> </w:t>
            </w:r>
            <w:proofErr w:type="spellStart"/>
            <w:r w:rsidR="001C0CA4" w:rsidRPr="00EF56B6">
              <w:rPr>
                <w:rFonts w:ascii="Calibri" w:hAnsi="Calibri" w:cs="Calibri"/>
                <w:color w:val="000000"/>
                <w:sz w:val="18"/>
              </w:rPr>
              <w:t>ppt</w:t>
            </w:r>
            <w:proofErr w:type="spellEnd"/>
          </w:p>
        </w:tc>
        <w:tc>
          <w:tcPr>
            <w:tcW w:w="1068" w:type="dxa"/>
            <w:vAlign w:val="center"/>
          </w:tcPr>
          <w:p w14:paraId="6B7D0785" w14:textId="77777777" w:rsidR="00937C11" w:rsidRPr="00EF56B6" w:rsidRDefault="00F64ECC" w:rsidP="00F64EC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0.5</w:t>
            </w:r>
            <w:r w:rsidR="001C0CA4" w:rsidRPr="00EF56B6">
              <w:rPr>
                <w:rFonts w:ascii="Calibri" w:hAnsi="Calibri" w:cs="Calibri"/>
                <w:color w:val="000000"/>
                <w:sz w:val="18"/>
              </w:rPr>
              <w:t xml:space="preserve"> </w:t>
            </w:r>
            <w:proofErr w:type="spellStart"/>
            <w:r w:rsidR="001C0CA4" w:rsidRPr="00EF56B6">
              <w:rPr>
                <w:rFonts w:ascii="Calibri" w:hAnsi="Calibri" w:cs="Calibri"/>
                <w:color w:val="000000"/>
                <w:sz w:val="18"/>
              </w:rPr>
              <w:t>ppt</w:t>
            </w:r>
            <w:proofErr w:type="spellEnd"/>
          </w:p>
        </w:tc>
        <w:tc>
          <w:tcPr>
            <w:tcW w:w="1047" w:type="dxa"/>
            <w:vAlign w:val="center"/>
          </w:tcPr>
          <w:p w14:paraId="36966224" w14:textId="77777777" w:rsidR="00937C11" w:rsidRPr="00EF56B6" w:rsidRDefault="001C0CA4"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roofErr w:type="spellStart"/>
            <w:r w:rsidRPr="00EF56B6">
              <w:rPr>
                <w:rFonts w:ascii="Calibri" w:hAnsi="Calibri" w:cs="Calibri"/>
                <w:color w:val="000000"/>
                <w:sz w:val="18"/>
              </w:rPr>
              <w:t>na</w:t>
            </w:r>
            <w:proofErr w:type="spellEnd"/>
          </w:p>
        </w:tc>
        <w:tc>
          <w:tcPr>
            <w:tcW w:w="1424" w:type="dxa"/>
            <w:vAlign w:val="center"/>
          </w:tcPr>
          <w:p w14:paraId="423FDD6A" w14:textId="77777777" w:rsidR="00937C11" w:rsidRPr="00EF56B6" w:rsidRDefault="00F64ECC" w:rsidP="00F64ECC">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1.7</w:t>
            </w:r>
            <w:r w:rsidR="001C0CA4" w:rsidRPr="00EF56B6">
              <w:rPr>
                <w:rFonts w:ascii="Calibri" w:hAnsi="Calibri" w:cs="Calibri"/>
                <w:color w:val="000000"/>
                <w:sz w:val="18"/>
              </w:rPr>
              <w:t>ppt</w:t>
            </w:r>
          </w:p>
        </w:tc>
      </w:tr>
      <w:tr w:rsidR="00B243D8" w:rsidRPr="00EF56B6" w14:paraId="2CF3B3F3"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43F12DD3" w14:textId="77777777" w:rsidR="004F7E54" w:rsidRPr="00EF56B6" w:rsidRDefault="00995976" w:rsidP="00256555">
            <w:pPr>
              <w:spacing w:before="0" w:after="0"/>
              <w:rPr>
                <w:rFonts w:ascii="Calibri" w:hAnsi="Calibri"/>
                <w:b/>
                <w:sz w:val="18"/>
              </w:rPr>
            </w:pPr>
            <w:r w:rsidRPr="00EF56B6">
              <w:rPr>
                <w:rFonts w:ascii="Calibri" w:hAnsi="Calibri"/>
                <w:b/>
                <w:sz w:val="18"/>
              </w:rPr>
              <w:t>Employment</w:t>
            </w:r>
          </w:p>
        </w:tc>
        <w:tc>
          <w:tcPr>
            <w:tcW w:w="931" w:type="dxa"/>
            <w:vAlign w:val="center"/>
          </w:tcPr>
          <w:p w14:paraId="1677DC5C" w14:textId="77777777" w:rsidR="004F7E54" w:rsidRPr="00EF56B6" w:rsidRDefault="004F7E5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261" w:type="dxa"/>
            <w:vAlign w:val="center"/>
          </w:tcPr>
          <w:p w14:paraId="0F4D6DB2" w14:textId="77777777" w:rsidR="004F7E54" w:rsidRPr="00EF56B6" w:rsidRDefault="00461158"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rPr>
            </w:pPr>
            <w:r w:rsidRPr="00EF56B6">
              <w:rPr>
                <w:rFonts w:ascii="Calibri" w:hAnsi="Calibri" w:cs="Calibri"/>
                <w:b/>
                <w:color w:val="000000"/>
                <w:sz w:val="18"/>
              </w:rPr>
              <w:t>#M</w:t>
            </w:r>
          </w:p>
        </w:tc>
        <w:tc>
          <w:tcPr>
            <w:tcW w:w="1074" w:type="dxa"/>
            <w:vAlign w:val="center"/>
          </w:tcPr>
          <w:p w14:paraId="287608F4" w14:textId="77777777" w:rsidR="004F7E54" w:rsidRPr="00EF56B6"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068" w:type="dxa"/>
            <w:vAlign w:val="center"/>
          </w:tcPr>
          <w:p w14:paraId="53423076" w14:textId="77777777" w:rsidR="004F7E54" w:rsidRPr="00EF56B6"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047" w:type="dxa"/>
            <w:vAlign w:val="center"/>
          </w:tcPr>
          <w:p w14:paraId="2D4A0512" w14:textId="77777777" w:rsidR="004F7E54" w:rsidRPr="00EF56B6"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424" w:type="dxa"/>
            <w:vAlign w:val="center"/>
          </w:tcPr>
          <w:p w14:paraId="0BB15417" w14:textId="77777777" w:rsidR="004F7E54" w:rsidRPr="00EF56B6" w:rsidRDefault="004F7E54"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r>
      <w:tr w:rsidR="00B243D8" w:rsidRPr="00EF56B6" w14:paraId="67E4E3FA"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1C4B3098" w14:textId="77777777" w:rsidR="00937C11" w:rsidRPr="00EF56B6" w:rsidRDefault="00937C11"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Employment (NT) (</w:t>
            </w:r>
            <w:proofErr w:type="spellStart"/>
            <w:r w:rsidRPr="00EF56B6">
              <w:rPr>
                <w:rFonts w:ascii="Calibri" w:hAnsi="Calibri" w:cs="Calibri"/>
                <w:iCs/>
                <w:color w:val="000000"/>
                <w:sz w:val="18"/>
              </w:rPr>
              <w:t>sa</w:t>
            </w:r>
            <w:proofErr w:type="spellEnd"/>
            <w:r w:rsidRPr="00EF56B6">
              <w:rPr>
                <w:rFonts w:ascii="Calibri" w:hAnsi="Calibri" w:cs="Calibri"/>
                <w:iCs/>
                <w:color w:val="000000"/>
                <w:sz w:val="18"/>
              </w:rPr>
              <w:t>)</w:t>
            </w:r>
          </w:p>
        </w:tc>
        <w:tc>
          <w:tcPr>
            <w:tcW w:w="931" w:type="dxa"/>
            <w:vAlign w:val="center"/>
          </w:tcPr>
          <w:p w14:paraId="0B93FD5B" w14:textId="77777777" w:rsidR="00937C11" w:rsidRPr="00EF56B6" w:rsidRDefault="0038654C"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May</w:t>
            </w:r>
            <w:r w:rsidR="00F476B4" w:rsidRPr="00EF56B6">
              <w:rPr>
                <w:rFonts w:ascii="Calibri" w:hAnsi="Calibri" w:cs="Calibri"/>
                <w:color w:val="000000"/>
                <w:sz w:val="18"/>
              </w:rPr>
              <w:t>-24</w:t>
            </w:r>
          </w:p>
        </w:tc>
        <w:tc>
          <w:tcPr>
            <w:tcW w:w="1261" w:type="dxa"/>
            <w:vAlign w:val="center"/>
          </w:tcPr>
          <w:p w14:paraId="476B4022" w14:textId="77777777" w:rsidR="00937C11" w:rsidRPr="00EF56B6" w:rsidRDefault="0038654C" w:rsidP="00F64ECC">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0.139</w:t>
            </w:r>
          </w:p>
        </w:tc>
        <w:tc>
          <w:tcPr>
            <w:tcW w:w="1074" w:type="dxa"/>
            <w:vAlign w:val="center"/>
          </w:tcPr>
          <w:p w14:paraId="78883B67" w14:textId="77777777" w:rsidR="00937C11" w:rsidRPr="00EF56B6" w:rsidRDefault="00F64ECC" w:rsidP="0038654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w:t>
            </w:r>
            <w:r w:rsidR="0038654C" w:rsidRPr="00EF56B6">
              <w:rPr>
                <w:rFonts w:ascii="Calibri" w:hAnsi="Calibri" w:cs="Calibri"/>
                <w:color w:val="000000"/>
                <w:sz w:val="18"/>
              </w:rPr>
              <w:t>0.4</w:t>
            </w:r>
            <w:r w:rsidR="001C0CA4" w:rsidRPr="00EF56B6">
              <w:rPr>
                <w:rFonts w:ascii="Calibri" w:hAnsi="Calibri" w:cs="Calibri"/>
                <w:color w:val="000000"/>
                <w:sz w:val="18"/>
              </w:rPr>
              <w:t>%</w:t>
            </w:r>
          </w:p>
        </w:tc>
        <w:tc>
          <w:tcPr>
            <w:tcW w:w="1068" w:type="dxa"/>
            <w:vAlign w:val="center"/>
          </w:tcPr>
          <w:p w14:paraId="1D5BE391" w14:textId="77777777" w:rsidR="00937C11" w:rsidRPr="00EF56B6" w:rsidRDefault="00F64ECC" w:rsidP="00F64EC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w:t>
            </w:r>
            <w:r w:rsidR="0038654C" w:rsidRPr="00EF56B6">
              <w:rPr>
                <w:rFonts w:ascii="Calibri" w:hAnsi="Calibri" w:cs="Calibri"/>
                <w:color w:val="000000"/>
                <w:sz w:val="18"/>
              </w:rPr>
              <w:t>.7</w:t>
            </w:r>
            <w:r w:rsidR="001C0CA4" w:rsidRPr="00EF56B6">
              <w:rPr>
                <w:rFonts w:ascii="Calibri" w:hAnsi="Calibri" w:cs="Calibri"/>
                <w:color w:val="000000"/>
                <w:sz w:val="18"/>
              </w:rPr>
              <w:t>%</w:t>
            </w:r>
          </w:p>
        </w:tc>
        <w:tc>
          <w:tcPr>
            <w:tcW w:w="1047" w:type="dxa"/>
            <w:vAlign w:val="center"/>
          </w:tcPr>
          <w:p w14:paraId="693602F9" w14:textId="77777777" w:rsidR="00937C11" w:rsidRPr="00EF56B6" w:rsidRDefault="0038654C" w:rsidP="0038654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1.6</w:t>
            </w:r>
            <w:r w:rsidR="001C0CA4" w:rsidRPr="00EF56B6">
              <w:rPr>
                <w:rFonts w:ascii="Calibri" w:hAnsi="Calibri" w:cs="Calibri"/>
                <w:color w:val="000000"/>
                <w:sz w:val="18"/>
              </w:rPr>
              <w:t>%</w:t>
            </w:r>
          </w:p>
        </w:tc>
        <w:tc>
          <w:tcPr>
            <w:tcW w:w="1424" w:type="dxa"/>
            <w:vAlign w:val="center"/>
          </w:tcPr>
          <w:p w14:paraId="581CE75E" w14:textId="77777777" w:rsidR="00937C11" w:rsidRPr="00EF56B6" w:rsidRDefault="0038654C" w:rsidP="00F64ECC">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5.3</w:t>
            </w:r>
            <w:r w:rsidR="001C0CA4" w:rsidRPr="00EF56B6">
              <w:rPr>
                <w:rFonts w:ascii="Calibri" w:hAnsi="Calibri" w:cs="Calibri"/>
                <w:color w:val="000000"/>
                <w:sz w:val="18"/>
              </w:rPr>
              <w:t>%</w:t>
            </w:r>
          </w:p>
        </w:tc>
      </w:tr>
      <w:tr w:rsidR="00B243D8" w:rsidRPr="00EF56B6" w14:paraId="0E3EAD48"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530ADE10" w14:textId="77777777" w:rsidR="00937C11" w:rsidRPr="00EF56B6" w:rsidRDefault="00937C11"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Employment (</w:t>
            </w:r>
            <w:proofErr w:type="spellStart"/>
            <w:r w:rsidRPr="00EF56B6">
              <w:rPr>
                <w:rFonts w:ascii="Calibri" w:hAnsi="Calibri" w:cs="Calibri"/>
                <w:iCs/>
                <w:color w:val="000000"/>
                <w:sz w:val="18"/>
              </w:rPr>
              <w:t>Aus</w:t>
            </w:r>
            <w:proofErr w:type="spellEnd"/>
            <w:r w:rsidRPr="00EF56B6">
              <w:rPr>
                <w:rFonts w:ascii="Calibri" w:hAnsi="Calibri" w:cs="Calibri"/>
                <w:iCs/>
                <w:color w:val="000000"/>
                <w:sz w:val="18"/>
              </w:rPr>
              <w:t>) (</w:t>
            </w:r>
            <w:proofErr w:type="spellStart"/>
            <w:r w:rsidRPr="00EF56B6">
              <w:rPr>
                <w:rFonts w:ascii="Calibri" w:hAnsi="Calibri" w:cs="Calibri"/>
                <w:iCs/>
                <w:color w:val="000000"/>
                <w:sz w:val="18"/>
              </w:rPr>
              <w:t>sa</w:t>
            </w:r>
            <w:proofErr w:type="spellEnd"/>
            <w:r w:rsidRPr="00EF56B6">
              <w:rPr>
                <w:rFonts w:ascii="Calibri" w:hAnsi="Calibri" w:cs="Calibri"/>
                <w:iCs/>
                <w:color w:val="000000"/>
                <w:sz w:val="18"/>
              </w:rPr>
              <w:t>)</w:t>
            </w:r>
          </w:p>
        </w:tc>
        <w:tc>
          <w:tcPr>
            <w:tcW w:w="931" w:type="dxa"/>
            <w:shd w:val="clear" w:color="auto" w:fill="auto"/>
            <w:vAlign w:val="center"/>
          </w:tcPr>
          <w:p w14:paraId="62F5E965" w14:textId="77777777" w:rsidR="00937C11" w:rsidRPr="00EF56B6" w:rsidRDefault="0038654C" w:rsidP="00F64EC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May-</w:t>
            </w:r>
            <w:r w:rsidR="00F476B4" w:rsidRPr="00EF56B6">
              <w:rPr>
                <w:rFonts w:ascii="Calibri" w:hAnsi="Calibri" w:cs="Calibri"/>
                <w:color w:val="000000"/>
                <w:sz w:val="18"/>
              </w:rPr>
              <w:t>24</w:t>
            </w:r>
          </w:p>
        </w:tc>
        <w:tc>
          <w:tcPr>
            <w:tcW w:w="1261" w:type="dxa"/>
            <w:shd w:val="clear" w:color="auto" w:fill="auto"/>
            <w:vAlign w:val="center"/>
          </w:tcPr>
          <w:p w14:paraId="0F07C2E0" w14:textId="77777777" w:rsidR="00937C11" w:rsidRPr="00EF56B6" w:rsidRDefault="0038654C" w:rsidP="00F64ECC">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14.356</w:t>
            </w:r>
          </w:p>
        </w:tc>
        <w:tc>
          <w:tcPr>
            <w:tcW w:w="1074" w:type="dxa"/>
            <w:shd w:val="clear" w:color="auto" w:fill="auto"/>
            <w:vAlign w:val="center"/>
          </w:tcPr>
          <w:p w14:paraId="37CBD687" w14:textId="77777777" w:rsidR="00937C11" w:rsidRPr="00EF56B6" w:rsidRDefault="00F64ECC" w:rsidP="00F64EC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0.3</w:t>
            </w:r>
            <w:r w:rsidR="001C0CA4" w:rsidRPr="00EF56B6">
              <w:rPr>
                <w:rFonts w:ascii="Calibri" w:hAnsi="Calibri" w:cs="Calibri"/>
                <w:color w:val="000000"/>
                <w:sz w:val="18"/>
              </w:rPr>
              <w:t>%</w:t>
            </w:r>
          </w:p>
        </w:tc>
        <w:tc>
          <w:tcPr>
            <w:tcW w:w="1068" w:type="dxa"/>
            <w:shd w:val="clear" w:color="auto" w:fill="auto"/>
            <w:vAlign w:val="center"/>
          </w:tcPr>
          <w:p w14:paraId="21F1DA01" w14:textId="77777777" w:rsidR="00937C11" w:rsidRPr="00EF56B6" w:rsidRDefault="0038654C" w:rsidP="00F64EC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2.5</w:t>
            </w:r>
            <w:r w:rsidR="001C0CA4" w:rsidRPr="00EF56B6">
              <w:rPr>
                <w:rFonts w:ascii="Calibri" w:hAnsi="Calibri" w:cs="Calibri"/>
                <w:color w:val="000000"/>
                <w:sz w:val="18"/>
              </w:rPr>
              <w:t>%</w:t>
            </w:r>
          </w:p>
        </w:tc>
        <w:tc>
          <w:tcPr>
            <w:tcW w:w="1047" w:type="dxa"/>
            <w:shd w:val="clear" w:color="auto" w:fill="auto"/>
            <w:vAlign w:val="center"/>
          </w:tcPr>
          <w:p w14:paraId="56450D7D" w14:textId="77777777" w:rsidR="00937C11" w:rsidRPr="00EF56B6" w:rsidRDefault="0038654C" w:rsidP="00F64ECC">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3</w:t>
            </w:r>
            <w:r w:rsidR="004F47A5" w:rsidRPr="00EF56B6">
              <w:rPr>
                <w:rFonts w:ascii="Calibri" w:hAnsi="Calibri" w:cs="Calibri"/>
                <w:color w:val="000000"/>
                <w:sz w:val="18"/>
              </w:rPr>
              <w:t>.0</w:t>
            </w:r>
            <w:r w:rsidR="001C0CA4" w:rsidRPr="00EF56B6">
              <w:rPr>
                <w:rFonts w:ascii="Calibri" w:hAnsi="Calibri" w:cs="Calibri"/>
                <w:color w:val="000000"/>
                <w:sz w:val="18"/>
              </w:rPr>
              <w:t>%</w:t>
            </w:r>
          </w:p>
        </w:tc>
        <w:tc>
          <w:tcPr>
            <w:tcW w:w="1424" w:type="dxa"/>
            <w:shd w:val="clear" w:color="auto" w:fill="auto"/>
            <w:vAlign w:val="center"/>
          </w:tcPr>
          <w:p w14:paraId="322345EF" w14:textId="77777777" w:rsidR="00937C11" w:rsidRPr="00EF56B6" w:rsidRDefault="0038654C" w:rsidP="00F64ECC">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10.6</w:t>
            </w:r>
            <w:r w:rsidR="001C0CA4" w:rsidRPr="00EF56B6">
              <w:rPr>
                <w:rFonts w:ascii="Calibri" w:hAnsi="Calibri" w:cs="Calibri"/>
                <w:color w:val="000000"/>
                <w:sz w:val="18"/>
              </w:rPr>
              <w:t>%</w:t>
            </w:r>
          </w:p>
        </w:tc>
      </w:tr>
      <w:tr w:rsidR="00995976" w:rsidRPr="00EF56B6" w14:paraId="6043E127"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D9D9D9" w:themeFill="background1" w:themeFillShade="D9"/>
            <w:vAlign w:val="center"/>
          </w:tcPr>
          <w:p w14:paraId="158A5343" w14:textId="77777777" w:rsidR="00995976" w:rsidRPr="00EF56B6" w:rsidRDefault="00995976" w:rsidP="00256555">
            <w:pPr>
              <w:spacing w:before="0" w:after="0"/>
              <w:rPr>
                <w:rFonts w:ascii="Calibri" w:hAnsi="Calibri"/>
                <w:b/>
                <w:sz w:val="18"/>
              </w:rPr>
            </w:pPr>
            <w:r w:rsidRPr="00EF56B6">
              <w:rPr>
                <w:rFonts w:ascii="Calibri" w:hAnsi="Calibri"/>
                <w:b/>
                <w:sz w:val="18"/>
              </w:rPr>
              <w:t>Unemployment</w:t>
            </w:r>
          </w:p>
        </w:tc>
        <w:tc>
          <w:tcPr>
            <w:tcW w:w="931" w:type="dxa"/>
            <w:shd w:val="clear" w:color="auto" w:fill="D9D9D9" w:themeFill="background1" w:themeFillShade="D9"/>
            <w:vAlign w:val="center"/>
          </w:tcPr>
          <w:p w14:paraId="76A8FC57" w14:textId="77777777" w:rsidR="00995976" w:rsidRPr="00EF56B6" w:rsidRDefault="00995976"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261" w:type="dxa"/>
            <w:shd w:val="clear" w:color="auto" w:fill="D9D9D9" w:themeFill="background1" w:themeFillShade="D9"/>
            <w:vAlign w:val="center"/>
          </w:tcPr>
          <w:p w14:paraId="4BE58EFD" w14:textId="77777777" w:rsidR="00995976" w:rsidRPr="00EF56B6" w:rsidRDefault="00995976"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rPr>
            </w:pPr>
            <w:r w:rsidRPr="00EF56B6">
              <w:rPr>
                <w:rFonts w:ascii="Calibri" w:hAnsi="Calibri" w:cs="Calibri"/>
                <w:b/>
                <w:color w:val="000000"/>
                <w:sz w:val="18"/>
              </w:rPr>
              <w:t>Rate</w:t>
            </w:r>
          </w:p>
        </w:tc>
        <w:tc>
          <w:tcPr>
            <w:tcW w:w="1074" w:type="dxa"/>
            <w:shd w:val="clear" w:color="auto" w:fill="D9D9D9" w:themeFill="background1" w:themeFillShade="D9"/>
            <w:vAlign w:val="center"/>
          </w:tcPr>
          <w:p w14:paraId="40AB63A4" w14:textId="77777777" w:rsidR="00995976" w:rsidRPr="00EF56B6" w:rsidRDefault="00995976"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068" w:type="dxa"/>
            <w:shd w:val="clear" w:color="auto" w:fill="D9D9D9" w:themeFill="background1" w:themeFillShade="D9"/>
            <w:vAlign w:val="center"/>
          </w:tcPr>
          <w:p w14:paraId="0A1A5B5B" w14:textId="77777777" w:rsidR="00995976" w:rsidRPr="00EF56B6" w:rsidRDefault="00995976"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047" w:type="dxa"/>
            <w:shd w:val="clear" w:color="auto" w:fill="D9D9D9" w:themeFill="background1" w:themeFillShade="D9"/>
            <w:vAlign w:val="center"/>
          </w:tcPr>
          <w:p w14:paraId="302F5E31" w14:textId="77777777" w:rsidR="00995976" w:rsidRPr="00EF56B6" w:rsidRDefault="00995976"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424" w:type="dxa"/>
            <w:shd w:val="clear" w:color="auto" w:fill="D9D9D9" w:themeFill="background1" w:themeFillShade="D9"/>
            <w:vAlign w:val="center"/>
          </w:tcPr>
          <w:p w14:paraId="243D571E" w14:textId="77777777" w:rsidR="00995976" w:rsidRPr="00EF56B6" w:rsidRDefault="00995976"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r>
      <w:tr w:rsidR="00B243D8" w:rsidRPr="00EF56B6" w14:paraId="5424E86D"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shd w:val="clear" w:color="auto" w:fill="auto"/>
            <w:vAlign w:val="center"/>
          </w:tcPr>
          <w:p w14:paraId="27218B68" w14:textId="77777777" w:rsidR="00937C11" w:rsidRPr="00EF56B6" w:rsidRDefault="00937C11"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Unemployment rate (NT) (</w:t>
            </w:r>
            <w:proofErr w:type="spellStart"/>
            <w:r w:rsidRPr="00EF56B6">
              <w:rPr>
                <w:rFonts w:ascii="Calibri" w:hAnsi="Calibri" w:cs="Calibri"/>
                <w:iCs/>
                <w:color w:val="000000"/>
                <w:sz w:val="18"/>
              </w:rPr>
              <w:t>sa</w:t>
            </w:r>
            <w:proofErr w:type="spellEnd"/>
            <w:r w:rsidRPr="00EF56B6">
              <w:rPr>
                <w:rFonts w:ascii="Calibri" w:hAnsi="Calibri" w:cs="Calibri"/>
                <w:iCs/>
                <w:color w:val="000000"/>
                <w:sz w:val="18"/>
              </w:rPr>
              <w:t>)</w:t>
            </w:r>
          </w:p>
        </w:tc>
        <w:tc>
          <w:tcPr>
            <w:tcW w:w="931" w:type="dxa"/>
            <w:shd w:val="clear" w:color="auto" w:fill="auto"/>
            <w:vAlign w:val="center"/>
          </w:tcPr>
          <w:p w14:paraId="4CEDE062" w14:textId="77777777" w:rsidR="00937C11" w:rsidRPr="00EF56B6" w:rsidRDefault="0038654C"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May</w:t>
            </w:r>
            <w:r w:rsidR="001C0CA4" w:rsidRPr="00EF56B6">
              <w:rPr>
                <w:rFonts w:ascii="Calibri" w:hAnsi="Calibri" w:cs="Calibri"/>
                <w:color w:val="000000"/>
                <w:sz w:val="18"/>
              </w:rPr>
              <w:t>-</w:t>
            </w:r>
            <w:r w:rsidR="00F476B4" w:rsidRPr="00EF56B6">
              <w:rPr>
                <w:rFonts w:ascii="Calibri" w:hAnsi="Calibri" w:cs="Calibri"/>
                <w:color w:val="000000"/>
                <w:sz w:val="18"/>
              </w:rPr>
              <w:t>24</w:t>
            </w:r>
          </w:p>
        </w:tc>
        <w:tc>
          <w:tcPr>
            <w:tcW w:w="1261" w:type="dxa"/>
            <w:shd w:val="clear" w:color="auto" w:fill="auto"/>
            <w:vAlign w:val="center"/>
          </w:tcPr>
          <w:p w14:paraId="5CC5F401" w14:textId="77777777" w:rsidR="00937C11" w:rsidRPr="00EF56B6" w:rsidRDefault="00F64ECC" w:rsidP="00F64ECC">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4.1</w:t>
            </w:r>
            <w:r w:rsidR="001C0CA4" w:rsidRPr="00EF56B6">
              <w:rPr>
                <w:rFonts w:ascii="Calibri" w:hAnsi="Calibri" w:cs="Calibri"/>
                <w:color w:val="000000"/>
                <w:sz w:val="18"/>
              </w:rPr>
              <w:t>%</w:t>
            </w:r>
          </w:p>
        </w:tc>
        <w:tc>
          <w:tcPr>
            <w:tcW w:w="1074" w:type="dxa"/>
            <w:shd w:val="clear" w:color="auto" w:fill="auto"/>
            <w:vAlign w:val="center"/>
          </w:tcPr>
          <w:p w14:paraId="312EB37D" w14:textId="77777777" w:rsidR="00937C11" w:rsidRPr="00EF56B6" w:rsidRDefault="0038654C" w:rsidP="009E68D4">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xml:space="preserve">0 </w:t>
            </w:r>
            <w:proofErr w:type="spellStart"/>
            <w:r w:rsidR="001C0CA4" w:rsidRPr="00EF56B6">
              <w:rPr>
                <w:rFonts w:ascii="Calibri" w:hAnsi="Calibri" w:cs="Calibri"/>
                <w:color w:val="000000"/>
                <w:sz w:val="18"/>
              </w:rPr>
              <w:t>ppt</w:t>
            </w:r>
            <w:proofErr w:type="spellEnd"/>
          </w:p>
        </w:tc>
        <w:tc>
          <w:tcPr>
            <w:tcW w:w="1068" w:type="dxa"/>
            <w:shd w:val="clear" w:color="auto" w:fill="auto"/>
            <w:vAlign w:val="center"/>
          </w:tcPr>
          <w:p w14:paraId="67A8962E" w14:textId="77777777" w:rsidR="00937C11" w:rsidRPr="00EF56B6" w:rsidRDefault="0038654C" w:rsidP="00F64ECC">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w:t>
            </w:r>
            <w:r w:rsidR="009B48D2" w:rsidRPr="00EF56B6">
              <w:rPr>
                <w:rFonts w:ascii="Calibri" w:hAnsi="Calibri" w:cs="Calibri"/>
                <w:color w:val="000000"/>
                <w:sz w:val="18"/>
              </w:rPr>
              <w:t xml:space="preserve"> </w:t>
            </w:r>
            <w:proofErr w:type="spellStart"/>
            <w:r w:rsidR="001C0CA4" w:rsidRPr="00EF56B6">
              <w:rPr>
                <w:rFonts w:ascii="Calibri" w:hAnsi="Calibri" w:cs="Calibri"/>
                <w:color w:val="000000"/>
                <w:sz w:val="18"/>
              </w:rPr>
              <w:t>ppt</w:t>
            </w:r>
            <w:proofErr w:type="spellEnd"/>
          </w:p>
        </w:tc>
        <w:tc>
          <w:tcPr>
            <w:tcW w:w="1047" w:type="dxa"/>
            <w:shd w:val="clear" w:color="auto" w:fill="auto"/>
            <w:vAlign w:val="center"/>
          </w:tcPr>
          <w:p w14:paraId="49963F66" w14:textId="77777777" w:rsidR="00937C11" w:rsidRPr="00EF56B6" w:rsidRDefault="001C0CA4"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proofErr w:type="spellStart"/>
            <w:r w:rsidRPr="00EF56B6">
              <w:rPr>
                <w:rFonts w:ascii="Calibri" w:hAnsi="Calibri" w:cs="Calibri"/>
                <w:color w:val="000000"/>
                <w:sz w:val="18"/>
              </w:rPr>
              <w:t>na</w:t>
            </w:r>
            <w:proofErr w:type="spellEnd"/>
          </w:p>
        </w:tc>
        <w:tc>
          <w:tcPr>
            <w:tcW w:w="1424" w:type="dxa"/>
            <w:shd w:val="clear" w:color="auto" w:fill="auto"/>
            <w:vAlign w:val="center"/>
          </w:tcPr>
          <w:p w14:paraId="240AF9FB" w14:textId="77777777" w:rsidR="00937C11" w:rsidRPr="00EF56B6" w:rsidRDefault="001C0CA4" w:rsidP="009E68D4">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w:t>
            </w:r>
            <w:r w:rsidR="005D4CDC" w:rsidRPr="00EF56B6">
              <w:rPr>
                <w:rFonts w:ascii="Calibri" w:hAnsi="Calibri" w:cs="Calibri"/>
                <w:color w:val="000000"/>
                <w:sz w:val="18"/>
              </w:rPr>
              <w:t>1.</w:t>
            </w:r>
            <w:r w:rsidR="009E68D4" w:rsidRPr="00EF56B6">
              <w:rPr>
                <w:rFonts w:ascii="Calibri" w:hAnsi="Calibri" w:cs="Calibri"/>
                <w:color w:val="000000"/>
                <w:sz w:val="18"/>
              </w:rPr>
              <w:t>7</w:t>
            </w:r>
            <w:r w:rsidRPr="00EF56B6">
              <w:rPr>
                <w:rFonts w:ascii="Calibri" w:hAnsi="Calibri" w:cs="Calibri"/>
                <w:color w:val="000000"/>
                <w:sz w:val="18"/>
              </w:rPr>
              <w:t xml:space="preserve"> </w:t>
            </w:r>
            <w:proofErr w:type="spellStart"/>
            <w:r w:rsidRPr="00EF56B6">
              <w:rPr>
                <w:rFonts w:ascii="Calibri" w:hAnsi="Calibri" w:cs="Calibri"/>
                <w:color w:val="000000"/>
                <w:sz w:val="18"/>
              </w:rPr>
              <w:t>ppt</w:t>
            </w:r>
            <w:proofErr w:type="spellEnd"/>
          </w:p>
        </w:tc>
      </w:tr>
      <w:tr w:rsidR="00B243D8" w:rsidRPr="00EF56B6" w14:paraId="3A85A633"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26F57A10" w14:textId="77777777" w:rsidR="00937C11" w:rsidRPr="00EF56B6" w:rsidRDefault="00720F41" w:rsidP="00256555">
            <w:pPr>
              <w:spacing w:before="0" w:after="0"/>
              <w:ind w:firstLineChars="200" w:firstLine="360"/>
              <w:rPr>
                <w:rFonts w:ascii="Calibri" w:hAnsi="Calibri" w:cs="Calibri"/>
                <w:iCs/>
                <w:color w:val="000000"/>
                <w:sz w:val="18"/>
              </w:rPr>
            </w:pPr>
            <w:r w:rsidRPr="00EF56B6">
              <w:rPr>
                <w:rFonts w:ascii="Calibri" w:hAnsi="Calibri" w:cs="Calibri"/>
                <w:iCs/>
                <w:color w:val="000000"/>
                <w:sz w:val="18"/>
              </w:rPr>
              <w:t>Unemployment rate (</w:t>
            </w:r>
            <w:proofErr w:type="spellStart"/>
            <w:r w:rsidRPr="00EF56B6">
              <w:rPr>
                <w:rFonts w:ascii="Calibri" w:hAnsi="Calibri" w:cs="Calibri"/>
                <w:iCs/>
                <w:color w:val="000000"/>
                <w:sz w:val="18"/>
              </w:rPr>
              <w:t>Aus</w:t>
            </w:r>
            <w:proofErr w:type="spellEnd"/>
            <w:r w:rsidR="00937C11" w:rsidRPr="00EF56B6">
              <w:rPr>
                <w:rFonts w:ascii="Calibri" w:hAnsi="Calibri" w:cs="Calibri"/>
                <w:iCs/>
                <w:color w:val="000000"/>
                <w:sz w:val="18"/>
              </w:rPr>
              <w:t>) (</w:t>
            </w:r>
            <w:proofErr w:type="spellStart"/>
            <w:r w:rsidR="00937C11" w:rsidRPr="00EF56B6">
              <w:rPr>
                <w:rFonts w:ascii="Calibri" w:hAnsi="Calibri" w:cs="Calibri"/>
                <w:iCs/>
                <w:color w:val="000000"/>
                <w:sz w:val="18"/>
              </w:rPr>
              <w:t>sa</w:t>
            </w:r>
            <w:proofErr w:type="spellEnd"/>
            <w:r w:rsidR="00937C11" w:rsidRPr="00EF56B6">
              <w:rPr>
                <w:rFonts w:ascii="Calibri" w:hAnsi="Calibri" w:cs="Calibri"/>
                <w:iCs/>
                <w:color w:val="000000"/>
                <w:sz w:val="18"/>
              </w:rPr>
              <w:t>)</w:t>
            </w:r>
          </w:p>
        </w:tc>
        <w:tc>
          <w:tcPr>
            <w:tcW w:w="931" w:type="dxa"/>
            <w:vAlign w:val="center"/>
          </w:tcPr>
          <w:p w14:paraId="325870D6" w14:textId="77777777" w:rsidR="00937C11" w:rsidRPr="00EF56B6" w:rsidRDefault="0038654C" w:rsidP="00F64EC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May</w:t>
            </w:r>
            <w:r w:rsidR="00F476B4" w:rsidRPr="00EF56B6">
              <w:rPr>
                <w:rFonts w:ascii="Calibri" w:hAnsi="Calibri" w:cs="Calibri"/>
                <w:color w:val="000000"/>
                <w:sz w:val="18"/>
              </w:rPr>
              <w:t>-24</w:t>
            </w:r>
          </w:p>
        </w:tc>
        <w:tc>
          <w:tcPr>
            <w:tcW w:w="1261" w:type="dxa"/>
            <w:vAlign w:val="center"/>
          </w:tcPr>
          <w:p w14:paraId="05ED7DFD" w14:textId="77777777" w:rsidR="00937C11" w:rsidRPr="00EF56B6" w:rsidRDefault="0038654C" w:rsidP="00F64ECC">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4</w:t>
            </w:r>
            <w:r w:rsidR="004F47A5" w:rsidRPr="00EF56B6">
              <w:rPr>
                <w:rFonts w:ascii="Calibri" w:hAnsi="Calibri" w:cs="Calibri"/>
                <w:color w:val="000000"/>
                <w:sz w:val="18"/>
              </w:rPr>
              <w:t>.0</w:t>
            </w:r>
            <w:r w:rsidR="001C0CA4" w:rsidRPr="00EF56B6">
              <w:rPr>
                <w:rFonts w:ascii="Calibri" w:hAnsi="Calibri" w:cs="Calibri"/>
                <w:color w:val="000000"/>
                <w:sz w:val="18"/>
              </w:rPr>
              <w:t>%</w:t>
            </w:r>
          </w:p>
        </w:tc>
        <w:tc>
          <w:tcPr>
            <w:tcW w:w="1074" w:type="dxa"/>
            <w:vAlign w:val="center"/>
          </w:tcPr>
          <w:p w14:paraId="030707E3" w14:textId="77777777" w:rsidR="00937C11" w:rsidRPr="00EF56B6" w:rsidRDefault="0038654C" w:rsidP="00F64ECC">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-0.1</w:t>
            </w:r>
            <w:r w:rsidR="009B48D2" w:rsidRPr="00EF56B6">
              <w:rPr>
                <w:rFonts w:ascii="Calibri" w:hAnsi="Calibri" w:cs="Calibri"/>
                <w:color w:val="000000"/>
                <w:sz w:val="18"/>
              </w:rPr>
              <w:t xml:space="preserve"> </w:t>
            </w:r>
            <w:proofErr w:type="spellStart"/>
            <w:r w:rsidR="001C0CA4" w:rsidRPr="00EF56B6">
              <w:rPr>
                <w:rFonts w:ascii="Calibri" w:hAnsi="Calibri" w:cs="Calibri"/>
                <w:color w:val="000000"/>
                <w:sz w:val="18"/>
              </w:rPr>
              <w:t>ppt</w:t>
            </w:r>
            <w:proofErr w:type="spellEnd"/>
          </w:p>
        </w:tc>
        <w:tc>
          <w:tcPr>
            <w:tcW w:w="1068" w:type="dxa"/>
            <w:vAlign w:val="center"/>
          </w:tcPr>
          <w:p w14:paraId="3FC6530D" w14:textId="77777777" w:rsidR="00937C11" w:rsidRPr="00EF56B6" w:rsidRDefault="00F64ECC" w:rsidP="00F64ECC">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0.4</w:t>
            </w:r>
            <w:r w:rsidR="009B48D2" w:rsidRPr="00EF56B6">
              <w:rPr>
                <w:rFonts w:ascii="Calibri" w:hAnsi="Calibri" w:cs="Calibri"/>
                <w:color w:val="000000"/>
                <w:sz w:val="18"/>
              </w:rPr>
              <w:t xml:space="preserve"> </w:t>
            </w:r>
            <w:proofErr w:type="spellStart"/>
            <w:r w:rsidR="001C0CA4" w:rsidRPr="00EF56B6">
              <w:rPr>
                <w:rFonts w:ascii="Calibri" w:hAnsi="Calibri" w:cs="Calibri"/>
                <w:color w:val="000000"/>
                <w:sz w:val="18"/>
              </w:rPr>
              <w:t>ppt</w:t>
            </w:r>
            <w:proofErr w:type="spellEnd"/>
          </w:p>
        </w:tc>
        <w:tc>
          <w:tcPr>
            <w:tcW w:w="1047" w:type="dxa"/>
            <w:vAlign w:val="center"/>
          </w:tcPr>
          <w:p w14:paraId="366CED6C" w14:textId="77777777" w:rsidR="00937C11" w:rsidRPr="00EF56B6" w:rsidRDefault="00187637"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proofErr w:type="spellStart"/>
            <w:r w:rsidRPr="00EF56B6">
              <w:rPr>
                <w:rFonts w:ascii="Calibri" w:hAnsi="Calibri" w:cs="Calibri"/>
                <w:color w:val="000000"/>
                <w:sz w:val="18"/>
              </w:rPr>
              <w:t>n</w:t>
            </w:r>
            <w:r w:rsidR="001C0CA4" w:rsidRPr="00EF56B6">
              <w:rPr>
                <w:rFonts w:ascii="Calibri" w:hAnsi="Calibri" w:cs="Calibri"/>
                <w:color w:val="000000"/>
                <w:sz w:val="18"/>
              </w:rPr>
              <w:t>a</w:t>
            </w:r>
            <w:proofErr w:type="spellEnd"/>
          </w:p>
        </w:tc>
        <w:tc>
          <w:tcPr>
            <w:tcW w:w="1424" w:type="dxa"/>
            <w:vAlign w:val="center"/>
          </w:tcPr>
          <w:p w14:paraId="0BDD0E98" w14:textId="77777777" w:rsidR="00937C11" w:rsidRPr="00EF56B6" w:rsidRDefault="001C0CA4" w:rsidP="00256555">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-1.</w:t>
            </w:r>
            <w:r w:rsidR="0038654C" w:rsidRPr="00EF56B6">
              <w:rPr>
                <w:rFonts w:ascii="Calibri" w:hAnsi="Calibri" w:cs="Calibri"/>
                <w:color w:val="000000"/>
                <w:sz w:val="18"/>
              </w:rPr>
              <w:t>3</w:t>
            </w:r>
            <w:r w:rsidRPr="00EF56B6">
              <w:rPr>
                <w:rFonts w:ascii="Calibri" w:hAnsi="Calibri" w:cs="Calibri"/>
                <w:color w:val="000000"/>
                <w:sz w:val="18"/>
              </w:rPr>
              <w:t xml:space="preserve"> </w:t>
            </w:r>
            <w:proofErr w:type="spellStart"/>
            <w:r w:rsidRPr="00EF56B6">
              <w:rPr>
                <w:rFonts w:ascii="Calibri" w:hAnsi="Calibri" w:cs="Calibri"/>
                <w:color w:val="000000"/>
                <w:sz w:val="18"/>
              </w:rPr>
              <w:t>ppt</w:t>
            </w:r>
            <w:proofErr w:type="spellEnd"/>
          </w:p>
        </w:tc>
      </w:tr>
      <w:tr w:rsidR="00B243D8" w:rsidRPr="00EF56B6" w14:paraId="20C96BB8" w14:textId="77777777" w:rsidTr="00134500">
        <w:trPr>
          <w:cnfStyle w:val="000000010000" w:firstRow="0" w:lastRow="0" w:firstColumn="0" w:lastColumn="0" w:oddVBand="0" w:evenVBand="0" w:oddHBand="0" w:evenHBand="1"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3445C938" w14:textId="77777777" w:rsidR="004F7E54" w:rsidRPr="00EF56B6" w:rsidRDefault="004F7E54" w:rsidP="00256555">
            <w:pPr>
              <w:spacing w:before="0" w:after="0"/>
              <w:rPr>
                <w:rFonts w:ascii="Calibri" w:hAnsi="Calibri"/>
                <w:b/>
                <w:sz w:val="18"/>
              </w:rPr>
            </w:pPr>
            <w:r w:rsidRPr="00EF56B6">
              <w:rPr>
                <w:rFonts w:ascii="Calibri" w:hAnsi="Calibri"/>
                <w:b/>
                <w:sz w:val="18"/>
              </w:rPr>
              <w:t>Population</w:t>
            </w:r>
          </w:p>
        </w:tc>
        <w:tc>
          <w:tcPr>
            <w:tcW w:w="931" w:type="dxa"/>
            <w:vAlign w:val="center"/>
          </w:tcPr>
          <w:p w14:paraId="74454940" w14:textId="77777777" w:rsidR="004F7E54" w:rsidRPr="00EF56B6" w:rsidRDefault="004F7E54"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261" w:type="dxa"/>
            <w:vAlign w:val="center"/>
          </w:tcPr>
          <w:p w14:paraId="21180946" w14:textId="77777777" w:rsidR="004F7E54" w:rsidRPr="00EF56B6" w:rsidRDefault="00493695" w:rsidP="00256555">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rPr>
            </w:pPr>
            <w:r w:rsidRPr="00EF56B6">
              <w:rPr>
                <w:rFonts w:ascii="Calibri" w:hAnsi="Calibri" w:cs="Calibri"/>
                <w:b/>
                <w:color w:val="000000"/>
                <w:sz w:val="18"/>
              </w:rPr>
              <w:t>#M</w:t>
            </w:r>
          </w:p>
        </w:tc>
        <w:tc>
          <w:tcPr>
            <w:tcW w:w="1074" w:type="dxa"/>
            <w:vAlign w:val="center"/>
          </w:tcPr>
          <w:p w14:paraId="322880FF" w14:textId="77777777" w:rsidR="004F7E54" w:rsidRPr="00EF56B6"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068" w:type="dxa"/>
            <w:vAlign w:val="center"/>
          </w:tcPr>
          <w:p w14:paraId="56E983D0" w14:textId="77777777" w:rsidR="004F7E54" w:rsidRPr="00EF56B6"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047" w:type="dxa"/>
            <w:vAlign w:val="center"/>
          </w:tcPr>
          <w:p w14:paraId="57729FD9" w14:textId="77777777" w:rsidR="004F7E54" w:rsidRPr="00EF56B6" w:rsidRDefault="004F7E54"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c>
          <w:tcPr>
            <w:tcW w:w="1424" w:type="dxa"/>
            <w:vAlign w:val="center"/>
          </w:tcPr>
          <w:p w14:paraId="636B2724" w14:textId="77777777" w:rsidR="004F7E54" w:rsidRPr="00EF56B6" w:rsidRDefault="004F7E54"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rPr>
            </w:pPr>
            <w:r w:rsidRPr="00EF56B6">
              <w:rPr>
                <w:rFonts w:ascii="Calibri" w:hAnsi="Calibri" w:cs="Calibri"/>
                <w:color w:val="000000"/>
                <w:sz w:val="18"/>
              </w:rPr>
              <w:t> </w:t>
            </w:r>
          </w:p>
        </w:tc>
      </w:tr>
      <w:tr w:rsidR="00F42CD9" w:rsidRPr="00EF56B6" w14:paraId="11C98492" w14:textId="77777777" w:rsidTr="0013450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6A362AF0" w14:textId="77777777" w:rsidR="00937C11" w:rsidRPr="00EF56B6" w:rsidRDefault="00937C11" w:rsidP="00256555">
            <w:pPr>
              <w:spacing w:before="0" w:after="0"/>
              <w:ind w:firstLineChars="200" w:firstLine="360"/>
              <w:rPr>
                <w:rFonts w:ascii="Calibri" w:hAnsi="Calibri" w:cs="Calibri"/>
                <w:iCs/>
                <w:sz w:val="18"/>
              </w:rPr>
            </w:pPr>
            <w:r w:rsidRPr="00EF56B6">
              <w:rPr>
                <w:rFonts w:ascii="Calibri" w:hAnsi="Calibri" w:cs="Calibri"/>
                <w:iCs/>
                <w:sz w:val="18"/>
              </w:rPr>
              <w:t>Population (NT)</w:t>
            </w:r>
          </w:p>
        </w:tc>
        <w:tc>
          <w:tcPr>
            <w:tcW w:w="931" w:type="dxa"/>
            <w:vAlign w:val="center"/>
          </w:tcPr>
          <w:p w14:paraId="3B1A22C3" w14:textId="77777777" w:rsidR="00937C11" w:rsidRPr="00EF56B6" w:rsidRDefault="00E44C11" w:rsidP="00256555">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sidRPr="00EF56B6">
              <w:rPr>
                <w:rFonts w:ascii="Calibri" w:hAnsi="Calibri" w:cs="Calibri"/>
                <w:sz w:val="18"/>
              </w:rPr>
              <w:t>Dec</w:t>
            </w:r>
            <w:r w:rsidR="0033684F" w:rsidRPr="00EF56B6">
              <w:rPr>
                <w:rFonts w:ascii="Calibri" w:hAnsi="Calibri" w:cs="Calibri"/>
                <w:sz w:val="18"/>
              </w:rPr>
              <w:t>-23</w:t>
            </w:r>
          </w:p>
        </w:tc>
        <w:tc>
          <w:tcPr>
            <w:tcW w:w="1261" w:type="dxa"/>
            <w:vAlign w:val="center"/>
          </w:tcPr>
          <w:p w14:paraId="74B46A0E" w14:textId="77777777" w:rsidR="00937C11" w:rsidRPr="00EF56B6" w:rsidRDefault="00461158" w:rsidP="00256555">
            <w:pPr>
              <w:spacing w:before="0" w:after="0"/>
              <w:ind w:right="94"/>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sidRPr="00EF56B6">
              <w:rPr>
                <w:rFonts w:ascii="Calibri" w:hAnsi="Calibri" w:cs="Calibri"/>
                <w:sz w:val="18"/>
              </w:rPr>
              <w:t>0.</w:t>
            </w:r>
            <w:r w:rsidR="009B48D2" w:rsidRPr="00EF56B6">
              <w:rPr>
                <w:rFonts w:ascii="Calibri" w:hAnsi="Calibri" w:cs="Calibri"/>
                <w:sz w:val="18"/>
              </w:rPr>
              <w:t>25</w:t>
            </w:r>
            <w:r w:rsidR="00E44C11" w:rsidRPr="00EF56B6">
              <w:rPr>
                <w:rFonts w:ascii="Calibri" w:hAnsi="Calibri" w:cs="Calibri"/>
                <w:sz w:val="18"/>
              </w:rPr>
              <w:t>4</w:t>
            </w:r>
          </w:p>
        </w:tc>
        <w:tc>
          <w:tcPr>
            <w:tcW w:w="1074" w:type="dxa"/>
            <w:vAlign w:val="center"/>
          </w:tcPr>
          <w:p w14:paraId="48558569" w14:textId="77777777" w:rsidR="00937C11" w:rsidRPr="00EF56B6" w:rsidRDefault="00467461" w:rsidP="00D5080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sidRPr="00EF56B6">
              <w:rPr>
                <w:rFonts w:ascii="Calibri" w:hAnsi="Calibri" w:cs="Calibri"/>
                <w:sz w:val="18"/>
              </w:rPr>
              <w:t>0</w:t>
            </w:r>
            <w:r w:rsidR="00551BCC" w:rsidRPr="00EF56B6">
              <w:rPr>
                <w:rFonts w:ascii="Calibri" w:hAnsi="Calibri" w:cs="Calibri"/>
                <w:sz w:val="18"/>
              </w:rPr>
              <w:t>%</w:t>
            </w:r>
          </w:p>
        </w:tc>
        <w:tc>
          <w:tcPr>
            <w:tcW w:w="1068" w:type="dxa"/>
            <w:vAlign w:val="center"/>
          </w:tcPr>
          <w:p w14:paraId="13EBDD65" w14:textId="77777777" w:rsidR="00937C11" w:rsidRPr="00EF56B6" w:rsidRDefault="009B48D2" w:rsidP="00D5080C">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sidRPr="00EF56B6">
              <w:rPr>
                <w:rFonts w:ascii="Calibri" w:hAnsi="Calibri" w:cs="Calibri"/>
                <w:sz w:val="18"/>
              </w:rPr>
              <w:t>0.</w:t>
            </w:r>
            <w:r w:rsidR="00F1082D" w:rsidRPr="00EF56B6">
              <w:rPr>
                <w:rFonts w:ascii="Calibri" w:hAnsi="Calibri" w:cs="Calibri"/>
                <w:sz w:val="18"/>
              </w:rPr>
              <w:t>9</w:t>
            </w:r>
            <w:r w:rsidR="00551BCC" w:rsidRPr="00EF56B6">
              <w:rPr>
                <w:rFonts w:ascii="Calibri" w:hAnsi="Calibri" w:cs="Calibri"/>
                <w:sz w:val="18"/>
              </w:rPr>
              <w:t>%</w:t>
            </w:r>
          </w:p>
        </w:tc>
        <w:tc>
          <w:tcPr>
            <w:tcW w:w="1047" w:type="dxa"/>
            <w:vAlign w:val="center"/>
          </w:tcPr>
          <w:p w14:paraId="5A9933C5" w14:textId="77777777" w:rsidR="00937C11" w:rsidRPr="00EF56B6" w:rsidRDefault="00101BA0" w:rsidP="00256555">
            <w:pPr>
              <w:spacing w:before="0" w:after="0"/>
              <w:ind w:right="92"/>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proofErr w:type="spellStart"/>
            <w:r w:rsidRPr="00EF56B6">
              <w:rPr>
                <w:rFonts w:ascii="Calibri" w:hAnsi="Calibri" w:cs="Calibri"/>
                <w:sz w:val="18"/>
              </w:rPr>
              <w:t>n</w:t>
            </w:r>
            <w:r w:rsidR="00CE0C8A" w:rsidRPr="00EF56B6">
              <w:rPr>
                <w:rFonts w:ascii="Calibri" w:hAnsi="Calibri" w:cs="Calibri"/>
                <w:sz w:val="18"/>
              </w:rPr>
              <w:t>a</w:t>
            </w:r>
            <w:proofErr w:type="spellEnd"/>
          </w:p>
        </w:tc>
        <w:tc>
          <w:tcPr>
            <w:tcW w:w="1424" w:type="dxa"/>
            <w:vAlign w:val="center"/>
          </w:tcPr>
          <w:p w14:paraId="426402BA" w14:textId="77777777" w:rsidR="00937C11" w:rsidRPr="00EF56B6" w:rsidRDefault="00B77859" w:rsidP="00D5080C">
            <w:pPr>
              <w:spacing w:before="0" w:after="0"/>
              <w:ind w:right="322"/>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rPr>
            </w:pPr>
            <w:r w:rsidRPr="00EF56B6">
              <w:rPr>
                <w:rFonts w:ascii="Calibri" w:hAnsi="Calibri" w:cs="Calibri"/>
                <w:sz w:val="18"/>
              </w:rPr>
              <w:t>2.</w:t>
            </w:r>
            <w:r w:rsidR="00F1082D" w:rsidRPr="00EF56B6">
              <w:rPr>
                <w:rFonts w:ascii="Calibri" w:hAnsi="Calibri" w:cs="Calibri"/>
                <w:sz w:val="18"/>
              </w:rPr>
              <w:t>7</w:t>
            </w:r>
            <w:r w:rsidR="00937C11" w:rsidRPr="00EF56B6">
              <w:rPr>
                <w:rFonts w:ascii="Calibri" w:hAnsi="Calibri" w:cs="Calibri"/>
                <w:sz w:val="18"/>
              </w:rPr>
              <w:t>%</w:t>
            </w:r>
          </w:p>
        </w:tc>
      </w:tr>
      <w:tr w:rsidR="00F42CD9" w:rsidRPr="00EF56B6" w14:paraId="498414D6" w14:textId="77777777" w:rsidTr="00134500">
        <w:trPr>
          <w:cnfStyle w:val="000000010000" w:firstRow="0" w:lastRow="0" w:firstColumn="0" w:lastColumn="0" w:oddVBand="0" w:evenVBand="0" w:oddHBand="0" w:evenHBand="1"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3514" w:type="dxa"/>
            <w:vAlign w:val="center"/>
          </w:tcPr>
          <w:p w14:paraId="7AEF9733" w14:textId="77777777" w:rsidR="00937C11" w:rsidRPr="00EF56B6" w:rsidRDefault="00720F41" w:rsidP="00256555">
            <w:pPr>
              <w:spacing w:before="0" w:after="0"/>
              <w:ind w:firstLineChars="200" w:firstLine="360"/>
              <w:rPr>
                <w:rFonts w:ascii="Calibri" w:hAnsi="Calibri" w:cs="Calibri"/>
                <w:iCs/>
                <w:sz w:val="18"/>
              </w:rPr>
            </w:pPr>
            <w:r w:rsidRPr="00EF56B6">
              <w:rPr>
                <w:rFonts w:ascii="Calibri" w:hAnsi="Calibri" w:cs="Calibri"/>
                <w:iCs/>
                <w:sz w:val="18"/>
              </w:rPr>
              <w:t>Population (</w:t>
            </w:r>
            <w:proofErr w:type="spellStart"/>
            <w:r w:rsidRPr="00EF56B6">
              <w:rPr>
                <w:rFonts w:ascii="Calibri" w:hAnsi="Calibri" w:cs="Calibri"/>
                <w:iCs/>
                <w:sz w:val="18"/>
              </w:rPr>
              <w:t>Aus</w:t>
            </w:r>
            <w:proofErr w:type="spellEnd"/>
            <w:r w:rsidR="00937C11" w:rsidRPr="00EF56B6">
              <w:rPr>
                <w:rFonts w:ascii="Calibri" w:hAnsi="Calibri" w:cs="Calibri"/>
                <w:iCs/>
                <w:sz w:val="18"/>
              </w:rPr>
              <w:t>)</w:t>
            </w:r>
          </w:p>
        </w:tc>
        <w:tc>
          <w:tcPr>
            <w:tcW w:w="931" w:type="dxa"/>
            <w:vAlign w:val="center"/>
          </w:tcPr>
          <w:p w14:paraId="54886847" w14:textId="77777777" w:rsidR="00937C11" w:rsidRPr="00EF56B6" w:rsidRDefault="00E44C11" w:rsidP="00256555">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8"/>
              </w:rPr>
            </w:pPr>
            <w:r w:rsidRPr="00EF56B6">
              <w:rPr>
                <w:rFonts w:ascii="Calibri" w:hAnsi="Calibri" w:cs="Calibri"/>
                <w:sz w:val="18"/>
              </w:rPr>
              <w:t>Dec</w:t>
            </w:r>
            <w:r w:rsidR="0033684F" w:rsidRPr="00EF56B6">
              <w:rPr>
                <w:rFonts w:ascii="Calibri" w:hAnsi="Calibri" w:cs="Calibri"/>
                <w:sz w:val="18"/>
              </w:rPr>
              <w:t>-23</w:t>
            </w:r>
          </w:p>
        </w:tc>
        <w:tc>
          <w:tcPr>
            <w:tcW w:w="1261" w:type="dxa"/>
            <w:vAlign w:val="center"/>
          </w:tcPr>
          <w:p w14:paraId="1015433D" w14:textId="77777777" w:rsidR="00937C11" w:rsidRPr="00EF56B6" w:rsidRDefault="00461158" w:rsidP="00D5080C">
            <w:pPr>
              <w:spacing w:before="0" w:after="0"/>
              <w:ind w:right="94"/>
              <w:jc w:val="right"/>
              <w:cnfStyle w:val="000000010000" w:firstRow="0" w:lastRow="0" w:firstColumn="0" w:lastColumn="0" w:oddVBand="0" w:evenVBand="0" w:oddHBand="0" w:evenHBand="1" w:firstRowFirstColumn="0" w:firstRowLastColumn="0" w:lastRowFirstColumn="0" w:lastRowLastColumn="0"/>
              <w:rPr>
                <w:rFonts w:ascii="Calibri" w:hAnsi="Calibri" w:cs="Calibri"/>
                <w:sz w:val="18"/>
              </w:rPr>
            </w:pPr>
            <w:r w:rsidRPr="00EF56B6">
              <w:rPr>
                <w:rFonts w:ascii="Calibri" w:hAnsi="Calibri" w:cs="Calibri"/>
                <w:sz w:val="18"/>
              </w:rPr>
              <w:t>2</w:t>
            </w:r>
            <w:r w:rsidR="00551BCC" w:rsidRPr="00EF56B6">
              <w:rPr>
                <w:rFonts w:ascii="Calibri" w:hAnsi="Calibri" w:cs="Calibri"/>
                <w:sz w:val="18"/>
              </w:rPr>
              <w:t>6</w:t>
            </w:r>
            <w:r w:rsidRPr="00EF56B6">
              <w:rPr>
                <w:rFonts w:ascii="Calibri" w:hAnsi="Calibri" w:cs="Calibri"/>
                <w:sz w:val="18"/>
              </w:rPr>
              <w:t>.</w:t>
            </w:r>
            <w:r w:rsidR="00F1082D" w:rsidRPr="00EF56B6">
              <w:rPr>
                <w:rFonts w:ascii="Calibri" w:hAnsi="Calibri" w:cs="Calibri"/>
                <w:sz w:val="18"/>
              </w:rPr>
              <w:t>967</w:t>
            </w:r>
          </w:p>
        </w:tc>
        <w:tc>
          <w:tcPr>
            <w:tcW w:w="1074" w:type="dxa"/>
            <w:vAlign w:val="center"/>
          </w:tcPr>
          <w:p w14:paraId="1AC12DAA" w14:textId="77777777" w:rsidR="00937C11" w:rsidRPr="00EF56B6" w:rsidRDefault="009B48D2"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sz w:val="18"/>
              </w:rPr>
            </w:pPr>
            <w:r w:rsidRPr="00EF56B6">
              <w:rPr>
                <w:rFonts w:ascii="Calibri" w:hAnsi="Calibri" w:cs="Calibri"/>
                <w:sz w:val="18"/>
              </w:rPr>
              <w:t>0</w:t>
            </w:r>
            <w:r w:rsidR="00467461" w:rsidRPr="00EF56B6">
              <w:rPr>
                <w:rFonts w:ascii="Calibri" w:hAnsi="Calibri" w:cs="Calibri"/>
                <w:sz w:val="18"/>
              </w:rPr>
              <w:t>.</w:t>
            </w:r>
            <w:r w:rsidR="00F1082D" w:rsidRPr="00EF56B6">
              <w:rPr>
                <w:rFonts w:ascii="Calibri" w:hAnsi="Calibri" w:cs="Calibri"/>
                <w:sz w:val="18"/>
              </w:rPr>
              <w:t>5</w:t>
            </w:r>
            <w:r w:rsidR="00551BCC" w:rsidRPr="00EF56B6">
              <w:rPr>
                <w:rFonts w:ascii="Calibri" w:hAnsi="Calibri" w:cs="Calibri"/>
                <w:sz w:val="18"/>
              </w:rPr>
              <w:t>%</w:t>
            </w:r>
          </w:p>
        </w:tc>
        <w:tc>
          <w:tcPr>
            <w:tcW w:w="1068" w:type="dxa"/>
            <w:vAlign w:val="center"/>
          </w:tcPr>
          <w:p w14:paraId="00019692" w14:textId="77777777" w:rsidR="00937C11" w:rsidRPr="00EF56B6" w:rsidRDefault="00467461"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sz w:val="18"/>
              </w:rPr>
            </w:pPr>
            <w:r w:rsidRPr="00EF56B6">
              <w:rPr>
                <w:rFonts w:ascii="Calibri" w:hAnsi="Calibri" w:cs="Calibri"/>
                <w:sz w:val="18"/>
              </w:rPr>
              <w:t>2.</w:t>
            </w:r>
            <w:r w:rsidR="00D5080C" w:rsidRPr="00EF56B6">
              <w:rPr>
                <w:rFonts w:ascii="Calibri" w:hAnsi="Calibri" w:cs="Calibri"/>
                <w:sz w:val="18"/>
              </w:rPr>
              <w:t>5</w:t>
            </w:r>
            <w:r w:rsidR="00551BCC" w:rsidRPr="00EF56B6">
              <w:rPr>
                <w:rFonts w:ascii="Calibri" w:hAnsi="Calibri" w:cs="Calibri"/>
                <w:sz w:val="18"/>
              </w:rPr>
              <w:t>%</w:t>
            </w:r>
          </w:p>
        </w:tc>
        <w:tc>
          <w:tcPr>
            <w:tcW w:w="1047" w:type="dxa"/>
            <w:vAlign w:val="center"/>
          </w:tcPr>
          <w:p w14:paraId="57FA2146" w14:textId="77777777" w:rsidR="00937C11" w:rsidRPr="00EF56B6" w:rsidRDefault="00CE0C8A" w:rsidP="00256555">
            <w:pPr>
              <w:spacing w:before="0" w:after="0"/>
              <w:ind w:right="92"/>
              <w:jc w:val="right"/>
              <w:cnfStyle w:val="000000010000" w:firstRow="0" w:lastRow="0" w:firstColumn="0" w:lastColumn="0" w:oddVBand="0" w:evenVBand="0" w:oddHBand="0" w:evenHBand="1" w:firstRowFirstColumn="0" w:firstRowLastColumn="0" w:lastRowFirstColumn="0" w:lastRowLastColumn="0"/>
              <w:rPr>
                <w:rFonts w:ascii="Calibri" w:hAnsi="Calibri" w:cs="Calibri"/>
                <w:sz w:val="18"/>
              </w:rPr>
            </w:pPr>
            <w:proofErr w:type="spellStart"/>
            <w:r w:rsidRPr="00EF56B6">
              <w:rPr>
                <w:rFonts w:ascii="Calibri" w:hAnsi="Calibri" w:cs="Calibri"/>
                <w:sz w:val="18"/>
              </w:rPr>
              <w:t>na</w:t>
            </w:r>
            <w:proofErr w:type="spellEnd"/>
          </w:p>
        </w:tc>
        <w:tc>
          <w:tcPr>
            <w:tcW w:w="1424" w:type="dxa"/>
            <w:vAlign w:val="center"/>
          </w:tcPr>
          <w:p w14:paraId="31DB6A26" w14:textId="77777777" w:rsidR="00937C11" w:rsidRPr="00EF56B6" w:rsidRDefault="00F1082D" w:rsidP="00256555">
            <w:pPr>
              <w:spacing w:before="0" w:after="0"/>
              <w:ind w:right="322"/>
              <w:jc w:val="right"/>
              <w:cnfStyle w:val="000000010000" w:firstRow="0" w:lastRow="0" w:firstColumn="0" w:lastColumn="0" w:oddVBand="0" w:evenVBand="0" w:oddHBand="0" w:evenHBand="1" w:firstRowFirstColumn="0" w:firstRowLastColumn="0" w:lastRowFirstColumn="0" w:lastRowLastColumn="0"/>
              <w:rPr>
                <w:rFonts w:ascii="Calibri" w:hAnsi="Calibri" w:cs="Calibri"/>
                <w:sz w:val="18"/>
              </w:rPr>
            </w:pPr>
            <w:r w:rsidRPr="00EF56B6">
              <w:rPr>
                <w:rFonts w:ascii="Calibri" w:hAnsi="Calibri" w:cs="Calibri"/>
                <w:sz w:val="18"/>
              </w:rPr>
              <w:t>5.3</w:t>
            </w:r>
            <w:r w:rsidR="00551BCC" w:rsidRPr="00EF56B6">
              <w:rPr>
                <w:rFonts w:ascii="Calibri" w:hAnsi="Calibri" w:cs="Calibri"/>
                <w:sz w:val="18"/>
              </w:rPr>
              <w:t>%</w:t>
            </w:r>
          </w:p>
        </w:tc>
      </w:tr>
    </w:tbl>
    <w:p w14:paraId="6B203832" w14:textId="77777777" w:rsidR="004F7E54" w:rsidRPr="00EF56B6" w:rsidRDefault="004F7E54" w:rsidP="004F7E54">
      <w:pPr>
        <w:spacing w:after="0"/>
        <w:rPr>
          <w:sz w:val="12"/>
          <w:szCs w:val="16"/>
        </w:rPr>
      </w:pPr>
      <w:r w:rsidRPr="00504E3E">
        <w:rPr>
          <w:sz w:val="16"/>
          <w:szCs w:val="16"/>
        </w:rPr>
        <w:t xml:space="preserve">1. </w:t>
      </w:r>
      <w:r w:rsidRPr="00EF56B6">
        <w:rPr>
          <w:sz w:val="12"/>
          <w:szCs w:val="16"/>
        </w:rPr>
        <w:t xml:space="preserve">Monthly change for retail sales, goods exports, </w:t>
      </w:r>
      <w:r w:rsidR="005D00F6" w:rsidRPr="00EF56B6">
        <w:rPr>
          <w:sz w:val="12"/>
          <w:szCs w:val="16"/>
        </w:rPr>
        <w:t xml:space="preserve">employment and </w:t>
      </w:r>
      <w:r w:rsidRPr="00EF56B6">
        <w:rPr>
          <w:sz w:val="12"/>
          <w:szCs w:val="16"/>
        </w:rPr>
        <w:t>unemployment; quarterly change for all other variables.</w:t>
      </w:r>
    </w:p>
    <w:p w14:paraId="4E18C9EE" w14:textId="77777777" w:rsidR="004F7E54" w:rsidRPr="00EF56B6" w:rsidRDefault="004F7E54" w:rsidP="004F7E54">
      <w:pPr>
        <w:spacing w:after="0"/>
        <w:rPr>
          <w:sz w:val="12"/>
          <w:szCs w:val="16"/>
        </w:rPr>
      </w:pPr>
      <w:r w:rsidRPr="00EF56B6">
        <w:rPr>
          <w:sz w:val="12"/>
          <w:szCs w:val="16"/>
        </w:rPr>
        <w:t xml:space="preserve">2. Compares the latest </w:t>
      </w:r>
      <w:r w:rsidR="00720F41" w:rsidRPr="00EF56B6">
        <w:rPr>
          <w:sz w:val="12"/>
          <w:szCs w:val="16"/>
        </w:rPr>
        <w:t>period</w:t>
      </w:r>
      <w:r w:rsidRPr="00EF56B6">
        <w:rPr>
          <w:sz w:val="12"/>
          <w:szCs w:val="16"/>
        </w:rPr>
        <w:t xml:space="preserve"> with the same </w:t>
      </w:r>
      <w:r w:rsidR="00720F41" w:rsidRPr="00EF56B6">
        <w:rPr>
          <w:sz w:val="12"/>
          <w:szCs w:val="16"/>
        </w:rPr>
        <w:t>period</w:t>
      </w:r>
      <w:r w:rsidRPr="00EF56B6">
        <w:rPr>
          <w:sz w:val="12"/>
          <w:szCs w:val="16"/>
        </w:rPr>
        <w:t xml:space="preserve"> last year</w:t>
      </w:r>
      <w:r w:rsidR="00720F41" w:rsidRPr="00EF56B6">
        <w:rPr>
          <w:sz w:val="12"/>
          <w:szCs w:val="16"/>
        </w:rPr>
        <w:t>.</w:t>
      </w:r>
    </w:p>
    <w:p w14:paraId="28077B5D" w14:textId="4313AEE6" w:rsidR="004F7E54" w:rsidRPr="00EF56B6" w:rsidRDefault="004F7E54" w:rsidP="004F7E54">
      <w:pPr>
        <w:spacing w:after="0"/>
        <w:rPr>
          <w:sz w:val="12"/>
          <w:szCs w:val="16"/>
        </w:rPr>
      </w:pPr>
      <w:r w:rsidRPr="00EF56B6">
        <w:rPr>
          <w:sz w:val="12"/>
          <w:szCs w:val="16"/>
        </w:rPr>
        <w:t xml:space="preserve">3. Compares the 12 months up to and including the latest </w:t>
      </w:r>
      <w:r w:rsidR="00720F41" w:rsidRPr="00EF56B6">
        <w:rPr>
          <w:sz w:val="12"/>
          <w:szCs w:val="16"/>
        </w:rPr>
        <w:t>period</w:t>
      </w:r>
      <w:r w:rsidRPr="00EF56B6">
        <w:rPr>
          <w:sz w:val="12"/>
          <w:szCs w:val="16"/>
        </w:rPr>
        <w:t xml:space="preserve"> with the previous 12-month period</w:t>
      </w:r>
      <w:r w:rsidR="00D341EE">
        <w:rPr>
          <w:sz w:val="12"/>
          <w:szCs w:val="16"/>
        </w:rPr>
        <w:t xml:space="preserve">. </w:t>
      </w:r>
    </w:p>
    <w:p w14:paraId="421478B3" w14:textId="50D8BC53" w:rsidR="004F7E54" w:rsidRPr="00EF56B6" w:rsidRDefault="004F7E54" w:rsidP="004F7E54">
      <w:pPr>
        <w:spacing w:after="120"/>
        <w:jc w:val="both"/>
        <w:rPr>
          <w:sz w:val="18"/>
          <w:szCs w:val="21"/>
        </w:rPr>
      </w:pPr>
      <w:r w:rsidRPr="00EF56B6">
        <w:rPr>
          <w:rFonts w:cstheme="minorHAnsi"/>
          <w:sz w:val="12"/>
          <w:szCs w:val="16"/>
        </w:rPr>
        <w:t xml:space="preserve">4. </w:t>
      </w:r>
      <w:r w:rsidR="0020517E" w:rsidRPr="00EF56B6">
        <w:rPr>
          <w:rFonts w:cstheme="minorHAnsi"/>
          <w:sz w:val="12"/>
          <w:szCs w:val="16"/>
        </w:rPr>
        <w:t>Compare</w:t>
      </w:r>
      <w:bookmarkStart w:id="0" w:name="_GoBack"/>
      <w:bookmarkEnd w:id="0"/>
      <w:r w:rsidR="0020517E" w:rsidRPr="00EF56B6">
        <w:rPr>
          <w:rFonts w:cstheme="minorHAnsi"/>
          <w:sz w:val="12"/>
          <w:szCs w:val="16"/>
        </w:rPr>
        <w:t xml:space="preserve">s the </w:t>
      </w:r>
      <w:r w:rsidR="004056AA" w:rsidRPr="00EF56B6">
        <w:rPr>
          <w:rFonts w:cstheme="minorHAnsi"/>
          <w:sz w:val="12"/>
          <w:szCs w:val="16"/>
        </w:rPr>
        <w:t>12 months</w:t>
      </w:r>
      <w:r w:rsidR="0020517E" w:rsidRPr="00EF56B6">
        <w:rPr>
          <w:rFonts w:cstheme="minorHAnsi"/>
          <w:sz w:val="12"/>
          <w:szCs w:val="16"/>
        </w:rPr>
        <w:t xml:space="preserve"> up to and including latest period with the year to December 2019 </w:t>
      </w:r>
      <w:r w:rsidR="00456816">
        <w:rPr>
          <w:rFonts w:cstheme="minorHAnsi"/>
          <w:sz w:val="12"/>
          <w:szCs w:val="16"/>
        </w:rPr>
        <w:t>period</w:t>
      </w:r>
      <w:r w:rsidR="00FD2D59">
        <w:rPr>
          <w:rFonts w:cstheme="minorHAnsi"/>
          <w:sz w:val="12"/>
          <w:szCs w:val="16"/>
        </w:rPr>
        <w:t>, using original data.</w:t>
      </w:r>
    </w:p>
    <w:tbl>
      <w:tblPr>
        <w:tblStyle w:val="PlainTable4"/>
        <w:tblW w:w="10632" w:type="dxa"/>
        <w:tblLook w:val="04A0" w:firstRow="1" w:lastRow="0" w:firstColumn="1" w:lastColumn="0" w:noHBand="0" w:noVBand="1"/>
      </w:tblPr>
      <w:tblGrid>
        <w:gridCol w:w="5245"/>
        <w:gridCol w:w="5387"/>
      </w:tblGrid>
      <w:tr w:rsidR="00CA70C0" w:rsidRPr="00B55F93" w14:paraId="0DFCE6EE" w14:textId="77777777" w:rsidTr="00BE1D12">
        <w:trPr>
          <w:cnfStyle w:val="100000000000" w:firstRow="1" w:lastRow="0" w:firstColumn="0" w:lastColumn="0" w:oddVBand="0" w:evenVBand="0" w:oddHBand="0" w:evenHBand="0" w:firstRowFirstColumn="0" w:firstRowLastColumn="0" w:lastRowFirstColumn="0" w:lastRowLastColumn="0"/>
          <w:trHeight w:val="1933"/>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266743AB" w14:textId="673A1FC0" w:rsidR="0055662D" w:rsidRPr="009272DC" w:rsidRDefault="00E24FCF">
            <w:pPr>
              <w:spacing w:after="120"/>
              <w:jc w:val="both"/>
              <w:rPr>
                <w:b w:val="0"/>
                <w:bCs w:val="0"/>
                <w:noProof/>
                <w:spacing w:val="-2"/>
                <w:sz w:val="20"/>
                <w:szCs w:val="20"/>
                <w:lang w:eastAsia="en-AU"/>
              </w:rPr>
            </w:pPr>
            <w:r w:rsidRPr="009272DC">
              <w:rPr>
                <w:noProof/>
                <w:spacing w:val="-2"/>
                <w:sz w:val="20"/>
                <w:szCs w:val="20"/>
                <w:lang w:eastAsia="en-AU"/>
              </w:rPr>
              <w:lastRenderedPageBreak/>
              <w:t>Chart</w:t>
            </w:r>
            <w:r w:rsidR="003B0FF0" w:rsidRPr="009272DC">
              <w:rPr>
                <w:noProof/>
                <w:spacing w:val="-2"/>
                <w:sz w:val="20"/>
                <w:szCs w:val="20"/>
                <w:lang w:eastAsia="en-AU"/>
              </w:rPr>
              <w:t xml:space="preserve"> 1</w:t>
            </w:r>
            <w:r w:rsidR="001D13F9" w:rsidRPr="009272DC">
              <w:rPr>
                <w:noProof/>
                <w:spacing w:val="-2"/>
                <w:sz w:val="20"/>
                <w:szCs w:val="20"/>
                <w:lang w:eastAsia="en-AU"/>
              </w:rPr>
              <w:t xml:space="preserve">: </w:t>
            </w:r>
            <w:r w:rsidR="00F74273" w:rsidRPr="002713C4">
              <w:rPr>
                <w:b w:val="0"/>
                <w:noProof/>
                <w:spacing w:val="-2"/>
                <w:sz w:val="20"/>
                <w:szCs w:val="20"/>
                <w:lang w:eastAsia="en-AU"/>
              </w:rPr>
              <w:t>In</w:t>
            </w:r>
            <w:r w:rsidR="006F756E" w:rsidRPr="002713C4">
              <w:rPr>
                <w:b w:val="0"/>
                <w:noProof/>
                <w:spacing w:val="-2"/>
                <w:sz w:val="20"/>
                <w:szCs w:val="20"/>
                <w:lang w:eastAsia="en-AU"/>
              </w:rPr>
              <w:t xml:space="preserve"> the year to</w:t>
            </w:r>
            <w:r w:rsidR="00F74273" w:rsidRPr="002713C4">
              <w:rPr>
                <w:b w:val="0"/>
                <w:noProof/>
                <w:spacing w:val="-2"/>
                <w:sz w:val="20"/>
                <w:szCs w:val="20"/>
                <w:lang w:eastAsia="en-AU"/>
              </w:rPr>
              <w:t xml:space="preserve"> </w:t>
            </w:r>
            <w:r w:rsidR="00D25275" w:rsidRPr="002713C4">
              <w:rPr>
                <w:b w:val="0"/>
                <w:noProof/>
                <w:spacing w:val="-2"/>
                <w:sz w:val="20"/>
                <w:szCs w:val="20"/>
                <w:lang w:eastAsia="en-AU"/>
              </w:rPr>
              <w:t>March 2024,</w:t>
            </w:r>
            <w:r w:rsidR="00F74273" w:rsidRPr="002713C4">
              <w:rPr>
                <w:b w:val="0"/>
                <w:noProof/>
                <w:spacing w:val="-2"/>
                <w:sz w:val="20"/>
                <w:szCs w:val="20"/>
                <w:lang w:eastAsia="en-AU"/>
              </w:rPr>
              <w:t xml:space="preserve"> </w:t>
            </w:r>
            <w:r w:rsidR="005E66EB" w:rsidRPr="002713C4">
              <w:rPr>
                <w:b w:val="0"/>
                <w:noProof/>
                <w:spacing w:val="-2"/>
                <w:sz w:val="20"/>
                <w:szCs w:val="20"/>
                <w:lang w:eastAsia="en-AU"/>
              </w:rPr>
              <w:t xml:space="preserve">Territory SFD increased by </w:t>
            </w:r>
            <w:r w:rsidR="00F24A30" w:rsidRPr="002713C4">
              <w:rPr>
                <w:b w:val="0"/>
                <w:noProof/>
                <w:spacing w:val="-2"/>
                <w:sz w:val="20"/>
                <w:szCs w:val="20"/>
                <w:lang w:eastAsia="en-AU"/>
              </w:rPr>
              <w:t>2.0</w:t>
            </w:r>
            <w:r w:rsidR="002D0EC2" w:rsidRPr="002713C4">
              <w:rPr>
                <w:b w:val="0"/>
                <w:noProof/>
                <w:spacing w:val="-2"/>
                <w:sz w:val="20"/>
                <w:szCs w:val="20"/>
                <w:lang w:eastAsia="en-AU"/>
              </w:rPr>
              <w:t>%,</w:t>
            </w:r>
            <w:r w:rsidR="0049159B" w:rsidRPr="002713C4">
              <w:rPr>
                <w:b w:val="0"/>
                <w:noProof/>
                <w:spacing w:val="-2"/>
                <w:sz w:val="20"/>
                <w:szCs w:val="20"/>
                <w:lang w:eastAsia="en-AU"/>
              </w:rPr>
              <w:t xml:space="preserve"> </w:t>
            </w:r>
            <w:r w:rsidR="006F756E" w:rsidRPr="002713C4">
              <w:rPr>
                <w:b w:val="0"/>
                <w:noProof/>
                <w:spacing w:val="-2"/>
                <w:sz w:val="20"/>
                <w:szCs w:val="20"/>
                <w:lang w:eastAsia="en-AU"/>
              </w:rPr>
              <w:t>with</w:t>
            </w:r>
            <w:r w:rsidR="00AD2940" w:rsidRPr="002713C4">
              <w:rPr>
                <w:b w:val="0"/>
                <w:noProof/>
                <w:spacing w:val="-2"/>
                <w:sz w:val="20"/>
                <w:szCs w:val="20"/>
                <w:lang w:eastAsia="en-AU"/>
              </w:rPr>
              <w:t xml:space="preserve"> contributions from</w:t>
            </w:r>
            <w:r w:rsidR="006F756E" w:rsidRPr="002713C4">
              <w:rPr>
                <w:b w:val="0"/>
                <w:noProof/>
                <w:spacing w:val="-2"/>
                <w:sz w:val="20"/>
                <w:szCs w:val="20"/>
                <w:lang w:eastAsia="en-AU"/>
              </w:rPr>
              <w:t xml:space="preserve"> </w:t>
            </w:r>
            <w:r w:rsidR="002D0EC2" w:rsidRPr="002713C4">
              <w:rPr>
                <w:b w:val="0"/>
                <w:noProof/>
                <w:spacing w:val="-2"/>
                <w:sz w:val="20"/>
                <w:szCs w:val="20"/>
                <w:lang w:eastAsia="en-AU"/>
              </w:rPr>
              <w:t>increased</w:t>
            </w:r>
            <w:r w:rsidR="005E66EB" w:rsidRPr="002713C4">
              <w:rPr>
                <w:b w:val="0"/>
                <w:noProof/>
                <w:spacing w:val="-2"/>
                <w:sz w:val="20"/>
                <w:szCs w:val="20"/>
                <w:lang w:eastAsia="en-AU"/>
              </w:rPr>
              <w:t xml:space="preserve"> </w:t>
            </w:r>
            <w:r w:rsidR="00A934B9" w:rsidRPr="002713C4">
              <w:rPr>
                <w:b w:val="0"/>
                <w:noProof/>
                <w:spacing w:val="-2"/>
                <w:sz w:val="20"/>
                <w:szCs w:val="20"/>
                <w:lang w:eastAsia="en-AU"/>
              </w:rPr>
              <w:t>government</w:t>
            </w:r>
            <w:r w:rsidR="005E66EB" w:rsidRPr="002713C4">
              <w:rPr>
                <w:b w:val="0"/>
                <w:noProof/>
                <w:spacing w:val="-2"/>
                <w:sz w:val="20"/>
                <w:szCs w:val="20"/>
                <w:lang w:eastAsia="en-AU"/>
              </w:rPr>
              <w:t xml:space="preserve"> investment (</w:t>
            </w:r>
            <w:r w:rsidR="00F24A30" w:rsidRPr="002713C4">
              <w:rPr>
                <w:b w:val="0"/>
                <w:noProof/>
                <w:spacing w:val="-2"/>
                <w:sz w:val="20"/>
                <w:szCs w:val="20"/>
                <w:lang w:eastAsia="en-AU"/>
              </w:rPr>
              <w:t>13.9</w:t>
            </w:r>
            <w:r w:rsidR="000252E2" w:rsidRPr="002713C4">
              <w:rPr>
                <w:b w:val="0"/>
                <w:noProof/>
                <w:spacing w:val="-2"/>
                <w:sz w:val="20"/>
                <w:szCs w:val="20"/>
                <w:lang w:eastAsia="en-AU"/>
              </w:rPr>
              <w:t>%</w:t>
            </w:r>
            <w:r w:rsidR="0064519D" w:rsidRPr="002713C4">
              <w:rPr>
                <w:b w:val="0"/>
                <w:noProof/>
                <w:spacing w:val="-2"/>
                <w:sz w:val="20"/>
                <w:szCs w:val="20"/>
                <w:lang w:eastAsia="en-AU"/>
              </w:rPr>
              <w:t xml:space="preserve">, </w:t>
            </w:r>
            <w:r w:rsidR="006F756E" w:rsidRPr="002713C4">
              <w:rPr>
                <w:b w:val="0"/>
                <w:noProof/>
                <w:spacing w:val="-2"/>
                <w:sz w:val="20"/>
                <w:szCs w:val="20"/>
                <w:lang w:eastAsia="en-AU"/>
              </w:rPr>
              <w:t>0.9</w:t>
            </w:r>
            <w:r w:rsidR="00A934B9" w:rsidRPr="002713C4">
              <w:rPr>
                <w:b w:val="0"/>
                <w:noProof/>
                <w:spacing w:val="-2"/>
                <w:sz w:val="20"/>
                <w:szCs w:val="20"/>
                <w:lang w:eastAsia="en-AU"/>
              </w:rPr>
              <w:t> </w:t>
            </w:r>
            <w:r w:rsidR="0064519D" w:rsidRPr="002713C4">
              <w:rPr>
                <w:b w:val="0"/>
                <w:noProof/>
                <w:spacing w:val="-2"/>
                <w:sz w:val="20"/>
                <w:szCs w:val="20"/>
                <w:lang w:eastAsia="en-AU"/>
              </w:rPr>
              <w:t>ppt</w:t>
            </w:r>
            <w:r w:rsidR="002D0EC2" w:rsidRPr="002713C4">
              <w:rPr>
                <w:b w:val="0"/>
                <w:noProof/>
                <w:spacing w:val="-2"/>
                <w:sz w:val="20"/>
                <w:szCs w:val="20"/>
                <w:lang w:eastAsia="en-AU"/>
              </w:rPr>
              <w:t xml:space="preserve">) </w:t>
            </w:r>
            <w:r w:rsidR="0049159B" w:rsidRPr="002713C4">
              <w:rPr>
                <w:b w:val="0"/>
                <w:noProof/>
                <w:spacing w:val="-2"/>
                <w:sz w:val="20"/>
                <w:szCs w:val="20"/>
                <w:lang w:eastAsia="en-AU"/>
              </w:rPr>
              <w:t>and consumption (</w:t>
            </w:r>
            <w:r w:rsidR="00F24A30" w:rsidRPr="002713C4">
              <w:rPr>
                <w:b w:val="0"/>
                <w:noProof/>
                <w:spacing w:val="-2"/>
                <w:sz w:val="20"/>
                <w:szCs w:val="20"/>
                <w:lang w:eastAsia="en-AU"/>
              </w:rPr>
              <w:t>2.9</w:t>
            </w:r>
            <w:r w:rsidR="0049159B" w:rsidRPr="002713C4">
              <w:rPr>
                <w:b w:val="0"/>
                <w:noProof/>
                <w:spacing w:val="-2"/>
                <w:sz w:val="20"/>
                <w:szCs w:val="20"/>
                <w:lang w:eastAsia="en-AU"/>
              </w:rPr>
              <w:t>%</w:t>
            </w:r>
            <w:r w:rsidR="00A934B9" w:rsidRPr="002713C4">
              <w:rPr>
                <w:b w:val="0"/>
                <w:noProof/>
                <w:spacing w:val="-2"/>
                <w:sz w:val="20"/>
                <w:szCs w:val="20"/>
                <w:lang w:eastAsia="en-AU"/>
              </w:rPr>
              <w:t xml:space="preserve">, </w:t>
            </w:r>
            <w:r w:rsidR="006F756E" w:rsidRPr="002713C4">
              <w:rPr>
                <w:b w:val="0"/>
                <w:noProof/>
                <w:spacing w:val="-2"/>
                <w:sz w:val="20"/>
                <w:szCs w:val="20"/>
                <w:lang w:eastAsia="en-AU"/>
              </w:rPr>
              <w:t>1.0</w:t>
            </w:r>
            <w:r w:rsidR="009272DC" w:rsidRPr="002713C4">
              <w:rPr>
                <w:b w:val="0"/>
                <w:noProof/>
                <w:spacing w:val="-2"/>
                <w:sz w:val="20"/>
                <w:szCs w:val="20"/>
                <w:lang w:eastAsia="en-AU"/>
              </w:rPr>
              <w:t> </w:t>
            </w:r>
            <w:r w:rsidR="00A934B9" w:rsidRPr="002713C4">
              <w:rPr>
                <w:b w:val="0"/>
                <w:noProof/>
                <w:spacing w:val="-2"/>
                <w:sz w:val="20"/>
                <w:szCs w:val="20"/>
                <w:lang w:eastAsia="en-AU"/>
              </w:rPr>
              <w:t>ppt</w:t>
            </w:r>
            <w:r w:rsidR="0049159B" w:rsidRPr="002713C4">
              <w:rPr>
                <w:b w:val="0"/>
                <w:noProof/>
                <w:spacing w:val="-2"/>
                <w:sz w:val="20"/>
                <w:szCs w:val="20"/>
                <w:lang w:eastAsia="en-AU"/>
              </w:rPr>
              <w:t>)</w:t>
            </w:r>
            <w:r w:rsidR="00A934B9" w:rsidRPr="002713C4">
              <w:rPr>
                <w:b w:val="0"/>
                <w:noProof/>
                <w:spacing w:val="-2"/>
                <w:sz w:val="20"/>
                <w:szCs w:val="20"/>
                <w:lang w:eastAsia="en-AU"/>
              </w:rPr>
              <w:t xml:space="preserve">. </w:t>
            </w:r>
            <w:r w:rsidR="006F756E" w:rsidRPr="002713C4">
              <w:rPr>
                <w:b w:val="0"/>
                <w:noProof/>
                <w:spacing w:val="-2"/>
                <w:sz w:val="20"/>
                <w:szCs w:val="20"/>
                <w:lang w:eastAsia="en-AU"/>
              </w:rPr>
              <w:t xml:space="preserve">Household consumption </w:t>
            </w:r>
            <w:r w:rsidR="00AD2940" w:rsidRPr="002713C4">
              <w:rPr>
                <w:b w:val="0"/>
                <w:noProof/>
                <w:spacing w:val="-2"/>
                <w:sz w:val="20"/>
                <w:szCs w:val="20"/>
                <w:lang w:eastAsia="en-AU"/>
              </w:rPr>
              <w:t>remained</w:t>
            </w:r>
            <w:r w:rsidR="006F756E" w:rsidRPr="002713C4">
              <w:rPr>
                <w:b w:val="0"/>
                <w:noProof/>
                <w:spacing w:val="-2"/>
                <w:sz w:val="20"/>
                <w:szCs w:val="20"/>
                <w:lang w:eastAsia="en-AU"/>
              </w:rPr>
              <w:t xml:space="preserve"> </w:t>
            </w:r>
            <w:r w:rsidR="00867C87" w:rsidRPr="002713C4">
              <w:rPr>
                <w:b w:val="0"/>
                <w:noProof/>
                <w:spacing w:val="-2"/>
                <w:sz w:val="20"/>
                <w:szCs w:val="20"/>
                <w:lang w:eastAsia="en-AU"/>
              </w:rPr>
              <w:t>resilient</w:t>
            </w:r>
            <w:r w:rsidR="006F756E" w:rsidRPr="002713C4">
              <w:rPr>
                <w:b w:val="0"/>
                <w:noProof/>
                <w:spacing w:val="-2"/>
                <w:sz w:val="20"/>
                <w:szCs w:val="20"/>
                <w:lang w:eastAsia="en-AU"/>
              </w:rPr>
              <w:t xml:space="preserve"> </w:t>
            </w:r>
            <w:r w:rsidR="002A6D36" w:rsidRPr="002713C4">
              <w:rPr>
                <w:b w:val="0"/>
                <w:noProof/>
                <w:spacing w:val="-2"/>
                <w:sz w:val="20"/>
                <w:szCs w:val="20"/>
                <w:lang w:eastAsia="en-AU"/>
              </w:rPr>
              <w:t>(</w:t>
            </w:r>
            <w:r w:rsidR="006F756E" w:rsidRPr="002713C4">
              <w:rPr>
                <w:b w:val="0"/>
                <w:noProof/>
                <w:spacing w:val="-2"/>
                <w:sz w:val="20"/>
                <w:szCs w:val="20"/>
                <w:lang w:eastAsia="en-AU"/>
              </w:rPr>
              <w:t>1.2%,</w:t>
            </w:r>
            <w:r w:rsidR="002A6D36" w:rsidRPr="002713C4">
              <w:rPr>
                <w:b w:val="0"/>
                <w:noProof/>
                <w:spacing w:val="-2"/>
                <w:sz w:val="20"/>
                <w:szCs w:val="20"/>
                <w:lang w:eastAsia="en-AU"/>
              </w:rPr>
              <w:t xml:space="preserve"> 0.5 ppt)</w:t>
            </w:r>
            <w:r w:rsidR="00867C87" w:rsidRPr="002713C4">
              <w:rPr>
                <w:b w:val="0"/>
                <w:noProof/>
                <w:spacing w:val="-2"/>
                <w:sz w:val="20"/>
                <w:szCs w:val="20"/>
                <w:lang w:eastAsia="en-AU"/>
              </w:rPr>
              <w:t xml:space="preserve"> </w:t>
            </w:r>
            <w:r w:rsidR="00AD2940" w:rsidRPr="002713C4">
              <w:rPr>
                <w:b w:val="0"/>
                <w:noProof/>
                <w:spacing w:val="-2"/>
                <w:sz w:val="20"/>
                <w:szCs w:val="20"/>
                <w:lang w:eastAsia="en-AU"/>
              </w:rPr>
              <w:t xml:space="preserve">despite </w:t>
            </w:r>
            <w:r w:rsidR="00867C87" w:rsidRPr="002713C4">
              <w:rPr>
                <w:b w:val="0"/>
                <w:noProof/>
                <w:spacing w:val="-2"/>
                <w:sz w:val="20"/>
                <w:szCs w:val="20"/>
                <w:lang w:eastAsia="en-AU"/>
              </w:rPr>
              <w:t>high inflation</w:t>
            </w:r>
            <w:r w:rsidR="009272DC" w:rsidRPr="002713C4">
              <w:rPr>
                <w:b w:val="0"/>
                <w:noProof/>
                <w:spacing w:val="-2"/>
                <w:sz w:val="20"/>
                <w:szCs w:val="20"/>
                <w:lang w:eastAsia="en-AU"/>
              </w:rPr>
              <w:t xml:space="preserve"> and interest rates impacting confidence</w:t>
            </w:r>
            <w:r w:rsidR="00E8339B" w:rsidRPr="002713C4">
              <w:rPr>
                <w:b w:val="0"/>
                <w:noProof/>
                <w:spacing w:val="-2"/>
                <w:sz w:val="20"/>
                <w:szCs w:val="20"/>
                <w:lang w:eastAsia="en-AU"/>
              </w:rPr>
              <w:t xml:space="preserve">. </w:t>
            </w:r>
            <w:r w:rsidR="009272DC" w:rsidRPr="002713C4">
              <w:rPr>
                <w:b w:val="0"/>
                <w:noProof/>
                <w:spacing w:val="-2"/>
                <w:sz w:val="20"/>
                <w:szCs w:val="20"/>
                <w:lang w:eastAsia="en-AU"/>
              </w:rPr>
              <w:t>P</w:t>
            </w:r>
            <w:r w:rsidR="00FB25C7" w:rsidRPr="002713C4">
              <w:rPr>
                <w:b w:val="0"/>
                <w:noProof/>
                <w:spacing w:val="-2"/>
                <w:sz w:val="20"/>
                <w:szCs w:val="20"/>
                <w:lang w:eastAsia="en-AU"/>
              </w:rPr>
              <w:t xml:space="preserve">rivate </w:t>
            </w:r>
            <w:r w:rsidR="00A7314A" w:rsidRPr="002713C4">
              <w:rPr>
                <w:b w:val="0"/>
                <w:noProof/>
                <w:spacing w:val="-2"/>
                <w:sz w:val="20"/>
                <w:szCs w:val="20"/>
                <w:lang w:eastAsia="en-AU"/>
              </w:rPr>
              <w:t xml:space="preserve">investment </w:t>
            </w:r>
            <w:r w:rsidR="00AD2940" w:rsidRPr="002713C4">
              <w:rPr>
                <w:b w:val="0"/>
                <w:noProof/>
                <w:spacing w:val="-2"/>
                <w:sz w:val="20"/>
                <w:szCs w:val="20"/>
                <w:lang w:eastAsia="en-AU"/>
              </w:rPr>
              <w:t>contracted</w:t>
            </w:r>
            <w:r w:rsidR="00162373" w:rsidRPr="002713C4">
              <w:rPr>
                <w:b w:val="0"/>
                <w:noProof/>
                <w:spacing w:val="-2"/>
                <w:sz w:val="20"/>
                <w:szCs w:val="20"/>
                <w:lang w:eastAsia="en-AU"/>
              </w:rPr>
              <w:t xml:space="preserve"> (</w:t>
            </w:r>
            <w:r w:rsidR="009272DC" w:rsidRPr="002713C4">
              <w:rPr>
                <w:b w:val="0"/>
                <w:noProof/>
                <w:spacing w:val="-2"/>
                <w:sz w:val="20"/>
                <w:szCs w:val="20"/>
                <w:lang w:eastAsia="en-AU"/>
              </w:rPr>
              <w:noBreakHyphen/>
            </w:r>
            <w:r w:rsidR="00162373" w:rsidRPr="002713C4">
              <w:rPr>
                <w:b w:val="0"/>
                <w:noProof/>
                <w:spacing w:val="-2"/>
                <w:sz w:val="20"/>
                <w:szCs w:val="20"/>
                <w:lang w:eastAsia="en-AU"/>
              </w:rPr>
              <w:t xml:space="preserve">2.1%, </w:t>
            </w:r>
            <w:r w:rsidR="009272DC" w:rsidRPr="002713C4">
              <w:rPr>
                <w:b w:val="0"/>
                <w:noProof/>
                <w:spacing w:val="-2"/>
                <w:sz w:val="20"/>
                <w:szCs w:val="20"/>
                <w:lang w:eastAsia="en-AU"/>
              </w:rPr>
              <w:noBreakHyphen/>
            </w:r>
            <w:r w:rsidR="00162373" w:rsidRPr="002713C4">
              <w:rPr>
                <w:b w:val="0"/>
                <w:noProof/>
                <w:spacing w:val="-2"/>
                <w:sz w:val="20"/>
                <w:szCs w:val="20"/>
                <w:lang w:eastAsia="en-AU"/>
              </w:rPr>
              <w:t>0.4 ppt)</w:t>
            </w:r>
            <w:r w:rsidR="009272DC" w:rsidRPr="002713C4">
              <w:rPr>
                <w:b w:val="0"/>
                <w:noProof/>
                <w:spacing w:val="-2"/>
                <w:sz w:val="20"/>
                <w:szCs w:val="20"/>
                <w:lang w:eastAsia="en-AU"/>
              </w:rPr>
              <w:t xml:space="preserve"> in the year. Business confidence has weakened over the year, but a major impact on the decline relates to the timing of activity to progress the Barossa gas project.</w:t>
            </w:r>
          </w:p>
        </w:tc>
        <w:tc>
          <w:tcPr>
            <w:tcW w:w="5387" w:type="dxa"/>
            <w:shd w:val="clear" w:color="auto" w:fill="auto"/>
          </w:tcPr>
          <w:p w14:paraId="629BCC63" w14:textId="31DBAD5D" w:rsidR="005305D9" w:rsidRPr="00402DC4" w:rsidRDefault="00E24FCF">
            <w:pPr>
              <w:spacing w:after="120"/>
              <w:jc w:val="both"/>
              <w:cnfStyle w:val="100000000000" w:firstRow="1" w:lastRow="0" w:firstColumn="0" w:lastColumn="0" w:oddVBand="0" w:evenVBand="0" w:oddHBand="0" w:evenHBand="0" w:firstRowFirstColumn="0" w:firstRowLastColumn="0" w:lastRowFirstColumn="0" w:lastRowLastColumn="0"/>
              <w:rPr>
                <w:b w:val="0"/>
                <w:noProof/>
                <w:spacing w:val="-2"/>
                <w:sz w:val="20"/>
                <w:szCs w:val="20"/>
                <w:lang w:eastAsia="en-AU"/>
              </w:rPr>
            </w:pPr>
            <w:r w:rsidRPr="00402DC4">
              <w:rPr>
                <w:noProof/>
                <w:spacing w:val="-2"/>
                <w:sz w:val="20"/>
                <w:szCs w:val="20"/>
                <w:lang w:eastAsia="en-AU"/>
              </w:rPr>
              <w:t>Chart</w:t>
            </w:r>
            <w:r w:rsidR="003B0FF0" w:rsidRPr="00402DC4">
              <w:rPr>
                <w:noProof/>
                <w:spacing w:val="-2"/>
                <w:sz w:val="20"/>
                <w:szCs w:val="20"/>
                <w:lang w:eastAsia="en-AU"/>
              </w:rPr>
              <w:t xml:space="preserve"> 2</w:t>
            </w:r>
            <w:r w:rsidR="00B45E33" w:rsidRPr="00402DC4">
              <w:rPr>
                <w:b w:val="0"/>
                <w:noProof/>
                <w:spacing w:val="-2"/>
                <w:sz w:val="20"/>
                <w:szCs w:val="20"/>
                <w:lang w:eastAsia="en-AU"/>
              </w:rPr>
              <w:t>:</w:t>
            </w:r>
            <w:r w:rsidR="00D37B5E" w:rsidRPr="00402DC4">
              <w:rPr>
                <w:b w:val="0"/>
                <w:noProof/>
                <w:spacing w:val="-2"/>
                <w:sz w:val="20"/>
                <w:szCs w:val="20"/>
                <w:lang w:eastAsia="en-AU"/>
              </w:rPr>
              <w:t xml:space="preserve"> </w:t>
            </w:r>
            <w:r w:rsidR="00062C7D" w:rsidRPr="00402DC4">
              <w:rPr>
                <w:b w:val="0"/>
                <w:noProof/>
                <w:spacing w:val="-2"/>
                <w:sz w:val="20"/>
                <w:szCs w:val="20"/>
                <w:lang w:eastAsia="en-AU"/>
              </w:rPr>
              <w:t>Household consumption is the larges</w:t>
            </w:r>
            <w:r w:rsidR="00F05331">
              <w:rPr>
                <w:b w:val="0"/>
                <w:noProof/>
                <w:spacing w:val="-2"/>
                <w:sz w:val="20"/>
                <w:szCs w:val="20"/>
                <w:lang w:eastAsia="en-AU"/>
              </w:rPr>
              <w:t>t contributor to demand in the Territory</w:t>
            </w:r>
            <w:r w:rsidR="00976499" w:rsidRPr="00402DC4">
              <w:rPr>
                <w:b w:val="0"/>
                <w:noProof/>
                <w:spacing w:val="-2"/>
                <w:sz w:val="20"/>
                <w:szCs w:val="20"/>
                <w:lang w:eastAsia="en-AU"/>
              </w:rPr>
              <w:t xml:space="preserve"> (</w:t>
            </w:r>
            <w:r w:rsidR="003F3FDD">
              <w:rPr>
                <w:b w:val="0"/>
                <w:noProof/>
                <w:spacing w:val="-2"/>
                <w:sz w:val="20"/>
                <w:szCs w:val="20"/>
                <w:lang w:eastAsia="en-AU"/>
              </w:rPr>
              <w:t xml:space="preserve">typically </w:t>
            </w:r>
            <w:r w:rsidR="00976499" w:rsidRPr="00402DC4">
              <w:rPr>
                <w:b w:val="0"/>
                <w:noProof/>
                <w:spacing w:val="-2"/>
                <w:sz w:val="20"/>
                <w:szCs w:val="20"/>
                <w:lang w:eastAsia="en-AU"/>
              </w:rPr>
              <w:t xml:space="preserve">accounting for </w:t>
            </w:r>
            <w:r w:rsidR="00F05331">
              <w:rPr>
                <w:b w:val="0"/>
                <w:noProof/>
                <w:spacing w:val="-2"/>
                <w:sz w:val="20"/>
                <w:szCs w:val="20"/>
                <w:lang w:eastAsia="en-AU"/>
              </w:rPr>
              <w:t xml:space="preserve">around </w:t>
            </w:r>
            <w:r w:rsidR="00976499" w:rsidRPr="00402DC4">
              <w:rPr>
                <w:b w:val="0"/>
                <w:noProof/>
                <w:spacing w:val="-2"/>
                <w:sz w:val="20"/>
                <w:szCs w:val="20"/>
                <w:lang w:eastAsia="en-AU"/>
              </w:rPr>
              <w:t>40%</w:t>
            </w:r>
            <w:r w:rsidR="00F837D9">
              <w:rPr>
                <w:b w:val="0"/>
                <w:noProof/>
                <w:spacing w:val="-2"/>
                <w:sz w:val="20"/>
                <w:szCs w:val="20"/>
                <w:lang w:eastAsia="en-AU"/>
              </w:rPr>
              <w:t xml:space="preserve"> of demand</w:t>
            </w:r>
            <w:r w:rsidR="00976499" w:rsidRPr="00402DC4">
              <w:rPr>
                <w:b w:val="0"/>
                <w:noProof/>
                <w:spacing w:val="-2"/>
                <w:sz w:val="20"/>
                <w:szCs w:val="20"/>
                <w:lang w:eastAsia="en-AU"/>
              </w:rPr>
              <w:t>)</w:t>
            </w:r>
            <w:r w:rsidR="00062C7D" w:rsidRPr="00402DC4">
              <w:rPr>
                <w:b w:val="0"/>
                <w:noProof/>
                <w:spacing w:val="-2"/>
                <w:sz w:val="20"/>
                <w:szCs w:val="20"/>
                <w:lang w:eastAsia="en-AU"/>
              </w:rPr>
              <w:t xml:space="preserve"> and has been growing</w:t>
            </w:r>
            <w:r w:rsidR="00931E92" w:rsidRPr="00402DC4">
              <w:rPr>
                <w:b w:val="0"/>
                <w:noProof/>
                <w:spacing w:val="-2"/>
                <w:sz w:val="20"/>
                <w:szCs w:val="20"/>
                <w:lang w:eastAsia="en-AU"/>
              </w:rPr>
              <w:t xml:space="preserve"> year-on-year</w:t>
            </w:r>
            <w:r w:rsidR="00062C7D" w:rsidRPr="00402DC4">
              <w:rPr>
                <w:b w:val="0"/>
                <w:noProof/>
                <w:spacing w:val="-2"/>
                <w:sz w:val="20"/>
                <w:szCs w:val="20"/>
                <w:lang w:eastAsia="en-AU"/>
              </w:rPr>
              <w:t xml:space="preserve"> since June 202</w:t>
            </w:r>
            <w:r w:rsidR="00162373" w:rsidRPr="00402DC4">
              <w:rPr>
                <w:b w:val="0"/>
                <w:noProof/>
                <w:spacing w:val="-2"/>
                <w:sz w:val="20"/>
                <w:szCs w:val="20"/>
                <w:lang w:eastAsia="en-AU"/>
              </w:rPr>
              <w:t>3</w:t>
            </w:r>
            <w:r w:rsidR="00062C7D" w:rsidRPr="00402DC4">
              <w:rPr>
                <w:b w:val="0"/>
                <w:noProof/>
                <w:spacing w:val="-2"/>
                <w:sz w:val="20"/>
                <w:szCs w:val="20"/>
                <w:lang w:eastAsia="en-AU"/>
              </w:rPr>
              <w:t>. Easing inflation and real wage growth</w:t>
            </w:r>
            <w:r w:rsidR="005E4EAD" w:rsidRPr="00402DC4">
              <w:rPr>
                <w:b w:val="0"/>
                <w:noProof/>
                <w:spacing w:val="-2"/>
                <w:sz w:val="20"/>
                <w:szCs w:val="20"/>
                <w:lang w:eastAsia="en-AU"/>
              </w:rPr>
              <w:t xml:space="preserve"> </w:t>
            </w:r>
            <w:r w:rsidR="007E77F6">
              <w:rPr>
                <w:b w:val="0"/>
                <w:noProof/>
                <w:spacing w:val="-2"/>
                <w:sz w:val="20"/>
                <w:szCs w:val="20"/>
                <w:lang w:eastAsia="en-AU"/>
              </w:rPr>
              <w:t>contributed to stronger</w:t>
            </w:r>
            <w:r w:rsidR="00062C7D" w:rsidRPr="00402DC4">
              <w:rPr>
                <w:b w:val="0"/>
                <w:noProof/>
                <w:spacing w:val="-2"/>
                <w:sz w:val="20"/>
                <w:szCs w:val="20"/>
                <w:lang w:eastAsia="en-AU"/>
              </w:rPr>
              <w:t xml:space="preserve"> household spending</w:t>
            </w:r>
            <w:r w:rsidR="00EF6094" w:rsidRPr="00402DC4">
              <w:rPr>
                <w:b w:val="0"/>
                <w:noProof/>
                <w:spacing w:val="-2"/>
                <w:sz w:val="20"/>
                <w:szCs w:val="20"/>
                <w:lang w:eastAsia="en-AU"/>
              </w:rPr>
              <w:t xml:space="preserve"> in the March quarter</w:t>
            </w:r>
            <w:r w:rsidR="00062C7D" w:rsidRPr="00402DC4">
              <w:rPr>
                <w:b w:val="0"/>
                <w:noProof/>
                <w:spacing w:val="-2"/>
                <w:sz w:val="20"/>
                <w:szCs w:val="20"/>
                <w:lang w:eastAsia="en-AU"/>
              </w:rPr>
              <w:t>.</w:t>
            </w:r>
            <w:r w:rsidR="000661F5" w:rsidRPr="00402DC4">
              <w:rPr>
                <w:b w:val="0"/>
                <w:noProof/>
                <w:spacing w:val="-2"/>
                <w:sz w:val="20"/>
                <w:szCs w:val="20"/>
                <w:lang w:eastAsia="en-AU"/>
              </w:rPr>
              <w:t xml:space="preserve"> </w:t>
            </w:r>
            <w:r w:rsidR="009E5720" w:rsidRPr="00402DC4">
              <w:rPr>
                <w:b w:val="0"/>
                <w:noProof/>
                <w:spacing w:val="-2"/>
                <w:sz w:val="20"/>
                <w:szCs w:val="20"/>
                <w:lang w:eastAsia="en-AU"/>
              </w:rPr>
              <w:t>Looking ahead</w:t>
            </w:r>
            <w:r w:rsidR="008F0456" w:rsidRPr="00402DC4">
              <w:rPr>
                <w:b w:val="0"/>
                <w:noProof/>
                <w:spacing w:val="-2"/>
                <w:sz w:val="20"/>
                <w:szCs w:val="20"/>
                <w:lang w:eastAsia="en-AU"/>
              </w:rPr>
              <w:t>,</w:t>
            </w:r>
            <w:r w:rsidR="009E5720" w:rsidRPr="00402DC4">
              <w:rPr>
                <w:b w:val="0"/>
                <w:noProof/>
                <w:spacing w:val="-2"/>
                <w:sz w:val="20"/>
                <w:szCs w:val="20"/>
                <w:lang w:eastAsia="en-AU"/>
              </w:rPr>
              <w:t xml:space="preserve"> household </w:t>
            </w:r>
            <w:r w:rsidR="007E77F6">
              <w:rPr>
                <w:b w:val="0"/>
                <w:noProof/>
                <w:spacing w:val="-2"/>
                <w:sz w:val="20"/>
                <w:szCs w:val="20"/>
                <w:lang w:eastAsia="en-AU"/>
              </w:rPr>
              <w:t>budgets</w:t>
            </w:r>
            <w:r w:rsidR="009E5720" w:rsidRPr="00402DC4">
              <w:rPr>
                <w:b w:val="0"/>
                <w:noProof/>
                <w:spacing w:val="-2"/>
                <w:sz w:val="20"/>
                <w:szCs w:val="20"/>
                <w:lang w:eastAsia="en-AU"/>
              </w:rPr>
              <w:t xml:space="preserve"> </w:t>
            </w:r>
            <w:r w:rsidR="00FB42BB">
              <w:rPr>
                <w:b w:val="0"/>
                <w:noProof/>
                <w:spacing w:val="-2"/>
                <w:sz w:val="20"/>
                <w:szCs w:val="20"/>
                <w:lang w:eastAsia="en-AU"/>
              </w:rPr>
              <w:t>will be</w:t>
            </w:r>
            <w:r w:rsidR="009E5720" w:rsidRPr="00402DC4">
              <w:rPr>
                <w:b w:val="0"/>
                <w:noProof/>
                <w:spacing w:val="-2"/>
                <w:sz w:val="20"/>
                <w:szCs w:val="20"/>
                <w:lang w:eastAsia="en-AU"/>
              </w:rPr>
              <w:t xml:space="preserve"> supported by</w:t>
            </w:r>
            <w:r w:rsidR="007E77F6">
              <w:rPr>
                <w:b w:val="0"/>
                <w:noProof/>
                <w:spacing w:val="-2"/>
                <w:sz w:val="20"/>
                <w:szCs w:val="20"/>
                <w:lang w:eastAsia="en-AU"/>
              </w:rPr>
              <w:t xml:space="preserve"> a continued</w:t>
            </w:r>
            <w:r w:rsidR="009E5720" w:rsidRPr="00402DC4">
              <w:rPr>
                <w:b w:val="0"/>
                <w:noProof/>
                <w:spacing w:val="-2"/>
                <w:sz w:val="20"/>
                <w:szCs w:val="20"/>
                <w:lang w:eastAsia="en-AU"/>
              </w:rPr>
              <w:t xml:space="preserve"> </w:t>
            </w:r>
            <w:r w:rsidR="00FB42BB">
              <w:rPr>
                <w:b w:val="0"/>
                <w:noProof/>
                <w:spacing w:val="-2"/>
                <w:sz w:val="20"/>
                <w:szCs w:val="20"/>
                <w:lang w:eastAsia="en-AU"/>
              </w:rPr>
              <w:t>tight labour market (contributing to real wage growth)</w:t>
            </w:r>
            <w:r w:rsidR="00F05331">
              <w:rPr>
                <w:b w:val="0"/>
                <w:noProof/>
                <w:spacing w:val="-2"/>
                <w:sz w:val="20"/>
                <w:szCs w:val="20"/>
                <w:lang w:eastAsia="en-AU"/>
              </w:rPr>
              <w:t>,</w:t>
            </w:r>
            <w:r w:rsidR="0014759F">
              <w:rPr>
                <w:b w:val="0"/>
                <w:noProof/>
                <w:spacing w:val="-2"/>
                <w:sz w:val="20"/>
                <w:szCs w:val="20"/>
                <w:lang w:eastAsia="en-AU"/>
              </w:rPr>
              <w:t xml:space="preserve"> </w:t>
            </w:r>
            <w:r w:rsidR="009E5720" w:rsidRPr="00402DC4">
              <w:rPr>
                <w:b w:val="0"/>
                <w:noProof/>
                <w:spacing w:val="-2"/>
                <w:sz w:val="20"/>
                <w:szCs w:val="20"/>
                <w:lang w:eastAsia="en-AU"/>
              </w:rPr>
              <w:t>personal income tax cuts</w:t>
            </w:r>
            <w:r w:rsidR="00FB42BB">
              <w:rPr>
                <w:b w:val="0"/>
                <w:noProof/>
                <w:spacing w:val="-2"/>
                <w:sz w:val="20"/>
                <w:szCs w:val="20"/>
                <w:lang w:eastAsia="en-AU"/>
              </w:rPr>
              <w:t xml:space="preserve"> from 1 July 2024</w:t>
            </w:r>
            <w:r w:rsidR="009E5720" w:rsidRPr="00402DC4">
              <w:rPr>
                <w:b w:val="0"/>
                <w:noProof/>
                <w:spacing w:val="-2"/>
                <w:sz w:val="20"/>
                <w:szCs w:val="20"/>
                <w:lang w:eastAsia="en-AU"/>
              </w:rPr>
              <w:t xml:space="preserve"> and </w:t>
            </w:r>
            <w:r w:rsidR="00FB42BB">
              <w:rPr>
                <w:b w:val="0"/>
                <w:noProof/>
                <w:spacing w:val="-2"/>
                <w:sz w:val="20"/>
                <w:szCs w:val="20"/>
                <w:lang w:eastAsia="en-AU"/>
              </w:rPr>
              <w:t>expectation</w:t>
            </w:r>
            <w:r w:rsidR="00F05331">
              <w:rPr>
                <w:b w:val="0"/>
                <w:noProof/>
                <w:spacing w:val="-2"/>
                <w:sz w:val="20"/>
                <w:szCs w:val="20"/>
                <w:lang w:eastAsia="en-AU"/>
              </w:rPr>
              <w:t>s</w:t>
            </w:r>
            <w:r w:rsidR="00FB42BB">
              <w:rPr>
                <w:b w:val="0"/>
                <w:noProof/>
                <w:spacing w:val="-2"/>
                <w:sz w:val="20"/>
                <w:szCs w:val="20"/>
                <w:lang w:eastAsia="en-AU"/>
              </w:rPr>
              <w:t xml:space="preserve"> of </w:t>
            </w:r>
            <w:r w:rsidR="009E5720" w:rsidRPr="00402DC4">
              <w:rPr>
                <w:b w:val="0"/>
                <w:noProof/>
                <w:spacing w:val="-2"/>
                <w:sz w:val="20"/>
                <w:szCs w:val="20"/>
                <w:lang w:eastAsia="en-AU"/>
              </w:rPr>
              <w:t>easing inflation</w:t>
            </w:r>
            <w:r w:rsidR="00667307">
              <w:rPr>
                <w:b w:val="0"/>
                <w:noProof/>
                <w:spacing w:val="-2"/>
                <w:sz w:val="20"/>
                <w:szCs w:val="20"/>
                <w:lang w:eastAsia="en-AU"/>
              </w:rPr>
              <w:t xml:space="preserve"> and interest rate relief</w:t>
            </w:r>
            <w:r w:rsidR="000661F5" w:rsidRPr="00402DC4">
              <w:rPr>
                <w:b w:val="0"/>
                <w:noProof/>
                <w:spacing w:val="-2"/>
                <w:sz w:val="20"/>
                <w:szCs w:val="20"/>
                <w:lang w:eastAsia="en-AU"/>
              </w:rPr>
              <w:t>.</w:t>
            </w:r>
          </w:p>
        </w:tc>
      </w:tr>
      <w:tr w:rsidR="00CA70C0" w:rsidRPr="00482D19" w14:paraId="12549DE0" w14:textId="77777777" w:rsidTr="00BE1D12">
        <w:trPr>
          <w:cnfStyle w:val="000000100000" w:firstRow="0" w:lastRow="0" w:firstColumn="0" w:lastColumn="0" w:oddVBand="0" w:evenVBand="0" w:oddHBand="1" w:evenHBand="0" w:firstRowFirstColumn="0" w:firstRowLastColumn="0" w:lastRowFirstColumn="0" w:lastRowLastColumn="0"/>
          <w:trHeight w:val="4758"/>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3A3400B1" w14:textId="6CBDBD7E" w:rsidR="000775CB" w:rsidRPr="00472E9F" w:rsidRDefault="000775CB" w:rsidP="000775CB">
            <w:pPr>
              <w:jc w:val="center"/>
              <w:rPr>
                <w:sz w:val="20"/>
                <w:szCs w:val="20"/>
              </w:rPr>
            </w:pPr>
            <w:r w:rsidRPr="00472E9F">
              <w:rPr>
                <w:sz w:val="20"/>
                <w:szCs w:val="20"/>
              </w:rPr>
              <w:t>State Final Demand</w:t>
            </w:r>
            <w:r w:rsidR="002B481A">
              <w:rPr>
                <w:sz w:val="20"/>
                <w:szCs w:val="20"/>
              </w:rPr>
              <w:t xml:space="preserve"> (original)</w:t>
            </w:r>
            <w:r w:rsidRPr="00472E9F">
              <w:rPr>
                <w:sz w:val="20"/>
                <w:szCs w:val="20"/>
              </w:rPr>
              <w:t xml:space="preserve"> – NT</w:t>
            </w:r>
          </w:p>
          <w:p w14:paraId="780B6408" w14:textId="020DF6C6" w:rsidR="000775CB" w:rsidRDefault="00D341EE" w:rsidP="000775CB">
            <w:pPr>
              <w:jc w:val="center"/>
              <w:rPr>
                <w:sz w:val="16"/>
                <w:szCs w:val="16"/>
              </w:rPr>
            </w:pPr>
            <w:r>
              <w:rPr>
                <w:sz w:val="16"/>
                <w:szCs w:val="16"/>
              </w:rPr>
              <w:t>Components,</w:t>
            </w:r>
            <w:r w:rsidR="002B481A">
              <w:rPr>
                <w:sz w:val="16"/>
                <w:szCs w:val="16"/>
              </w:rPr>
              <w:t xml:space="preserve"> </w:t>
            </w:r>
            <w:r w:rsidR="000775CB" w:rsidRPr="00472E9F">
              <w:rPr>
                <w:sz w:val="16"/>
                <w:szCs w:val="16"/>
              </w:rPr>
              <w:t>moving annual total</w:t>
            </w:r>
            <w:r w:rsidR="00DE0A02">
              <w:rPr>
                <w:sz w:val="16"/>
                <w:szCs w:val="16"/>
              </w:rPr>
              <w:t xml:space="preserve"> ($B)</w:t>
            </w:r>
          </w:p>
          <w:p w14:paraId="68099006" w14:textId="77777777" w:rsidR="000775CB" w:rsidRPr="00542A1B" w:rsidRDefault="00304935" w:rsidP="000775CB">
            <w:pPr>
              <w:jc w:val="center"/>
              <w:rPr>
                <w:noProof/>
                <w:sz w:val="16"/>
                <w:szCs w:val="16"/>
                <w:lang w:eastAsia="en-AU"/>
              </w:rPr>
            </w:pPr>
            <w:r>
              <w:rPr>
                <w:noProof/>
                <w:sz w:val="16"/>
                <w:szCs w:val="16"/>
                <w:lang w:eastAsia="en-AU"/>
              </w:rPr>
              <w:drawing>
                <wp:inline distT="0" distB="0" distL="0" distR="0" wp14:anchorId="46293B56" wp14:editId="36D61CF2">
                  <wp:extent cx="2930400" cy="2700000"/>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0400" cy="2700000"/>
                          </a:xfrm>
                          <a:prstGeom prst="rect">
                            <a:avLst/>
                          </a:prstGeom>
                          <a:noFill/>
                        </pic:spPr>
                      </pic:pic>
                    </a:graphicData>
                  </a:graphic>
                </wp:inline>
              </w:drawing>
            </w:r>
          </w:p>
        </w:tc>
        <w:tc>
          <w:tcPr>
            <w:tcW w:w="5387" w:type="dxa"/>
            <w:shd w:val="clear" w:color="auto" w:fill="auto"/>
          </w:tcPr>
          <w:p w14:paraId="51E71F9A" w14:textId="77777777" w:rsidR="00A83B50" w:rsidRPr="00A83B50" w:rsidRDefault="00556F7A" w:rsidP="00C27FF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Essentials Inflation and Real Wages </w:t>
            </w:r>
          </w:p>
          <w:p w14:paraId="2AB44697" w14:textId="77777777" w:rsidR="00C27FFE" w:rsidRPr="00EC73A2" w:rsidRDefault="00490582" w:rsidP="00C27FFE">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 xml:space="preserve">Annual </w:t>
            </w:r>
            <w:r w:rsidR="005D7EFA">
              <w:rPr>
                <w:b/>
                <w:sz w:val="16"/>
                <w:szCs w:val="16"/>
              </w:rPr>
              <w:t>change</w:t>
            </w:r>
            <w:r>
              <w:rPr>
                <w:b/>
                <w:sz w:val="16"/>
                <w:szCs w:val="16"/>
              </w:rPr>
              <w:t xml:space="preserve"> (%), </w:t>
            </w:r>
            <w:r w:rsidR="00BD1DEB">
              <w:rPr>
                <w:b/>
                <w:sz w:val="16"/>
                <w:szCs w:val="16"/>
              </w:rPr>
              <w:t>Index</w:t>
            </w:r>
            <w:r w:rsidR="0014698A">
              <w:rPr>
                <w:b/>
                <w:sz w:val="16"/>
                <w:szCs w:val="16"/>
              </w:rPr>
              <w:t>:</w:t>
            </w:r>
            <w:r w:rsidR="00BD1DEB">
              <w:rPr>
                <w:b/>
                <w:sz w:val="16"/>
                <w:szCs w:val="16"/>
              </w:rPr>
              <w:t xml:space="preserve"> June </w:t>
            </w:r>
            <w:r w:rsidR="00C3012D">
              <w:rPr>
                <w:b/>
                <w:sz w:val="16"/>
                <w:szCs w:val="16"/>
              </w:rPr>
              <w:t>2016 = 100</w:t>
            </w:r>
          </w:p>
          <w:p w14:paraId="6104DB0E" w14:textId="6600F520" w:rsidR="000775CB" w:rsidRPr="00542A1B" w:rsidRDefault="00DD0A18">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noProof/>
                <w:sz w:val="16"/>
                <w:szCs w:val="16"/>
                <w:lang w:eastAsia="en-AU"/>
              </w:rPr>
              <w:drawing>
                <wp:inline distT="0" distB="0" distL="0" distR="0" wp14:anchorId="7B750BDB" wp14:editId="6707FEF1">
                  <wp:extent cx="2930400" cy="2696400"/>
                  <wp:effectExtent l="0" t="0" r="381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0400" cy="2696400"/>
                          </a:xfrm>
                          <a:prstGeom prst="rect">
                            <a:avLst/>
                          </a:prstGeom>
                          <a:noFill/>
                        </pic:spPr>
                      </pic:pic>
                    </a:graphicData>
                  </a:graphic>
                </wp:inline>
              </w:drawing>
            </w:r>
          </w:p>
        </w:tc>
      </w:tr>
      <w:tr w:rsidR="00CA70C0" w:rsidRPr="00482D19" w14:paraId="37DCC8DD" w14:textId="77777777" w:rsidTr="00BE1D12">
        <w:trPr>
          <w:trHeight w:val="2246"/>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53396288" w14:textId="38165343" w:rsidR="00466E6B" w:rsidRPr="009D7F12" w:rsidRDefault="001337CA">
            <w:pPr>
              <w:spacing w:after="120"/>
              <w:jc w:val="both"/>
              <w:rPr>
                <w:b w:val="0"/>
                <w:noProof/>
                <w:spacing w:val="-2"/>
                <w:sz w:val="20"/>
                <w:szCs w:val="20"/>
                <w:lang w:eastAsia="en-AU"/>
              </w:rPr>
            </w:pPr>
            <w:r w:rsidRPr="00E128F4">
              <w:rPr>
                <w:bCs w:val="0"/>
                <w:noProof/>
                <w:spacing w:val="-2"/>
                <w:sz w:val="20"/>
                <w:szCs w:val="20"/>
                <w:lang w:eastAsia="en-AU"/>
              </w:rPr>
              <w:t>Chart 3</w:t>
            </w:r>
            <w:r w:rsidRPr="00E128F4">
              <w:rPr>
                <w:b w:val="0"/>
                <w:bCs w:val="0"/>
                <w:noProof/>
                <w:spacing w:val="-2"/>
                <w:sz w:val="20"/>
                <w:szCs w:val="20"/>
                <w:lang w:eastAsia="en-AU"/>
              </w:rPr>
              <w:t>:</w:t>
            </w:r>
            <w:r w:rsidR="009B0DC9" w:rsidRPr="00E128F4">
              <w:rPr>
                <w:b w:val="0"/>
                <w:bCs w:val="0"/>
                <w:noProof/>
                <w:spacing w:val="-2"/>
                <w:sz w:val="20"/>
                <w:szCs w:val="20"/>
                <w:lang w:eastAsia="en-AU"/>
              </w:rPr>
              <w:t xml:space="preserve"> </w:t>
            </w:r>
            <w:r w:rsidR="003D50E9" w:rsidRPr="00134500">
              <w:rPr>
                <w:b w:val="0"/>
                <w:noProof/>
                <w:spacing w:val="-2"/>
                <w:sz w:val="20"/>
                <w:szCs w:val="20"/>
                <w:lang w:eastAsia="en-AU"/>
              </w:rPr>
              <w:t xml:space="preserve">Tourism </w:t>
            </w:r>
            <w:r w:rsidR="008A2A9F" w:rsidRPr="00134500">
              <w:rPr>
                <w:b w:val="0"/>
                <w:noProof/>
                <w:spacing w:val="-2"/>
                <w:sz w:val="20"/>
                <w:szCs w:val="20"/>
                <w:lang w:eastAsia="en-AU"/>
              </w:rPr>
              <w:t xml:space="preserve">is an important </w:t>
            </w:r>
            <w:r w:rsidR="00F05331">
              <w:rPr>
                <w:b w:val="0"/>
                <w:noProof/>
                <w:spacing w:val="-2"/>
                <w:sz w:val="20"/>
                <w:szCs w:val="20"/>
                <w:lang w:eastAsia="en-AU"/>
              </w:rPr>
              <w:t>sector in the Territory</w:t>
            </w:r>
            <w:r w:rsidR="00303406" w:rsidRPr="00134500">
              <w:rPr>
                <w:b w:val="0"/>
                <w:noProof/>
                <w:spacing w:val="-2"/>
                <w:sz w:val="20"/>
                <w:szCs w:val="20"/>
                <w:lang w:eastAsia="en-AU"/>
              </w:rPr>
              <w:t xml:space="preserve">, </w:t>
            </w:r>
            <w:r w:rsidR="00CE2E13" w:rsidRPr="00134500">
              <w:rPr>
                <w:b w:val="0"/>
                <w:noProof/>
                <w:spacing w:val="-2"/>
                <w:sz w:val="20"/>
                <w:szCs w:val="20"/>
                <w:lang w:eastAsia="en-AU"/>
              </w:rPr>
              <w:t>accounting for 3.8% of output and 5% of employment in 2022-23</w:t>
            </w:r>
            <w:r w:rsidR="00092A64" w:rsidRPr="00134500">
              <w:rPr>
                <w:b w:val="0"/>
                <w:noProof/>
                <w:spacing w:val="-2"/>
                <w:sz w:val="20"/>
                <w:szCs w:val="20"/>
                <w:lang w:eastAsia="en-AU"/>
              </w:rPr>
              <w:t xml:space="preserve">. </w:t>
            </w:r>
            <w:r w:rsidR="002B15B1" w:rsidRPr="001635AE">
              <w:rPr>
                <w:b w:val="0"/>
                <w:noProof/>
                <w:spacing w:val="-2"/>
                <w:sz w:val="20"/>
                <w:szCs w:val="20"/>
                <w:lang w:eastAsia="en-AU"/>
              </w:rPr>
              <w:t xml:space="preserve">After </w:t>
            </w:r>
            <w:r w:rsidR="00FB42BB">
              <w:rPr>
                <w:b w:val="0"/>
                <w:noProof/>
                <w:spacing w:val="-2"/>
                <w:sz w:val="20"/>
                <w:szCs w:val="20"/>
                <w:lang w:eastAsia="en-AU"/>
              </w:rPr>
              <w:t xml:space="preserve">peaking in </w:t>
            </w:r>
            <w:r w:rsidR="0015042E">
              <w:rPr>
                <w:b w:val="0"/>
                <w:noProof/>
                <w:spacing w:val="-2"/>
                <w:sz w:val="20"/>
                <w:szCs w:val="20"/>
                <w:lang w:eastAsia="en-AU"/>
              </w:rPr>
              <w:t>2019</w:t>
            </w:r>
            <w:r w:rsidR="00FB42BB">
              <w:rPr>
                <w:b w:val="0"/>
                <w:noProof/>
                <w:spacing w:val="-2"/>
                <w:sz w:val="20"/>
                <w:szCs w:val="20"/>
                <w:lang w:eastAsia="en-AU"/>
              </w:rPr>
              <w:t>-20</w:t>
            </w:r>
            <w:r w:rsidR="002B15B1" w:rsidRPr="001635AE">
              <w:rPr>
                <w:b w:val="0"/>
                <w:noProof/>
                <w:spacing w:val="-2"/>
                <w:sz w:val="20"/>
                <w:szCs w:val="20"/>
                <w:lang w:eastAsia="en-AU"/>
              </w:rPr>
              <w:t>,</w:t>
            </w:r>
            <w:r w:rsidR="002B15B1">
              <w:rPr>
                <w:noProof/>
                <w:spacing w:val="-2"/>
                <w:sz w:val="20"/>
                <w:szCs w:val="20"/>
                <w:lang w:eastAsia="en-AU"/>
              </w:rPr>
              <w:t xml:space="preserve"> </w:t>
            </w:r>
            <w:r w:rsidR="00E8339B">
              <w:rPr>
                <w:b w:val="0"/>
                <w:noProof/>
                <w:spacing w:val="-2"/>
                <w:sz w:val="20"/>
                <w:szCs w:val="20"/>
                <w:lang w:eastAsia="en-AU"/>
              </w:rPr>
              <w:t>both domestic and international visit</w:t>
            </w:r>
            <w:r w:rsidR="00FB42BB">
              <w:rPr>
                <w:b w:val="0"/>
                <w:noProof/>
                <w:spacing w:val="-2"/>
                <w:sz w:val="20"/>
                <w:szCs w:val="20"/>
                <w:lang w:eastAsia="en-AU"/>
              </w:rPr>
              <w:t xml:space="preserve">ation </w:t>
            </w:r>
            <w:r w:rsidR="00486CAB">
              <w:rPr>
                <w:b w:val="0"/>
                <w:noProof/>
                <w:spacing w:val="-2"/>
                <w:sz w:val="20"/>
                <w:szCs w:val="20"/>
                <w:lang w:eastAsia="en-AU"/>
              </w:rPr>
              <w:t>are</w:t>
            </w:r>
            <w:r w:rsidR="00FB42BB">
              <w:rPr>
                <w:b w:val="0"/>
                <w:noProof/>
                <w:spacing w:val="-2"/>
                <w:sz w:val="20"/>
                <w:szCs w:val="20"/>
                <w:lang w:eastAsia="en-AU"/>
              </w:rPr>
              <w:t xml:space="preserve"> well </w:t>
            </w:r>
            <w:r w:rsidR="00E8339B">
              <w:rPr>
                <w:b w:val="0"/>
                <w:noProof/>
                <w:spacing w:val="-2"/>
                <w:sz w:val="20"/>
                <w:szCs w:val="20"/>
                <w:lang w:eastAsia="en-AU"/>
              </w:rPr>
              <w:t>below pre</w:t>
            </w:r>
            <w:r w:rsidR="0014759F">
              <w:rPr>
                <w:b w:val="0"/>
                <w:noProof/>
                <w:spacing w:val="-2"/>
                <w:sz w:val="20"/>
                <w:szCs w:val="20"/>
                <w:lang w:eastAsia="en-AU"/>
              </w:rPr>
              <w:noBreakHyphen/>
            </w:r>
            <w:r w:rsidR="00E8339B">
              <w:rPr>
                <w:b w:val="0"/>
                <w:noProof/>
                <w:spacing w:val="-2"/>
                <w:sz w:val="20"/>
                <w:szCs w:val="20"/>
                <w:lang w:eastAsia="en-AU"/>
              </w:rPr>
              <w:t>pandemic levels</w:t>
            </w:r>
            <w:r w:rsidR="00FB42BB">
              <w:rPr>
                <w:b w:val="0"/>
                <w:noProof/>
                <w:spacing w:val="-2"/>
                <w:sz w:val="20"/>
                <w:szCs w:val="20"/>
                <w:lang w:eastAsia="en-AU"/>
              </w:rPr>
              <w:t>, and</w:t>
            </w:r>
            <w:r w:rsidR="00107A8F">
              <w:rPr>
                <w:b w:val="0"/>
                <w:noProof/>
                <w:spacing w:val="-2"/>
                <w:sz w:val="20"/>
                <w:szCs w:val="20"/>
                <w:lang w:eastAsia="en-AU"/>
              </w:rPr>
              <w:t xml:space="preserve"> </w:t>
            </w:r>
            <w:r w:rsidR="00340960" w:rsidRPr="00134500">
              <w:rPr>
                <w:b w:val="0"/>
                <w:noProof/>
                <w:spacing w:val="-2"/>
                <w:sz w:val="20"/>
                <w:szCs w:val="20"/>
                <w:lang w:eastAsia="en-AU"/>
              </w:rPr>
              <w:t xml:space="preserve">decreased by </w:t>
            </w:r>
            <w:r w:rsidR="003F43B7">
              <w:rPr>
                <w:b w:val="0"/>
                <w:noProof/>
                <w:spacing w:val="-2"/>
                <w:sz w:val="20"/>
                <w:szCs w:val="20"/>
                <w:lang w:eastAsia="en-AU"/>
              </w:rPr>
              <w:t>3.</w:t>
            </w:r>
            <w:r w:rsidR="001400A8">
              <w:rPr>
                <w:b w:val="0"/>
                <w:noProof/>
                <w:spacing w:val="-2"/>
                <w:sz w:val="20"/>
                <w:szCs w:val="20"/>
                <w:lang w:eastAsia="en-AU"/>
              </w:rPr>
              <w:t>2</w:t>
            </w:r>
            <w:r w:rsidR="00340960" w:rsidRPr="00134500">
              <w:rPr>
                <w:b w:val="0"/>
                <w:noProof/>
                <w:spacing w:val="-2"/>
                <w:sz w:val="20"/>
                <w:szCs w:val="20"/>
                <w:lang w:eastAsia="en-AU"/>
              </w:rPr>
              <w:t xml:space="preserve">% to </w:t>
            </w:r>
            <w:r w:rsidR="006C105C">
              <w:rPr>
                <w:b w:val="0"/>
                <w:noProof/>
                <w:spacing w:val="-2"/>
                <w:sz w:val="20"/>
                <w:szCs w:val="20"/>
                <w:lang w:eastAsia="en-AU"/>
              </w:rPr>
              <w:t xml:space="preserve">1.65 million </w:t>
            </w:r>
            <w:r w:rsidR="00831108">
              <w:rPr>
                <w:b w:val="0"/>
                <w:noProof/>
                <w:spacing w:val="-2"/>
                <w:sz w:val="20"/>
                <w:szCs w:val="20"/>
                <w:lang w:eastAsia="en-AU"/>
              </w:rPr>
              <w:t xml:space="preserve">visitors in the </w:t>
            </w:r>
            <w:r w:rsidR="00C25C1F" w:rsidRPr="00134500">
              <w:rPr>
                <w:b w:val="0"/>
                <w:noProof/>
                <w:spacing w:val="-2"/>
                <w:sz w:val="20"/>
                <w:szCs w:val="20"/>
                <w:lang w:eastAsia="en-AU"/>
              </w:rPr>
              <w:t>year to</w:t>
            </w:r>
            <w:r w:rsidR="00340960" w:rsidRPr="00134500">
              <w:rPr>
                <w:b w:val="0"/>
                <w:noProof/>
                <w:spacing w:val="-2"/>
                <w:sz w:val="20"/>
                <w:szCs w:val="20"/>
                <w:lang w:eastAsia="en-AU"/>
              </w:rPr>
              <w:t xml:space="preserve"> March 2024</w:t>
            </w:r>
            <w:r w:rsidR="00C80BFC">
              <w:rPr>
                <w:b w:val="0"/>
                <w:noProof/>
                <w:spacing w:val="-2"/>
                <w:sz w:val="20"/>
                <w:szCs w:val="20"/>
                <w:lang w:eastAsia="en-AU"/>
              </w:rPr>
              <w:t xml:space="preserve">.  Domestic </w:t>
            </w:r>
            <w:r w:rsidR="00643DE4">
              <w:rPr>
                <w:b w:val="0"/>
                <w:noProof/>
                <w:spacing w:val="-2"/>
                <w:sz w:val="20"/>
                <w:szCs w:val="20"/>
                <w:lang w:eastAsia="en-AU"/>
              </w:rPr>
              <w:t xml:space="preserve">visitation </w:t>
            </w:r>
            <w:r w:rsidR="00C80BFC">
              <w:rPr>
                <w:b w:val="0"/>
                <w:noProof/>
                <w:spacing w:val="-2"/>
                <w:sz w:val="20"/>
                <w:szCs w:val="20"/>
                <w:lang w:eastAsia="en-AU"/>
              </w:rPr>
              <w:t xml:space="preserve">is </w:t>
            </w:r>
            <w:r w:rsidR="00FB42BB">
              <w:rPr>
                <w:b w:val="0"/>
                <w:noProof/>
                <w:spacing w:val="-2"/>
                <w:sz w:val="20"/>
                <w:szCs w:val="20"/>
                <w:lang w:eastAsia="en-AU"/>
              </w:rPr>
              <w:t xml:space="preserve">down by </w:t>
            </w:r>
            <w:r w:rsidR="00643DE4">
              <w:rPr>
                <w:b w:val="0"/>
                <w:noProof/>
                <w:spacing w:val="-2"/>
                <w:sz w:val="20"/>
                <w:szCs w:val="20"/>
                <w:lang w:eastAsia="en-AU"/>
              </w:rPr>
              <w:t>8.5%</w:t>
            </w:r>
            <w:r w:rsidR="000D4895" w:rsidRPr="00134500">
              <w:rPr>
                <w:b w:val="0"/>
                <w:noProof/>
                <w:spacing w:val="-2"/>
                <w:sz w:val="20"/>
                <w:szCs w:val="20"/>
                <w:lang w:eastAsia="en-AU"/>
              </w:rPr>
              <w:t xml:space="preserve">, </w:t>
            </w:r>
            <w:r w:rsidR="007D73ED">
              <w:rPr>
                <w:b w:val="0"/>
                <w:noProof/>
                <w:spacing w:val="-2"/>
                <w:sz w:val="20"/>
                <w:szCs w:val="20"/>
                <w:lang w:eastAsia="en-AU"/>
              </w:rPr>
              <w:t xml:space="preserve">with an </w:t>
            </w:r>
            <w:r w:rsidR="00D32C8B">
              <w:rPr>
                <w:b w:val="0"/>
                <w:noProof/>
                <w:spacing w:val="-2"/>
                <w:sz w:val="20"/>
                <w:szCs w:val="20"/>
                <w:lang w:eastAsia="en-AU"/>
              </w:rPr>
              <w:t>increased</w:t>
            </w:r>
            <w:r w:rsidR="00D32C8B" w:rsidRPr="00543B7A">
              <w:rPr>
                <w:b w:val="0"/>
                <w:noProof/>
                <w:spacing w:val="-2"/>
                <w:sz w:val="20"/>
                <w:szCs w:val="20"/>
                <w:lang w:eastAsia="en-AU"/>
              </w:rPr>
              <w:t xml:space="preserve"> </w:t>
            </w:r>
            <w:r w:rsidR="00C80BFC">
              <w:rPr>
                <w:b w:val="0"/>
                <w:noProof/>
                <w:spacing w:val="-2"/>
                <w:sz w:val="20"/>
                <w:szCs w:val="20"/>
                <w:lang w:eastAsia="en-AU"/>
              </w:rPr>
              <w:t>preference</w:t>
            </w:r>
            <w:r w:rsidR="006F7FF1" w:rsidRPr="00543B7A">
              <w:rPr>
                <w:b w:val="0"/>
                <w:noProof/>
                <w:spacing w:val="-2"/>
                <w:sz w:val="20"/>
                <w:szCs w:val="20"/>
                <w:lang w:eastAsia="en-AU"/>
              </w:rPr>
              <w:t xml:space="preserve"> </w:t>
            </w:r>
            <w:r w:rsidR="006F7FF1" w:rsidRPr="00F05331">
              <w:rPr>
                <w:b w:val="0"/>
                <w:noProof/>
                <w:spacing w:val="-2"/>
                <w:sz w:val="20"/>
                <w:szCs w:val="20"/>
                <w:lang w:eastAsia="en-AU"/>
              </w:rPr>
              <w:t xml:space="preserve">for </w:t>
            </w:r>
            <w:r w:rsidR="00CA70C0" w:rsidRPr="00F05331">
              <w:rPr>
                <w:b w:val="0"/>
                <w:noProof/>
                <w:spacing w:val="-2"/>
                <w:sz w:val="20"/>
                <w:szCs w:val="20"/>
                <w:lang w:eastAsia="en-AU"/>
              </w:rPr>
              <w:t>overseas</w:t>
            </w:r>
            <w:r w:rsidR="006F7FF1" w:rsidRPr="00F05331">
              <w:rPr>
                <w:b w:val="0"/>
                <w:noProof/>
                <w:spacing w:val="-2"/>
                <w:sz w:val="20"/>
                <w:szCs w:val="20"/>
                <w:lang w:eastAsia="en-AU"/>
              </w:rPr>
              <w:t xml:space="preserve"> travel</w:t>
            </w:r>
            <w:r w:rsidR="008D032F" w:rsidRPr="00F05331">
              <w:rPr>
                <w:b w:val="0"/>
                <w:noProof/>
                <w:spacing w:val="-2"/>
                <w:sz w:val="20"/>
                <w:szCs w:val="20"/>
                <w:lang w:eastAsia="en-AU"/>
              </w:rPr>
              <w:t>.</w:t>
            </w:r>
            <w:r w:rsidR="00466E6B" w:rsidRPr="00F05331">
              <w:rPr>
                <w:b w:val="0"/>
                <w:noProof/>
                <w:spacing w:val="-2"/>
                <w:sz w:val="20"/>
                <w:szCs w:val="20"/>
                <w:lang w:eastAsia="en-AU"/>
              </w:rPr>
              <w:t xml:space="preserve"> </w:t>
            </w:r>
            <w:r w:rsidR="007D73ED">
              <w:rPr>
                <w:b w:val="0"/>
                <w:noProof/>
                <w:spacing w:val="-2"/>
                <w:sz w:val="20"/>
                <w:szCs w:val="20"/>
                <w:lang w:eastAsia="en-AU"/>
              </w:rPr>
              <w:t xml:space="preserve">Growing </w:t>
            </w:r>
            <w:r w:rsidR="00F05331" w:rsidRPr="00F05331">
              <w:rPr>
                <w:b w:val="0"/>
                <w:noProof/>
                <w:spacing w:val="-2"/>
                <w:sz w:val="20"/>
                <w:szCs w:val="20"/>
                <w:lang w:eastAsia="en-AU"/>
              </w:rPr>
              <w:t xml:space="preserve">domestic holiday and other </w:t>
            </w:r>
            <w:r w:rsidR="007D73ED">
              <w:rPr>
                <w:b w:val="0"/>
                <w:noProof/>
                <w:spacing w:val="-2"/>
                <w:sz w:val="20"/>
                <w:szCs w:val="20"/>
                <w:lang w:eastAsia="en-AU"/>
              </w:rPr>
              <w:t xml:space="preserve">visitation </w:t>
            </w:r>
            <w:r w:rsidR="00F05331" w:rsidRPr="00F05331">
              <w:rPr>
                <w:b w:val="0"/>
                <w:noProof/>
                <w:spacing w:val="-2"/>
                <w:sz w:val="20"/>
                <w:szCs w:val="20"/>
                <w:lang w:eastAsia="en-AU"/>
              </w:rPr>
              <w:t xml:space="preserve">is </w:t>
            </w:r>
            <w:r w:rsidR="007D73ED">
              <w:rPr>
                <w:b w:val="0"/>
                <w:noProof/>
                <w:spacing w:val="-2"/>
                <w:sz w:val="20"/>
                <w:szCs w:val="20"/>
                <w:lang w:eastAsia="en-AU"/>
              </w:rPr>
              <w:t xml:space="preserve">important </w:t>
            </w:r>
            <w:r w:rsidR="00F05331" w:rsidRPr="00F05331">
              <w:rPr>
                <w:b w:val="0"/>
                <w:noProof/>
                <w:spacing w:val="-2"/>
                <w:sz w:val="20"/>
                <w:szCs w:val="20"/>
                <w:lang w:eastAsia="en-AU"/>
              </w:rPr>
              <w:t xml:space="preserve">for sustained </w:t>
            </w:r>
            <w:r w:rsidR="007D73ED">
              <w:rPr>
                <w:b w:val="0"/>
                <w:noProof/>
                <w:spacing w:val="-2"/>
                <w:sz w:val="20"/>
                <w:szCs w:val="20"/>
                <w:lang w:eastAsia="en-AU"/>
              </w:rPr>
              <w:t xml:space="preserve">economic and employment </w:t>
            </w:r>
            <w:r w:rsidR="00F05331" w:rsidRPr="00F05331">
              <w:rPr>
                <w:b w:val="0"/>
                <w:noProof/>
                <w:spacing w:val="-2"/>
                <w:sz w:val="20"/>
                <w:szCs w:val="20"/>
                <w:lang w:eastAsia="en-AU"/>
              </w:rPr>
              <w:t>growth</w:t>
            </w:r>
            <w:r w:rsidR="007D73ED">
              <w:rPr>
                <w:b w:val="0"/>
                <w:noProof/>
                <w:spacing w:val="-2"/>
                <w:sz w:val="20"/>
                <w:szCs w:val="20"/>
                <w:lang w:eastAsia="en-AU"/>
              </w:rPr>
              <w:t xml:space="preserve">, especially </w:t>
            </w:r>
            <w:r w:rsidR="00F05331" w:rsidRPr="00F05331">
              <w:rPr>
                <w:b w:val="0"/>
                <w:bCs w:val="0"/>
                <w:noProof/>
                <w:spacing w:val="-2"/>
                <w:sz w:val="20"/>
                <w:szCs w:val="20"/>
                <w:lang w:eastAsia="en-AU"/>
              </w:rPr>
              <w:t>as d</w:t>
            </w:r>
            <w:r w:rsidR="00F05331" w:rsidRPr="00F05331">
              <w:rPr>
                <w:b w:val="0"/>
                <w:noProof/>
                <w:spacing w:val="-2"/>
                <w:sz w:val="20"/>
                <w:szCs w:val="20"/>
                <w:lang w:eastAsia="en-AU"/>
              </w:rPr>
              <w:t xml:space="preserve">omestic visitors accounted for 88% of visitors </w:t>
            </w:r>
            <w:r w:rsidR="007D73ED">
              <w:rPr>
                <w:b w:val="0"/>
                <w:noProof/>
                <w:spacing w:val="-2"/>
                <w:sz w:val="20"/>
                <w:szCs w:val="20"/>
                <w:lang w:eastAsia="en-AU"/>
              </w:rPr>
              <w:t xml:space="preserve">to the Territory </w:t>
            </w:r>
            <w:r w:rsidR="00F05331" w:rsidRPr="00F05331">
              <w:rPr>
                <w:b w:val="0"/>
                <w:noProof/>
                <w:spacing w:val="-2"/>
                <w:sz w:val="20"/>
                <w:szCs w:val="20"/>
                <w:lang w:eastAsia="en-AU"/>
              </w:rPr>
              <w:t>in the year to March 2024.</w:t>
            </w:r>
          </w:p>
        </w:tc>
        <w:tc>
          <w:tcPr>
            <w:tcW w:w="5387" w:type="dxa"/>
            <w:shd w:val="clear" w:color="auto" w:fill="auto"/>
          </w:tcPr>
          <w:p w14:paraId="5B85D22C" w14:textId="2C41D461" w:rsidR="0014759F" w:rsidRPr="00734774" w:rsidRDefault="001337CA">
            <w:pPr>
              <w:tabs>
                <w:tab w:val="left" w:pos="1373"/>
              </w:tabs>
              <w:spacing w:after="120"/>
              <w:jc w:val="both"/>
              <w:cnfStyle w:val="000000000000" w:firstRow="0" w:lastRow="0" w:firstColumn="0" w:lastColumn="0" w:oddVBand="0" w:evenVBand="0" w:oddHBand="0" w:evenHBand="0" w:firstRowFirstColumn="0" w:firstRowLastColumn="0" w:lastRowFirstColumn="0" w:lastRowLastColumn="0"/>
              <w:rPr>
                <w:bCs/>
                <w:noProof/>
                <w:spacing w:val="-2"/>
                <w:sz w:val="20"/>
                <w:szCs w:val="20"/>
                <w:lang w:eastAsia="en-AU"/>
              </w:rPr>
            </w:pPr>
            <w:r w:rsidRPr="00E41C08">
              <w:rPr>
                <w:b/>
                <w:noProof/>
                <w:spacing w:val="-2"/>
                <w:sz w:val="20"/>
                <w:szCs w:val="20"/>
                <w:lang w:eastAsia="en-AU"/>
              </w:rPr>
              <w:t>Chart 4:</w:t>
            </w:r>
            <w:r w:rsidR="00064D54">
              <w:rPr>
                <w:b/>
                <w:noProof/>
                <w:spacing w:val="-2"/>
                <w:sz w:val="20"/>
                <w:szCs w:val="20"/>
                <w:lang w:eastAsia="en-AU"/>
              </w:rPr>
              <w:t xml:space="preserve"> </w:t>
            </w:r>
            <w:r w:rsidR="00645BC9" w:rsidRPr="0052232D">
              <w:rPr>
                <w:bCs/>
                <w:noProof/>
                <w:spacing w:val="-2"/>
                <w:sz w:val="20"/>
                <w:szCs w:val="20"/>
                <w:lang w:eastAsia="en-AU"/>
              </w:rPr>
              <w:t xml:space="preserve">Tourism Research Australia expects domestic </w:t>
            </w:r>
            <w:r w:rsidR="00E8339B" w:rsidRPr="0052232D">
              <w:rPr>
                <w:bCs/>
                <w:noProof/>
                <w:spacing w:val="-2"/>
                <w:sz w:val="20"/>
                <w:szCs w:val="20"/>
                <w:lang w:eastAsia="en-AU"/>
              </w:rPr>
              <w:t xml:space="preserve">visitor </w:t>
            </w:r>
            <w:r w:rsidR="00645BC9" w:rsidRPr="0052232D">
              <w:rPr>
                <w:bCs/>
                <w:noProof/>
                <w:spacing w:val="-2"/>
                <w:sz w:val="20"/>
                <w:szCs w:val="20"/>
                <w:lang w:eastAsia="en-AU"/>
              </w:rPr>
              <w:t>nights</w:t>
            </w:r>
            <w:r w:rsidR="00FE1FFB">
              <w:rPr>
                <w:bCs/>
                <w:noProof/>
                <w:spacing w:val="-2"/>
                <w:sz w:val="20"/>
                <w:szCs w:val="20"/>
                <w:lang w:eastAsia="en-AU"/>
              </w:rPr>
              <w:t xml:space="preserve"> in the Territory</w:t>
            </w:r>
            <w:r w:rsidR="00645BC9" w:rsidRPr="0052232D">
              <w:rPr>
                <w:bCs/>
                <w:noProof/>
                <w:spacing w:val="-2"/>
                <w:sz w:val="20"/>
                <w:szCs w:val="20"/>
                <w:lang w:eastAsia="en-AU"/>
              </w:rPr>
              <w:t xml:space="preserve"> to increase by </w:t>
            </w:r>
            <w:r w:rsidR="00E8339B" w:rsidRPr="0052232D">
              <w:rPr>
                <w:bCs/>
                <w:noProof/>
                <w:spacing w:val="-2"/>
                <w:sz w:val="20"/>
                <w:szCs w:val="20"/>
                <w:lang w:eastAsia="en-AU"/>
              </w:rPr>
              <w:t>3.6</w:t>
            </w:r>
            <w:r w:rsidR="00645BC9" w:rsidRPr="0052232D">
              <w:rPr>
                <w:bCs/>
                <w:noProof/>
                <w:spacing w:val="-2"/>
                <w:sz w:val="20"/>
                <w:szCs w:val="20"/>
                <w:lang w:eastAsia="en-AU"/>
              </w:rPr>
              <w:t>% in 2024 and</w:t>
            </w:r>
            <w:r w:rsidR="007D73ED">
              <w:rPr>
                <w:bCs/>
                <w:noProof/>
                <w:spacing w:val="-2"/>
                <w:sz w:val="20"/>
                <w:szCs w:val="20"/>
                <w:lang w:eastAsia="en-AU"/>
              </w:rPr>
              <w:t xml:space="preserve"> to</w:t>
            </w:r>
            <w:r w:rsidR="00645BC9" w:rsidRPr="0052232D">
              <w:rPr>
                <w:bCs/>
                <w:noProof/>
                <w:spacing w:val="-2"/>
                <w:sz w:val="20"/>
                <w:szCs w:val="20"/>
                <w:lang w:eastAsia="en-AU"/>
              </w:rPr>
              <w:t xml:space="preserve"> </w:t>
            </w:r>
            <w:r w:rsidR="008F0456" w:rsidRPr="0052232D">
              <w:rPr>
                <w:bCs/>
                <w:noProof/>
                <w:spacing w:val="-2"/>
                <w:sz w:val="20"/>
                <w:szCs w:val="20"/>
                <w:lang w:eastAsia="en-AU"/>
              </w:rPr>
              <w:t>recover to</w:t>
            </w:r>
            <w:r w:rsidR="009F13AD" w:rsidRPr="0052232D">
              <w:rPr>
                <w:bCs/>
                <w:noProof/>
                <w:spacing w:val="-2"/>
                <w:sz w:val="20"/>
                <w:szCs w:val="20"/>
                <w:lang w:eastAsia="en-AU"/>
              </w:rPr>
              <w:t xml:space="preserve"> </w:t>
            </w:r>
            <w:r w:rsidR="00624164" w:rsidRPr="0052232D">
              <w:rPr>
                <w:bCs/>
                <w:noProof/>
                <w:spacing w:val="-2"/>
                <w:sz w:val="20"/>
                <w:szCs w:val="20"/>
                <w:lang w:eastAsia="en-AU"/>
              </w:rPr>
              <w:t>pre</w:t>
            </w:r>
            <w:r w:rsidR="00320C2A" w:rsidRPr="0052232D">
              <w:rPr>
                <w:bCs/>
                <w:noProof/>
                <w:spacing w:val="-2"/>
                <w:sz w:val="20"/>
                <w:szCs w:val="20"/>
                <w:lang w:eastAsia="en-AU"/>
              </w:rPr>
              <w:noBreakHyphen/>
            </w:r>
            <w:r w:rsidR="00624164" w:rsidRPr="0052232D">
              <w:rPr>
                <w:bCs/>
                <w:noProof/>
                <w:spacing w:val="-2"/>
                <w:sz w:val="20"/>
                <w:szCs w:val="20"/>
                <w:lang w:eastAsia="en-AU"/>
              </w:rPr>
              <w:t>pandemic level</w:t>
            </w:r>
            <w:r w:rsidR="007D73ED">
              <w:rPr>
                <w:bCs/>
                <w:noProof/>
                <w:spacing w:val="-2"/>
                <w:sz w:val="20"/>
                <w:szCs w:val="20"/>
                <w:lang w:eastAsia="en-AU"/>
              </w:rPr>
              <w:t>s</w:t>
            </w:r>
            <w:r w:rsidR="00645BC9" w:rsidRPr="0052232D">
              <w:rPr>
                <w:bCs/>
                <w:noProof/>
                <w:spacing w:val="-2"/>
                <w:sz w:val="20"/>
                <w:szCs w:val="20"/>
                <w:lang w:eastAsia="en-AU"/>
              </w:rPr>
              <w:t xml:space="preserve"> </w:t>
            </w:r>
            <w:r w:rsidR="008F0456" w:rsidRPr="0052232D">
              <w:rPr>
                <w:bCs/>
                <w:noProof/>
                <w:spacing w:val="-2"/>
                <w:sz w:val="20"/>
                <w:szCs w:val="20"/>
                <w:lang w:eastAsia="en-AU"/>
              </w:rPr>
              <w:t>by</w:t>
            </w:r>
            <w:r w:rsidR="00645BC9" w:rsidRPr="0052232D">
              <w:rPr>
                <w:bCs/>
                <w:noProof/>
                <w:spacing w:val="-2"/>
                <w:sz w:val="20"/>
                <w:szCs w:val="20"/>
                <w:lang w:eastAsia="en-AU"/>
              </w:rPr>
              <w:t xml:space="preserve"> 202</w:t>
            </w:r>
            <w:r w:rsidR="00E8339B" w:rsidRPr="0052232D">
              <w:rPr>
                <w:bCs/>
                <w:noProof/>
                <w:spacing w:val="-2"/>
                <w:sz w:val="20"/>
                <w:szCs w:val="20"/>
                <w:lang w:eastAsia="en-AU"/>
              </w:rPr>
              <w:t>7</w:t>
            </w:r>
            <w:r w:rsidR="00645BC9" w:rsidRPr="0052232D">
              <w:rPr>
                <w:bCs/>
                <w:noProof/>
                <w:spacing w:val="-2"/>
                <w:sz w:val="20"/>
                <w:szCs w:val="20"/>
                <w:lang w:eastAsia="en-AU"/>
              </w:rPr>
              <w:t xml:space="preserve">. However, </w:t>
            </w:r>
            <w:r w:rsidR="0098698B" w:rsidRPr="0052232D">
              <w:rPr>
                <w:bCs/>
                <w:noProof/>
                <w:spacing w:val="-2"/>
                <w:sz w:val="20"/>
                <w:szCs w:val="20"/>
                <w:lang w:eastAsia="en-AU"/>
              </w:rPr>
              <w:t xml:space="preserve">the outlook continues to be challenged by </w:t>
            </w:r>
            <w:r w:rsidR="00645BC9" w:rsidRPr="0052232D">
              <w:rPr>
                <w:bCs/>
                <w:noProof/>
                <w:spacing w:val="-2"/>
                <w:sz w:val="20"/>
                <w:szCs w:val="20"/>
                <w:lang w:eastAsia="en-AU"/>
              </w:rPr>
              <w:t>stiff competit</w:t>
            </w:r>
            <w:r w:rsidR="00F05331">
              <w:rPr>
                <w:bCs/>
                <w:noProof/>
                <w:spacing w:val="-2"/>
                <w:sz w:val="20"/>
                <w:szCs w:val="20"/>
                <w:lang w:eastAsia="en-AU"/>
              </w:rPr>
              <w:t xml:space="preserve">ion from overseas </w:t>
            </w:r>
            <w:r w:rsidR="007D73ED">
              <w:rPr>
                <w:bCs/>
                <w:noProof/>
                <w:spacing w:val="-2"/>
                <w:sz w:val="20"/>
                <w:szCs w:val="20"/>
                <w:lang w:eastAsia="en-AU"/>
              </w:rPr>
              <w:t xml:space="preserve">and domestic </w:t>
            </w:r>
            <w:r w:rsidR="00F05331">
              <w:rPr>
                <w:bCs/>
                <w:noProof/>
                <w:spacing w:val="-2"/>
                <w:sz w:val="20"/>
                <w:szCs w:val="20"/>
                <w:lang w:eastAsia="en-AU"/>
              </w:rPr>
              <w:t xml:space="preserve">destinations, </w:t>
            </w:r>
            <w:r w:rsidR="009B13C6" w:rsidRPr="0052232D">
              <w:rPr>
                <w:bCs/>
                <w:noProof/>
                <w:spacing w:val="-2"/>
                <w:sz w:val="20"/>
                <w:szCs w:val="20"/>
                <w:lang w:eastAsia="en-AU"/>
              </w:rPr>
              <w:t>concerns regardi</w:t>
            </w:r>
            <w:r w:rsidR="00F05331">
              <w:rPr>
                <w:bCs/>
                <w:noProof/>
                <w:spacing w:val="-2"/>
                <w:sz w:val="20"/>
                <w:szCs w:val="20"/>
                <w:lang w:eastAsia="en-AU"/>
              </w:rPr>
              <w:t>ng security and safety in the Territory</w:t>
            </w:r>
            <w:r w:rsidR="009B13C6" w:rsidRPr="0052232D">
              <w:rPr>
                <w:bCs/>
                <w:noProof/>
                <w:spacing w:val="-2"/>
                <w:sz w:val="20"/>
                <w:szCs w:val="20"/>
                <w:lang w:eastAsia="en-AU"/>
              </w:rPr>
              <w:t xml:space="preserve">, </w:t>
            </w:r>
            <w:r w:rsidR="00E8339B" w:rsidRPr="0052232D">
              <w:rPr>
                <w:bCs/>
                <w:noProof/>
                <w:spacing w:val="-2"/>
                <w:sz w:val="20"/>
                <w:szCs w:val="20"/>
                <w:lang w:eastAsia="en-AU"/>
              </w:rPr>
              <w:t>limited flight connections</w:t>
            </w:r>
            <w:r w:rsidR="009B13C6" w:rsidRPr="0052232D">
              <w:rPr>
                <w:bCs/>
                <w:noProof/>
                <w:spacing w:val="-2"/>
                <w:sz w:val="20"/>
                <w:szCs w:val="20"/>
                <w:lang w:eastAsia="en-AU"/>
              </w:rPr>
              <w:t xml:space="preserve"> and high </w:t>
            </w:r>
            <w:r w:rsidR="004F1F8D" w:rsidRPr="0052232D">
              <w:rPr>
                <w:bCs/>
                <w:noProof/>
                <w:spacing w:val="-2"/>
                <w:sz w:val="20"/>
                <w:szCs w:val="20"/>
                <w:lang w:eastAsia="en-AU"/>
              </w:rPr>
              <w:t>airfares</w:t>
            </w:r>
            <w:r w:rsidR="00645BC9" w:rsidRPr="0052232D">
              <w:rPr>
                <w:bCs/>
                <w:noProof/>
                <w:spacing w:val="-2"/>
                <w:sz w:val="20"/>
                <w:szCs w:val="20"/>
                <w:lang w:eastAsia="en-AU"/>
              </w:rPr>
              <w:t>.</w:t>
            </w:r>
            <w:r w:rsidR="00F05331" w:rsidRPr="00F05331">
              <w:rPr>
                <w:noProof/>
                <w:spacing w:val="-2"/>
                <w:sz w:val="20"/>
                <w:szCs w:val="20"/>
                <w:lang w:eastAsia="en-AU"/>
              </w:rPr>
              <w:t xml:space="preserve"> Tourism is a highly competitive market</w:t>
            </w:r>
            <w:r w:rsidR="007D73ED">
              <w:rPr>
                <w:noProof/>
                <w:spacing w:val="-2"/>
                <w:sz w:val="20"/>
                <w:szCs w:val="20"/>
                <w:lang w:eastAsia="en-AU"/>
              </w:rPr>
              <w:t>,</w:t>
            </w:r>
            <w:r w:rsidR="00F05331" w:rsidRPr="00F05331">
              <w:rPr>
                <w:noProof/>
                <w:spacing w:val="-2"/>
                <w:sz w:val="20"/>
                <w:szCs w:val="20"/>
                <w:lang w:eastAsia="en-AU"/>
              </w:rPr>
              <w:t xml:space="preserve"> and</w:t>
            </w:r>
            <w:r w:rsidR="007D73ED">
              <w:rPr>
                <w:noProof/>
                <w:spacing w:val="-2"/>
                <w:sz w:val="20"/>
                <w:szCs w:val="20"/>
                <w:lang w:eastAsia="en-AU"/>
              </w:rPr>
              <w:t xml:space="preserve"> ongoing</w:t>
            </w:r>
            <w:r w:rsidR="00F05331" w:rsidRPr="00F05331">
              <w:rPr>
                <w:noProof/>
                <w:spacing w:val="-2"/>
                <w:sz w:val="20"/>
                <w:szCs w:val="20"/>
                <w:lang w:eastAsia="en-AU"/>
              </w:rPr>
              <w:t xml:space="preserve"> investment in experiences</w:t>
            </w:r>
            <w:r w:rsidR="007D73ED">
              <w:rPr>
                <w:noProof/>
                <w:spacing w:val="-2"/>
                <w:sz w:val="20"/>
                <w:szCs w:val="20"/>
                <w:lang w:eastAsia="en-AU"/>
              </w:rPr>
              <w:t>,</w:t>
            </w:r>
            <w:r w:rsidR="00C80BFC">
              <w:rPr>
                <w:noProof/>
                <w:spacing w:val="-2"/>
                <w:sz w:val="20"/>
                <w:szCs w:val="20"/>
                <w:lang w:eastAsia="en-AU"/>
              </w:rPr>
              <w:t xml:space="preserve"> infrastructure</w:t>
            </w:r>
            <w:r w:rsidR="007D73ED">
              <w:rPr>
                <w:noProof/>
                <w:spacing w:val="-2"/>
                <w:sz w:val="20"/>
                <w:szCs w:val="20"/>
                <w:lang w:eastAsia="en-AU"/>
              </w:rPr>
              <w:t>, transport connections and marketing</w:t>
            </w:r>
            <w:r w:rsidR="00F05331" w:rsidRPr="00F05331">
              <w:rPr>
                <w:noProof/>
                <w:spacing w:val="-2"/>
                <w:sz w:val="20"/>
                <w:szCs w:val="20"/>
                <w:lang w:eastAsia="en-AU"/>
              </w:rPr>
              <w:t xml:space="preserve"> is crucial </w:t>
            </w:r>
            <w:r w:rsidR="007D73ED">
              <w:rPr>
                <w:noProof/>
                <w:spacing w:val="-2"/>
                <w:sz w:val="20"/>
                <w:szCs w:val="20"/>
                <w:lang w:eastAsia="en-AU"/>
              </w:rPr>
              <w:t xml:space="preserve">if the Territory is </w:t>
            </w:r>
            <w:r w:rsidR="00F05331" w:rsidRPr="00F05331">
              <w:rPr>
                <w:noProof/>
                <w:spacing w:val="-2"/>
                <w:sz w:val="20"/>
                <w:szCs w:val="20"/>
                <w:lang w:eastAsia="en-AU"/>
              </w:rPr>
              <w:t xml:space="preserve">to maintain </w:t>
            </w:r>
            <w:r w:rsidR="007D73ED">
              <w:rPr>
                <w:noProof/>
                <w:spacing w:val="-2"/>
                <w:sz w:val="20"/>
                <w:szCs w:val="20"/>
                <w:lang w:eastAsia="en-AU"/>
              </w:rPr>
              <w:t xml:space="preserve">its standing </w:t>
            </w:r>
            <w:r w:rsidR="00F05331" w:rsidRPr="00F05331">
              <w:rPr>
                <w:noProof/>
                <w:spacing w:val="-2"/>
                <w:sz w:val="20"/>
                <w:szCs w:val="20"/>
                <w:lang w:eastAsia="en-AU"/>
              </w:rPr>
              <w:t>as a destination of choice for both domestic and international visitors.</w:t>
            </w:r>
          </w:p>
        </w:tc>
      </w:tr>
      <w:tr w:rsidR="00CA70C0" w:rsidRPr="00482D19" w14:paraId="20904511" w14:textId="77777777" w:rsidTr="00BE1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2C1288D3" w14:textId="4A180E00" w:rsidR="000D4895" w:rsidRDefault="00082E4D" w:rsidP="006F7FF1">
            <w:pPr>
              <w:jc w:val="center"/>
              <w:rPr>
                <w:sz w:val="20"/>
                <w:szCs w:val="20"/>
              </w:rPr>
            </w:pPr>
            <w:r>
              <w:rPr>
                <w:sz w:val="20"/>
                <w:szCs w:val="20"/>
              </w:rPr>
              <w:t>Overnight</w:t>
            </w:r>
            <w:r w:rsidR="006164B5">
              <w:rPr>
                <w:sz w:val="20"/>
                <w:szCs w:val="20"/>
              </w:rPr>
              <w:t xml:space="preserve"> Visitors </w:t>
            </w:r>
            <w:r w:rsidR="00534288">
              <w:rPr>
                <w:sz w:val="20"/>
                <w:szCs w:val="20"/>
              </w:rPr>
              <w:t>– NT</w:t>
            </w:r>
          </w:p>
          <w:p w14:paraId="5E17C584" w14:textId="77777777" w:rsidR="001337CA" w:rsidRPr="00134500" w:rsidRDefault="00D7631C" w:rsidP="00134500">
            <w:pPr>
              <w:jc w:val="center"/>
              <w:rPr>
                <w:sz w:val="16"/>
                <w:szCs w:val="16"/>
              </w:rPr>
            </w:pPr>
            <w:r>
              <w:rPr>
                <w:sz w:val="16"/>
                <w:szCs w:val="16"/>
              </w:rPr>
              <w:t>Components</w:t>
            </w:r>
            <w:r w:rsidR="00AA2D96">
              <w:rPr>
                <w:sz w:val="16"/>
                <w:szCs w:val="16"/>
              </w:rPr>
              <w:t>, moving annual total</w:t>
            </w:r>
            <w:r>
              <w:rPr>
                <w:sz w:val="16"/>
                <w:szCs w:val="16"/>
              </w:rPr>
              <w:t xml:space="preserve"> (‘000)</w:t>
            </w:r>
          </w:p>
          <w:p w14:paraId="51014200" w14:textId="76FA0E8D" w:rsidR="004877A8" w:rsidRPr="00D80414" w:rsidRDefault="00D727BA" w:rsidP="004877A8">
            <w:pPr>
              <w:jc w:val="center"/>
              <w:rPr>
                <w:b w:val="0"/>
                <w:sz w:val="16"/>
                <w:szCs w:val="16"/>
              </w:rPr>
            </w:pPr>
            <w:r>
              <w:rPr>
                <w:noProof/>
                <w:sz w:val="16"/>
                <w:szCs w:val="16"/>
                <w:lang w:eastAsia="en-AU"/>
              </w:rPr>
              <w:drawing>
                <wp:inline distT="0" distB="0" distL="0" distR="0" wp14:anchorId="720D3C4B" wp14:editId="00CEF9DE">
                  <wp:extent cx="2784143" cy="25618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1106" cy="2568229"/>
                          </a:xfrm>
                          <a:prstGeom prst="rect">
                            <a:avLst/>
                          </a:prstGeom>
                          <a:noFill/>
                        </pic:spPr>
                      </pic:pic>
                    </a:graphicData>
                  </a:graphic>
                </wp:inline>
              </w:drawing>
            </w:r>
          </w:p>
        </w:tc>
        <w:tc>
          <w:tcPr>
            <w:tcW w:w="5387" w:type="dxa"/>
            <w:shd w:val="clear" w:color="auto" w:fill="auto"/>
          </w:tcPr>
          <w:p w14:paraId="384DED2A" w14:textId="3362075A" w:rsidR="001337CA" w:rsidRPr="00134500" w:rsidRDefault="00340960" w:rsidP="00DD2EF4">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134500">
              <w:rPr>
                <w:b/>
                <w:sz w:val="20"/>
                <w:szCs w:val="20"/>
              </w:rPr>
              <w:t>Domestic</w:t>
            </w:r>
            <w:r w:rsidR="00DD2EF4">
              <w:rPr>
                <w:b/>
                <w:sz w:val="20"/>
                <w:szCs w:val="20"/>
              </w:rPr>
              <w:t xml:space="preserve"> Visitor</w:t>
            </w:r>
            <w:r w:rsidRPr="00134500">
              <w:rPr>
                <w:b/>
                <w:sz w:val="20"/>
                <w:szCs w:val="20"/>
              </w:rPr>
              <w:t xml:space="preserve"> Nights – NT</w:t>
            </w:r>
            <w:r w:rsidR="00C51F34">
              <w:rPr>
                <w:b/>
                <w:sz w:val="20"/>
                <w:szCs w:val="20"/>
              </w:rPr>
              <w:br/>
            </w:r>
            <w:r w:rsidR="00C51F34" w:rsidRPr="00134500">
              <w:rPr>
                <w:b/>
                <w:sz w:val="16"/>
                <w:szCs w:val="16"/>
              </w:rPr>
              <w:t>Year-on-Year change (%)</w:t>
            </w:r>
            <w:r w:rsidR="00C51F34">
              <w:rPr>
                <w:b/>
                <w:sz w:val="16"/>
                <w:szCs w:val="16"/>
              </w:rPr>
              <w:br/>
            </w:r>
            <w:r w:rsidR="00955D13">
              <w:rPr>
                <w:b/>
                <w:noProof/>
                <w:sz w:val="16"/>
                <w:szCs w:val="16"/>
                <w:lang w:eastAsia="en-AU"/>
              </w:rPr>
              <w:drawing>
                <wp:inline distT="0" distB="0" distL="0" distR="0" wp14:anchorId="17903C64" wp14:editId="600BEAD1">
                  <wp:extent cx="2746800" cy="2530800"/>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6800" cy="2530800"/>
                          </a:xfrm>
                          <a:prstGeom prst="rect">
                            <a:avLst/>
                          </a:prstGeom>
                          <a:noFill/>
                        </pic:spPr>
                      </pic:pic>
                    </a:graphicData>
                  </a:graphic>
                </wp:inline>
              </w:drawing>
            </w:r>
          </w:p>
        </w:tc>
      </w:tr>
    </w:tbl>
    <w:p w14:paraId="59B66ABA" w14:textId="04D737E8" w:rsidR="009B0DC9" w:rsidRPr="00E139D0" w:rsidRDefault="00967EFF" w:rsidP="00BC265F">
      <w:pPr>
        <w:spacing w:after="120"/>
        <w:jc w:val="both"/>
        <w:rPr>
          <w:i/>
          <w:iCs/>
          <w:sz w:val="10"/>
          <w:szCs w:val="10"/>
        </w:rPr>
      </w:pPr>
      <w:r>
        <w:rPr>
          <w:i/>
          <w:iCs/>
          <w:color w:val="808080" w:themeColor="background1" w:themeShade="80"/>
          <w:sz w:val="10"/>
          <w:szCs w:val="10"/>
        </w:rPr>
        <w:br/>
      </w:r>
      <w:r w:rsidR="00B8103F" w:rsidRPr="00E139D0">
        <w:rPr>
          <w:i/>
          <w:iCs/>
          <w:color w:val="808080" w:themeColor="background1" w:themeShade="80"/>
          <w:sz w:val="10"/>
          <w:szCs w:val="10"/>
        </w:rPr>
        <w:t>The Northern Territory of Australia exercised due care and skill to ensure that at the time of publication the information contained in this publication is true and correct. However, it is not intended to be relied on as professional advice or used for commercial purposes. The Territory gives no warranty or assurances as to the accuracy of the information contained in the publication and to the maximum extent permitted by law accepts no direct or indirect liability for reliance on its content</w:t>
      </w:r>
      <w:r w:rsidR="00B8103F" w:rsidRPr="00E139D0">
        <w:rPr>
          <w:i/>
          <w:iCs/>
          <w:sz w:val="10"/>
          <w:szCs w:val="10"/>
        </w:rPr>
        <w:t>.</w:t>
      </w:r>
    </w:p>
    <w:sectPr w:rsidR="009B0DC9" w:rsidRPr="00E139D0" w:rsidSect="00E128F4">
      <w:headerReference w:type="default" r:id="rId13"/>
      <w:footerReference w:type="default" r:id="rId14"/>
      <w:headerReference w:type="first" r:id="rId15"/>
      <w:footerReference w:type="first" r:id="rId16"/>
      <w:pgSz w:w="11906" w:h="16838" w:code="9"/>
      <w:pgMar w:top="425" w:right="794" w:bottom="142" w:left="794" w:header="680"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BFF50" w14:textId="77777777" w:rsidR="00B84E66" w:rsidRDefault="00B84E66" w:rsidP="007332FF">
      <w:r>
        <w:separator/>
      </w:r>
    </w:p>
  </w:endnote>
  <w:endnote w:type="continuationSeparator" w:id="0">
    <w:p w14:paraId="214EEA57" w14:textId="77777777" w:rsidR="00B84E66" w:rsidRDefault="00B84E6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7DCC0" w14:textId="77777777" w:rsidR="00F910E0" w:rsidRPr="00DD607E" w:rsidRDefault="00F910E0" w:rsidP="00450636">
    <w:pPr>
      <w:spacing w:after="0"/>
      <w:rPr>
        <w:sz w:val="4"/>
        <w:szCs w:val="4"/>
      </w:rPr>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F910E0" w:rsidRPr="00132658" w14:paraId="45AF902A" w14:textId="77777777" w:rsidTr="00DD607E">
      <w:trPr>
        <w:cantSplit/>
        <w:trHeight w:hRule="exact" w:val="850"/>
      </w:trPr>
      <w:tc>
        <w:tcPr>
          <w:tcW w:w="10318" w:type="dxa"/>
          <w:vAlign w:val="center"/>
        </w:tcPr>
        <w:p w14:paraId="7D3C6A3E" w14:textId="1BD5CB03" w:rsidR="00F910E0" w:rsidRDefault="00F910E0" w:rsidP="00DD607E">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Industry, Tourism and Trade</w:t>
              </w:r>
            </w:sdtContent>
          </w:sdt>
        </w:p>
        <w:p w14:paraId="11C4CB15" w14:textId="6E6A1ECE" w:rsidR="00F910E0" w:rsidRPr="00AC4488" w:rsidRDefault="003238BF" w:rsidP="00AD3D5A">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4-07-01T00:00:00Z">
                <w:dateFormat w:val="d MMMM yyyy"/>
                <w:lid w:val="en-AU"/>
                <w:storeMappedDataAs w:val="dateTime"/>
                <w:calendar w:val="gregorian"/>
              </w:date>
            </w:sdtPr>
            <w:sdtEndPr>
              <w:rPr>
                <w:rStyle w:val="PageNumber"/>
              </w:rPr>
            </w:sdtEndPr>
            <w:sdtContent>
              <w:r w:rsidR="002467CE">
                <w:rPr>
                  <w:rStyle w:val="PageNumber"/>
                </w:rPr>
                <w:t>1 July 2024</w:t>
              </w:r>
            </w:sdtContent>
          </w:sdt>
          <w:r w:rsidR="00F910E0" w:rsidRPr="00CE6614">
            <w:rPr>
              <w:rStyle w:val="PageNumber"/>
            </w:rPr>
            <w:t xml:space="preserve"> | </w:t>
          </w:r>
          <w:r w:rsidR="00F910E0" w:rsidRPr="00AC4488">
            <w:rPr>
              <w:rStyle w:val="PageNumber"/>
            </w:rPr>
            <w:t xml:space="preserve">Page </w:t>
          </w:r>
          <w:r w:rsidR="00F910E0" w:rsidRPr="00AC4488">
            <w:rPr>
              <w:rStyle w:val="PageNumber"/>
            </w:rPr>
            <w:fldChar w:fldCharType="begin"/>
          </w:r>
          <w:r w:rsidR="00F910E0" w:rsidRPr="00AC4488">
            <w:rPr>
              <w:rStyle w:val="PageNumber"/>
            </w:rPr>
            <w:instrText xml:space="preserve"> PAGE  \* Arabic  \* MERGEFORMAT </w:instrText>
          </w:r>
          <w:r w:rsidR="00F910E0" w:rsidRPr="00AC4488">
            <w:rPr>
              <w:rStyle w:val="PageNumber"/>
            </w:rPr>
            <w:fldChar w:fldCharType="separate"/>
          </w:r>
          <w:r>
            <w:rPr>
              <w:rStyle w:val="PageNumber"/>
              <w:noProof/>
            </w:rPr>
            <w:t>2</w:t>
          </w:r>
          <w:r w:rsidR="00F910E0" w:rsidRPr="00AC4488">
            <w:rPr>
              <w:rStyle w:val="PageNumber"/>
            </w:rPr>
            <w:fldChar w:fldCharType="end"/>
          </w:r>
          <w:r w:rsidR="00F910E0" w:rsidRPr="00AC4488">
            <w:rPr>
              <w:rStyle w:val="PageNumber"/>
            </w:rPr>
            <w:t xml:space="preserve"> of </w:t>
          </w:r>
          <w:r w:rsidR="00F910E0" w:rsidRPr="00AC4488">
            <w:rPr>
              <w:rStyle w:val="PageNumber"/>
            </w:rPr>
            <w:fldChar w:fldCharType="begin"/>
          </w:r>
          <w:r w:rsidR="00F910E0" w:rsidRPr="00AC4488">
            <w:rPr>
              <w:rStyle w:val="PageNumber"/>
            </w:rPr>
            <w:instrText xml:space="preserve"> NUMPAGES  \* Arabic  \* MERGEFORMAT </w:instrText>
          </w:r>
          <w:r w:rsidR="00F910E0" w:rsidRPr="00AC4488">
            <w:rPr>
              <w:rStyle w:val="PageNumber"/>
            </w:rPr>
            <w:fldChar w:fldCharType="separate"/>
          </w:r>
          <w:r>
            <w:rPr>
              <w:rStyle w:val="PageNumber"/>
              <w:noProof/>
            </w:rPr>
            <w:t>2</w:t>
          </w:r>
          <w:r w:rsidR="00F910E0" w:rsidRPr="00AC4488">
            <w:rPr>
              <w:rStyle w:val="PageNumber"/>
            </w:rPr>
            <w:fldChar w:fldCharType="end"/>
          </w:r>
        </w:p>
      </w:tc>
    </w:tr>
  </w:tbl>
  <w:p w14:paraId="7B3A6330" w14:textId="77777777" w:rsidR="00F910E0" w:rsidRPr="00B11C67" w:rsidRDefault="00F910E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4FD0" w14:textId="77777777" w:rsidR="00F910E0" w:rsidRPr="00DD607E" w:rsidRDefault="00F910E0" w:rsidP="0071700C">
    <w:pPr>
      <w:spacing w:after="0"/>
      <w:rPr>
        <w:sz w:val="4"/>
        <w:szCs w:val="4"/>
      </w:rPr>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F910E0" w:rsidRPr="00132658" w14:paraId="39A6B79F" w14:textId="77777777" w:rsidTr="00DD607E">
      <w:trPr>
        <w:cantSplit/>
        <w:trHeight w:hRule="exact" w:val="1134"/>
      </w:trPr>
      <w:tc>
        <w:tcPr>
          <w:tcW w:w="7767" w:type="dxa"/>
          <w:vAlign w:val="center"/>
        </w:tcPr>
        <w:p w14:paraId="3C4A92B7" w14:textId="4FCA18B0" w:rsidR="00F910E0" w:rsidRDefault="00F910E0" w:rsidP="00DD607E">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Industry, Tourism and Trade</w:t>
              </w:r>
            </w:sdtContent>
          </w:sdt>
        </w:p>
        <w:p w14:paraId="13EB3A25" w14:textId="2F1E6FE6" w:rsidR="00F910E0" w:rsidRPr="00CE30CF" w:rsidRDefault="003238BF" w:rsidP="00FB3BAB">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7-01T00:00:00Z">
                <w:dateFormat w:val="d MMMM yyyy"/>
                <w:lid w:val="en-AU"/>
                <w:storeMappedDataAs w:val="dateTime"/>
                <w:calendar w:val="gregorian"/>
              </w:date>
            </w:sdtPr>
            <w:sdtEndPr>
              <w:rPr>
                <w:rStyle w:val="PageNumber"/>
              </w:rPr>
            </w:sdtEndPr>
            <w:sdtContent>
              <w:r w:rsidR="002467CE">
                <w:rPr>
                  <w:rStyle w:val="PageNumber"/>
                </w:rPr>
                <w:t>1 July 2024</w:t>
              </w:r>
            </w:sdtContent>
          </w:sdt>
          <w:r w:rsidR="00F910E0" w:rsidRPr="00CE6614">
            <w:rPr>
              <w:rStyle w:val="PageNumber"/>
            </w:rPr>
            <w:t xml:space="preserve"> </w:t>
          </w:r>
          <w:r w:rsidR="00F910E0">
            <w:rPr>
              <w:rStyle w:val="PageNumber"/>
            </w:rPr>
            <w:t xml:space="preserve">| </w:t>
          </w:r>
          <w:r w:rsidR="00F910E0" w:rsidRPr="00AC4488">
            <w:rPr>
              <w:rStyle w:val="PageNumber"/>
            </w:rPr>
            <w:t xml:space="preserve">Page </w:t>
          </w:r>
          <w:r w:rsidR="00F910E0" w:rsidRPr="00AC4488">
            <w:rPr>
              <w:rStyle w:val="PageNumber"/>
            </w:rPr>
            <w:fldChar w:fldCharType="begin"/>
          </w:r>
          <w:r w:rsidR="00F910E0" w:rsidRPr="00AC4488">
            <w:rPr>
              <w:rStyle w:val="PageNumber"/>
            </w:rPr>
            <w:instrText xml:space="preserve"> PAGE  \* Arabic  \* MERGEFORMAT </w:instrText>
          </w:r>
          <w:r w:rsidR="00F910E0" w:rsidRPr="00AC4488">
            <w:rPr>
              <w:rStyle w:val="PageNumber"/>
            </w:rPr>
            <w:fldChar w:fldCharType="separate"/>
          </w:r>
          <w:r>
            <w:rPr>
              <w:rStyle w:val="PageNumber"/>
              <w:noProof/>
            </w:rPr>
            <w:t>1</w:t>
          </w:r>
          <w:r w:rsidR="00F910E0" w:rsidRPr="00AC4488">
            <w:rPr>
              <w:rStyle w:val="PageNumber"/>
            </w:rPr>
            <w:fldChar w:fldCharType="end"/>
          </w:r>
          <w:r w:rsidR="00F910E0" w:rsidRPr="00AC4488">
            <w:rPr>
              <w:rStyle w:val="PageNumber"/>
            </w:rPr>
            <w:t xml:space="preserve"> of </w:t>
          </w:r>
          <w:r w:rsidR="00F910E0" w:rsidRPr="00AC4488">
            <w:rPr>
              <w:rStyle w:val="PageNumber"/>
            </w:rPr>
            <w:fldChar w:fldCharType="begin"/>
          </w:r>
          <w:r w:rsidR="00F910E0" w:rsidRPr="00AC4488">
            <w:rPr>
              <w:rStyle w:val="PageNumber"/>
            </w:rPr>
            <w:instrText xml:space="preserve"> NUMPAGES  \* Arabic  \* MERGEFORMAT </w:instrText>
          </w:r>
          <w:r w:rsidR="00F910E0" w:rsidRPr="00AC4488">
            <w:rPr>
              <w:rStyle w:val="PageNumber"/>
            </w:rPr>
            <w:fldChar w:fldCharType="separate"/>
          </w:r>
          <w:r>
            <w:rPr>
              <w:rStyle w:val="PageNumber"/>
              <w:noProof/>
            </w:rPr>
            <w:t>2</w:t>
          </w:r>
          <w:r w:rsidR="00F910E0" w:rsidRPr="00AC4488">
            <w:rPr>
              <w:rStyle w:val="PageNumber"/>
            </w:rPr>
            <w:fldChar w:fldCharType="end"/>
          </w:r>
        </w:p>
      </w:tc>
      <w:tc>
        <w:tcPr>
          <w:tcW w:w="2551" w:type="dxa"/>
          <w:vAlign w:val="bottom"/>
        </w:tcPr>
        <w:p w14:paraId="422251BE" w14:textId="77777777" w:rsidR="00F910E0" w:rsidRPr="001E14EB" w:rsidRDefault="00F910E0" w:rsidP="0071700C">
          <w:pPr>
            <w:spacing w:after="0"/>
            <w:jc w:val="right"/>
          </w:pPr>
          <w:r>
            <w:rPr>
              <w:noProof/>
              <w:lang w:eastAsia="en-AU"/>
            </w:rPr>
            <w:drawing>
              <wp:anchor distT="0" distB="0" distL="114300" distR="114300" simplePos="0" relativeHeight="251658240" behindDoc="0" locked="0" layoutInCell="1" allowOverlap="1" wp14:anchorId="11AC528A" wp14:editId="1AE720E5">
                <wp:simplePos x="0" y="0"/>
                <wp:positionH relativeFrom="column">
                  <wp:posOffset>2540</wp:posOffset>
                </wp:positionH>
                <wp:positionV relativeFrom="paragraph">
                  <wp:posOffset>-518160</wp:posOffset>
                </wp:positionV>
                <wp:extent cx="1572260" cy="561340"/>
                <wp:effectExtent l="0" t="0" r="8890" b="0"/>
                <wp:wrapNone/>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26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C24">
            <w:rPr>
              <w:rStyle w:val="PageNumber"/>
              <w:noProof/>
              <w:lang w:eastAsia="en-AU"/>
            </w:rPr>
            <w:t xml:space="preserve"> </w:t>
          </w:r>
        </w:p>
      </w:tc>
    </w:tr>
  </w:tbl>
  <w:p w14:paraId="4BDF212F" w14:textId="77777777" w:rsidR="00F910E0" w:rsidRPr="00661BE1" w:rsidRDefault="00F910E0"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9BCCF" w14:textId="77777777" w:rsidR="00B84E66" w:rsidRDefault="00B84E66" w:rsidP="007332FF">
      <w:r>
        <w:separator/>
      </w:r>
    </w:p>
  </w:footnote>
  <w:footnote w:type="continuationSeparator" w:id="0">
    <w:p w14:paraId="7E58486A" w14:textId="77777777" w:rsidR="00B84E66" w:rsidRDefault="00B84E6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D00F0" w14:textId="77777777" w:rsidR="00F910E0" w:rsidRPr="00162207" w:rsidRDefault="003238BF"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F910E0">
          <w:t>State of the Economy – March Q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spacing w:val="-10"/>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261816B6" w14:textId="77777777" w:rsidR="00F910E0" w:rsidRDefault="00F910E0" w:rsidP="0008691E">
        <w:pPr>
          <w:pStyle w:val="Title"/>
          <w:spacing w:after="120"/>
        </w:pPr>
        <w:r w:rsidRPr="00F96702">
          <w:rPr>
            <w:rStyle w:val="TitleChar"/>
            <w:spacing w:val="-10"/>
            <w:sz w:val="56"/>
            <w:szCs w:val="56"/>
          </w:rPr>
          <w:t xml:space="preserve">State of the Economy – </w:t>
        </w:r>
        <w:r>
          <w:rPr>
            <w:rStyle w:val="TitleChar"/>
            <w:spacing w:val="-10"/>
            <w:sz w:val="56"/>
            <w:szCs w:val="56"/>
          </w:rPr>
          <w:t>March Q 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1"/>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1"/>
  </w:num>
  <w:num w:numId="12">
    <w:abstractNumId w:val="17"/>
  </w:num>
  <w:num w:numId="13">
    <w:abstractNumId w:val="1"/>
  </w:num>
  <w:num w:numId="14">
    <w:abstractNumId w:val="59"/>
  </w:num>
  <w:num w:numId="15">
    <w:abstractNumId w:val="26"/>
  </w:num>
  <w:num w:numId="16">
    <w:abstractNumId w:val="60"/>
  </w:num>
  <w:num w:numId="17">
    <w:abstractNumId w:val="69"/>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0"/>
  </w:num>
  <w:num w:numId="28">
    <w:abstractNumId w:val="35"/>
  </w:num>
  <w:num w:numId="29">
    <w:abstractNumId w:val="28"/>
  </w:num>
  <w:num w:numId="30">
    <w:abstractNumId w:val="0"/>
  </w:num>
  <w:num w:numId="31">
    <w:abstractNumId w:val="39"/>
  </w:num>
  <w:num w:numId="32">
    <w:abstractNumId w:val="9"/>
  </w:num>
  <w:num w:numId="33">
    <w:abstractNumId w:val="62"/>
  </w:num>
  <w:num w:numId="34">
    <w:abstractNumId w:val="31"/>
  </w:num>
  <w:num w:numId="35">
    <w:abstractNumId w:val="47"/>
  </w:num>
  <w:num w:numId="36">
    <w:abstractNumId w:val="63"/>
  </w:num>
  <w:num w:numId="37">
    <w:abstractNumId w:val="65"/>
  </w:num>
  <w:num w:numId="38">
    <w:abstractNumId w:val="14"/>
  </w:num>
  <w:num w:numId="39">
    <w:abstractNumId w:val="25"/>
  </w:num>
  <w:num w:numId="40">
    <w:abstractNumId w:val="66"/>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9C"/>
    <w:rsid w:val="00000AF0"/>
    <w:rsid w:val="00000AFA"/>
    <w:rsid w:val="00001441"/>
    <w:rsid w:val="00001C92"/>
    <w:rsid w:val="00001D51"/>
    <w:rsid w:val="00001DDF"/>
    <w:rsid w:val="000021F7"/>
    <w:rsid w:val="0000322D"/>
    <w:rsid w:val="000037A6"/>
    <w:rsid w:val="00004F8E"/>
    <w:rsid w:val="0000586B"/>
    <w:rsid w:val="00005EE4"/>
    <w:rsid w:val="00007670"/>
    <w:rsid w:val="000077FE"/>
    <w:rsid w:val="000104F5"/>
    <w:rsid w:val="00010665"/>
    <w:rsid w:val="000106AC"/>
    <w:rsid w:val="00011E6B"/>
    <w:rsid w:val="0001370B"/>
    <w:rsid w:val="0001581A"/>
    <w:rsid w:val="00016EB5"/>
    <w:rsid w:val="00017A14"/>
    <w:rsid w:val="00017F79"/>
    <w:rsid w:val="000204DB"/>
    <w:rsid w:val="0002393A"/>
    <w:rsid w:val="0002438A"/>
    <w:rsid w:val="000246C7"/>
    <w:rsid w:val="00024AFC"/>
    <w:rsid w:val="000252E2"/>
    <w:rsid w:val="000258F8"/>
    <w:rsid w:val="0002779D"/>
    <w:rsid w:val="000278C6"/>
    <w:rsid w:val="00027DB8"/>
    <w:rsid w:val="00031A96"/>
    <w:rsid w:val="00032AFD"/>
    <w:rsid w:val="00032B0B"/>
    <w:rsid w:val="0003465A"/>
    <w:rsid w:val="00034E2A"/>
    <w:rsid w:val="000350EE"/>
    <w:rsid w:val="0003699C"/>
    <w:rsid w:val="0003746F"/>
    <w:rsid w:val="00040BF3"/>
    <w:rsid w:val="00040D2C"/>
    <w:rsid w:val="0004211C"/>
    <w:rsid w:val="00042768"/>
    <w:rsid w:val="00042E05"/>
    <w:rsid w:val="0004508D"/>
    <w:rsid w:val="00046C59"/>
    <w:rsid w:val="000477A2"/>
    <w:rsid w:val="00050164"/>
    <w:rsid w:val="00050262"/>
    <w:rsid w:val="00050FCC"/>
    <w:rsid w:val="00051362"/>
    <w:rsid w:val="00051BFD"/>
    <w:rsid w:val="00051F45"/>
    <w:rsid w:val="00052953"/>
    <w:rsid w:val="00052B8F"/>
    <w:rsid w:val="00053312"/>
    <w:rsid w:val="00053336"/>
    <w:rsid w:val="0005341A"/>
    <w:rsid w:val="0005400B"/>
    <w:rsid w:val="0005591A"/>
    <w:rsid w:val="00055CBC"/>
    <w:rsid w:val="00056DEF"/>
    <w:rsid w:val="00056EDC"/>
    <w:rsid w:val="000576D2"/>
    <w:rsid w:val="00060C85"/>
    <w:rsid w:val="00060EDB"/>
    <w:rsid w:val="0006258E"/>
    <w:rsid w:val="00062862"/>
    <w:rsid w:val="00062C7D"/>
    <w:rsid w:val="000641B1"/>
    <w:rsid w:val="00064D54"/>
    <w:rsid w:val="00065D13"/>
    <w:rsid w:val="000661F5"/>
    <w:rsid w:val="0006635A"/>
    <w:rsid w:val="000669A1"/>
    <w:rsid w:val="00066B95"/>
    <w:rsid w:val="00067C3D"/>
    <w:rsid w:val="00070659"/>
    <w:rsid w:val="00070FC2"/>
    <w:rsid w:val="000720BE"/>
    <w:rsid w:val="0007259C"/>
    <w:rsid w:val="000727F2"/>
    <w:rsid w:val="00073494"/>
    <w:rsid w:val="0007388D"/>
    <w:rsid w:val="00073DF0"/>
    <w:rsid w:val="00075BE8"/>
    <w:rsid w:val="00076009"/>
    <w:rsid w:val="0007619B"/>
    <w:rsid w:val="00076273"/>
    <w:rsid w:val="00076469"/>
    <w:rsid w:val="0007719F"/>
    <w:rsid w:val="000775CB"/>
    <w:rsid w:val="00077F4E"/>
    <w:rsid w:val="000801B3"/>
    <w:rsid w:val="00080202"/>
    <w:rsid w:val="000809D1"/>
    <w:rsid w:val="00080DCD"/>
    <w:rsid w:val="00080E22"/>
    <w:rsid w:val="00081247"/>
    <w:rsid w:val="00082573"/>
    <w:rsid w:val="00082E4D"/>
    <w:rsid w:val="000840A3"/>
    <w:rsid w:val="00085062"/>
    <w:rsid w:val="00085B4D"/>
    <w:rsid w:val="0008691E"/>
    <w:rsid w:val="00086A5F"/>
    <w:rsid w:val="000872EF"/>
    <w:rsid w:val="0008798A"/>
    <w:rsid w:val="00090115"/>
    <w:rsid w:val="000910EA"/>
    <w:rsid w:val="000911EF"/>
    <w:rsid w:val="000926D4"/>
    <w:rsid w:val="00092A64"/>
    <w:rsid w:val="0009430C"/>
    <w:rsid w:val="00094A8D"/>
    <w:rsid w:val="000953E0"/>
    <w:rsid w:val="000962C5"/>
    <w:rsid w:val="0009738D"/>
    <w:rsid w:val="00097865"/>
    <w:rsid w:val="00097F7B"/>
    <w:rsid w:val="000A1234"/>
    <w:rsid w:val="000A24B2"/>
    <w:rsid w:val="000A4317"/>
    <w:rsid w:val="000A439F"/>
    <w:rsid w:val="000A4767"/>
    <w:rsid w:val="000A5528"/>
    <w:rsid w:val="000A559C"/>
    <w:rsid w:val="000A57C7"/>
    <w:rsid w:val="000A6DA4"/>
    <w:rsid w:val="000A6EF8"/>
    <w:rsid w:val="000A6FAA"/>
    <w:rsid w:val="000A7CB6"/>
    <w:rsid w:val="000B05BE"/>
    <w:rsid w:val="000B0B71"/>
    <w:rsid w:val="000B0C9D"/>
    <w:rsid w:val="000B0E30"/>
    <w:rsid w:val="000B2555"/>
    <w:rsid w:val="000B2CA1"/>
    <w:rsid w:val="000B2FCC"/>
    <w:rsid w:val="000B464D"/>
    <w:rsid w:val="000B61D7"/>
    <w:rsid w:val="000B7AE2"/>
    <w:rsid w:val="000B7B69"/>
    <w:rsid w:val="000C1538"/>
    <w:rsid w:val="000C1A5B"/>
    <w:rsid w:val="000C2812"/>
    <w:rsid w:val="000C2D0A"/>
    <w:rsid w:val="000C344D"/>
    <w:rsid w:val="000C657C"/>
    <w:rsid w:val="000D04AF"/>
    <w:rsid w:val="000D0C98"/>
    <w:rsid w:val="000D1F29"/>
    <w:rsid w:val="000D43EA"/>
    <w:rsid w:val="000D4503"/>
    <w:rsid w:val="000D4895"/>
    <w:rsid w:val="000D4C48"/>
    <w:rsid w:val="000D5B97"/>
    <w:rsid w:val="000D633D"/>
    <w:rsid w:val="000D63B5"/>
    <w:rsid w:val="000E2753"/>
    <w:rsid w:val="000E33C4"/>
    <w:rsid w:val="000E342B"/>
    <w:rsid w:val="000E3847"/>
    <w:rsid w:val="000E3ED2"/>
    <w:rsid w:val="000E49D5"/>
    <w:rsid w:val="000E4B7D"/>
    <w:rsid w:val="000E4F4B"/>
    <w:rsid w:val="000E599A"/>
    <w:rsid w:val="000E5DD2"/>
    <w:rsid w:val="000E60AF"/>
    <w:rsid w:val="000E73F9"/>
    <w:rsid w:val="000F00A7"/>
    <w:rsid w:val="000F0287"/>
    <w:rsid w:val="000F2958"/>
    <w:rsid w:val="000F3850"/>
    <w:rsid w:val="000F41BE"/>
    <w:rsid w:val="000F4762"/>
    <w:rsid w:val="000F4F08"/>
    <w:rsid w:val="000F604F"/>
    <w:rsid w:val="000F62A7"/>
    <w:rsid w:val="000F6655"/>
    <w:rsid w:val="000F6F78"/>
    <w:rsid w:val="000F7863"/>
    <w:rsid w:val="0010052D"/>
    <w:rsid w:val="0010179F"/>
    <w:rsid w:val="00101BA0"/>
    <w:rsid w:val="0010243F"/>
    <w:rsid w:val="00102EC4"/>
    <w:rsid w:val="001034F8"/>
    <w:rsid w:val="00104E7F"/>
    <w:rsid w:val="001070D5"/>
    <w:rsid w:val="001073E0"/>
    <w:rsid w:val="00107A8F"/>
    <w:rsid w:val="00110B0D"/>
    <w:rsid w:val="00111FD1"/>
    <w:rsid w:val="001124F2"/>
    <w:rsid w:val="001137EC"/>
    <w:rsid w:val="00115006"/>
    <w:rsid w:val="001152F5"/>
    <w:rsid w:val="001161FF"/>
    <w:rsid w:val="0011630E"/>
    <w:rsid w:val="00117322"/>
    <w:rsid w:val="00117743"/>
    <w:rsid w:val="00117F5B"/>
    <w:rsid w:val="0012023D"/>
    <w:rsid w:val="0012025E"/>
    <w:rsid w:val="00120E95"/>
    <w:rsid w:val="00121EF2"/>
    <w:rsid w:val="0012314C"/>
    <w:rsid w:val="00123BE1"/>
    <w:rsid w:val="00123C25"/>
    <w:rsid w:val="00124846"/>
    <w:rsid w:val="00126613"/>
    <w:rsid w:val="00126AD3"/>
    <w:rsid w:val="00126CE9"/>
    <w:rsid w:val="00127262"/>
    <w:rsid w:val="00127EDC"/>
    <w:rsid w:val="001319FB"/>
    <w:rsid w:val="00131DE3"/>
    <w:rsid w:val="00132658"/>
    <w:rsid w:val="001330EE"/>
    <w:rsid w:val="001337CA"/>
    <w:rsid w:val="00134500"/>
    <w:rsid w:val="001356E5"/>
    <w:rsid w:val="001367C4"/>
    <w:rsid w:val="00137127"/>
    <w:rsid w:val="001400A8"/>
    <w:rsid w:val="00140DFA"/>
    <w:rsid w:val="00141ABA"/>
    <w:rsid w:val="00141DA4"/>
    <w:rsid w:val="00143DC6"/>
    <w:rsid w:val="0014473F"/>
    <w:rsid w:val="00144FB9"/>
    <w:rsid w:val="00145247"/>
    <w:rsid w:val="00145293"/>
    <w:rsid w:val="001453CC"/>
    <w:rsid w:val="00145AB1"/>
    <w:rsid w:val="00145ABD"/>
    <w:rsid w:val="0014698A"/>
    <w:rsid w:val="00146F12"/>
    <w:rsid w:val="0014759F"/>
    <w:rsid w:val="00150307"/>
    <w:rsid w:val="0015042E"/>
    <w:rsid w:val="00150DC0"/>
    <w:rsid w:val="0015394D"/>
    <w:rsid w:val="001543E9"/>
    <w:rsid w:val="00155FB0"/>
    <w:rsid w:val="00156BE0"/>
    <w:rsid w:val="00156CD4"/>
    <w:rsid w:val="00157B87"/>
    <w:rsid w:val="0016153B"/>
    <w:rsid w:val="00162207"/>
    <w:rsid w:val="00162373"/>
    <w:rsid w:val="001635AE"/>
    <w:rsid w:val="00164A3E"/>
    <w:rsid w:val="00164AB3"/>
    <w:rsid w:val="00165169"/>
    <w:rsid w:val="001659F6"/>
    <w:rsid w:val="00166FF6"/>
    <w:rsid w:val="001702CC"/>
    <w:rsid w:val="00170846"/>
    <w:rsid w:val="00170A6F"/>
    <w:rsid w:val="00170E24"/>
    <w:rsid w:val="001713EA"/>
    <w:rsid w:val="001717BC"/>
    <w:rsid w:val="00172663"/>
    <w:rsid w:val="00173D4E"/>
    <w:rsid w:val="001747E3"/>
    <w:rsid w:val="00176123"/>
    <w:rsid w:val="0017748E"/>
    <w:rsid w:val="00180338"/>
    <w:rsid w:val="0018100E"/>
    <w:rsid w:val="00181620"/>
    <w:rsid w:val="001823F3"/>
    <w:rsid w:val="00182F97"/>
    <w:rsid w:val="001840E1"/>
    <w:rsid w:val="00184C51"/>
    <w:rsid w:val="00186D0A"/>
    <w:rsid w:val="00186E76"/>
    <w:rsid w:val="00187130"/>
    <w:rsid w:val="00187637"/>
    <w:rsid w:val="00190682"/>
    <w:rsid w:val="001922D3"/>
    <w:rsid w:val="001944A5"/>
    <w:rsid w:val="00194639"/>
    <w:rsid w:val="001948FC"/>
    <w:rsid w:val="00194B21"/>
    <w:rsid w:val="001957AD"/>
    <w:rsid w:val="00195B89"/>
    <w:rsid w:val="00195B9C"/>
    <w:rsid w:val="00195E4A"/>
    <w:rsid w:val="00196053"/>
    <w:rsid w:val="00196F8E"/>
    <w:rsid w:val="00197221"/>
    <w:rsid w:val="001A2B7F"/>
    <w:rsid w:val="001A3807"/>
    <w:rsid w:val="001A39F6"/>
    <w:rsid w:val="001A3AFD"/>
    <w:rsid w:val="001A496C"/>
    <w:rsid w:val="001A51C2"/>
    <w:rsid w:val="001A576A"/>
    <w:rsid w:val="001A5CF0"/>
    <w:rsid w:val="001A7144"/>
    <w:rsid w:val="001B1434"/>
    <w:rsid w:val="001B1755"/>
    <w:rsid w:val="001B2252"/>
    <w:rsid w:val="001B25F5"/>
    <w:rsid w:val="001B28DA"/>
    <w:rsid w:val="001B2B6C"/>
    <w:rsid w:val="001B4A00"/>
    <w:rsid w:val="001B4B9F"/>
    <w:rsid w:val="001B6ACF"/>
    <w:rsid w:val="001C0CA4"/>
    <w:rsid w:val="001C31C6"/>
    <w:rsid w:val="001C3AD0"/>
    <w:rsid w:val="001C416F"/>
    <w:rsid w:val="001C52FA"/>
    <w:rsid w:val="001C5C22"/>
    <w:rsid w:val="001C62BD"/>
    <w:rsid w:val="001C7D27"/>
    <w:rsid w:val="001D01C4"/>
    <w:rsid w:val="001D13F9"/>
    <w:rsid w:val="001D1D4F"/>
    <w:rsid w:val="001D2FF7"/>
    <w:rsid w:val="001D48D9"/>
    <w:rsid w:val="001D4F99"/>
    <w:rsid w:val="001D52B0"/>
    <w:rsid w:val="001D582E"/>
    <w:rsid w:val="001D5A18"/>
    <w:rsid w:val="001D5FAC"/>
    <w:rsid w:val="001D6F22"/>
    <w:rsid w:val="001D7AD9"/>
    <w:rsid w:val="001D7BC6"/>
    <w:rsid w:val="001D7CA4"/>
    <w:rsid w:val="001E0579"/>
    <w:rsid w:val="001E057F"/>
    <w:rsid w:val="001E137A"/>
    <w:rsid w:val="001E14B0"/>
    <w:rsid w:val="001E14EB"/>
    <w:rsid w:val="001E2192"/>
    <w:rsid w:val="001E30CE"/>
    <w:rsid w:val="001E48F1"/>
    <w:rsid w:val="001E50A2"/>
    <w:rsid w:val="001E6588"/>
    <w:rsid w:val="001E6821"/>
    <w:rsid w:val="001E6BA6"/>
    <w:rsid w:val="001F0CA2"/>
    <w:rsid w:val="001F1600"/>
    <w:rsid w:val="001F2C24"/>
    <w:rsid w:val="001F4793"/>
    <w:rsid w:val="001F59E6"/>
    <w:rsid w:val="001F5EDA"/>
    <w:rsid w:val="001F6A55"/>
    <w:rsid w:val="001F74D7"/>
    <w:rsid w:val="001F7C09"/>
    <w:rsid w:val="00200964"/>
    <w:rsid w:val="00200EFE"/>
    <w:rsid w:val="00201A37"/>
    <w:rsid w:val="00202996"/>
    <w:rsid w:val="00203F1C"/>
    <w:rsid w:val="0020517E"/>
    <w:rsid w:val="002054D0"/>
    <w:rsid w:val="00205C44"/>
    <w:rsid w:val="0020621A"/>
    <w:rsid w:val="00206936"/>
    <w:rsid w:val="00206C6F"/>
    <w:rsid w:val="00206FBD"/>
    <w:rsid w:val="00207360"/>
    <w:rsid w:val="00207524"/>
    <w:rsid w:val="00207746"/>
    <w:rsid w:val="002078B8"/>
    <w:rsid w:val="002102E5"/>
    <w:rsid w:val="002106AD"/>
    <w:rsid w:val="00210C9C"/>
    <w:rsid w:val="00212414"/>
    <w:rsid w:val="0021462C"/>
    <w:rsid w:val="00215B99"/>
    <w:rsid w:val="0021734E"/>
    <w:rsid w:val="0021776A"/>
    <w:rsid w:val="00217EFD"/>
    <w:rsid w:val="00220CAC"/>
    <w:rsid w:val="00221653"/>
    <w:rsid w:val="00222195"/>
    <w:rsid w:val="00223374"/>
    <w:rsid w:val="002237F0"/>
    <w:rsid w:val="0022537F"/>
    <w:rsid w:val="00226C17"/>
    <w:rsid w:val="00226E0B"/>
    <w:rsid w:val="002276B1"/>
    <w:rsid w:val="00230031"/>
    <w:rsid w:val="00232FE7"/>
    <w:rsid w:val="00235C01"/>
    <w:rsid w:val="002366C0"/>
    <w:rsid w:val="002376FD"/>
    <w:rsid w:val="00237B6A"/>
    <w:rsid w:val="00237C68"/>
    <w:rsid w:val="00237C9A"/>
    <w:rsid w:val="00240BD3"/>
    <w:rsid w:val="002424C2"/>
    <w:rsid w:val="00244EEA"/>
    <w:rsid w:val="002456A4"/>
    <w:rsid w:val="002467CE"/>
    <w:rsid w:val="00247343"/>
    <w:rsid w:val="00254D84"/>
    <w:rsid w:val="00255007"/>
    <w:rsid w:val="002555B1"/>
    <w:rsid w:val="00256555"/>
    <w:rsid w:val="00257178"/>
    <w:rsid w:val="00257981"/>
    <w:rsid w:val="00260660"/>
    <w:rsid w:val="0026162A"/>
    <w:rsid w:val="00262669"/>
    <w:rsid w:val="002644AF"/>
    <w:rsid w:val="00265C56"/>
    <w:rsid w:val="00265E14"/>
    <w:rsid w:val="00266AD9"/>
    <w:rsid w:val="00267034"/>
    <w:rsid w:val="002713C4"/>
    <w:rsid w:val="0027159D"/>
    <w:rsid w:val="002716CD"/>
    <w:rsid w:val="00271B9A"/>
    <w:rsid w:val="0027337A"/>
    <w:rsid w:val="00274265"/>
    <w:rsid w:val="00274D4B"/>
    <w:rsid w:val="00275972"/>
    <w:rsid w:val="0027620B"/>
    <w:rsid w:val="002762DE"/>
    <w:rsid w:val="00276E71"/>
    <w:rsid w:val="002806F5"/>
    <w:rsid w:val="00280B70"/>
    <w:rsid w:val="002811EB"/>
    <w:rsid w:val="00281577"/>
    <w:rsid w:val="0028328A"/>
    <w:rsid w:val="00284024"/>
    <w:rsid w:val="002850A9"/>
    <w:rsid w:val="00286620"/>
    <w:rsid w:val="00286B5E"/>
    <w:rsid w:val="00287D73"/>
    <w:rsid w:val="00290388"/>
    <w:rsid w:val="002903CF"/>
    <w:rsid w:val="00291005"/>
    <w:rsid w:val="002926BC"/>
    <w:rsid w:val="00292870"/>
    <w:rsid w:val="00292F85"/>
    <w:rsid w:val="0029315C"/>
    <w:rsid w:val="00293A72"/>
    <w:rsid w:val="00293F79"/>
    <w:rsid w:val="00294002"/>
    <w:rsid w:val="0029403A"/>
    <w:rsid w:val="002940AC"/>
    <w:rsid w:val="00294345"/>
    <w:rsid w:val="00294C3E"/>
    <w:rsid w:val="0029562C"/>
    <w:rsid w:val="00296152"/>
    <w:rsid w:val="00296D8F"/>
    <w:rsid w:val="002A0160"/>
    <w:rsid w:val="002A0193"/>
    <w:rsid w:val="002A0924"/>
    <w:rsid w:val="002A2363"/>
    <w:rsid w:val="002A30C3"/>
    <w:rsid w:val="002A4183"/>
    <w:rsid w:val="002A553D"/>
    <w:rsid w:val="002A6D36"/>
    <w:rsid w:val="002A6F6A"/>
    <w:rsid w:val="002A7712"/>
    <w:rsid w:val="002B0BD5"/>
    <w:rsid w:val="002B15B1"/>
    <w:rsid w:val="002B38F7"/>
    <w:rsid w:val="002B481A"/>
    <w:rsid w:val="002B4F50"/>
    <w:rsid w:val="002B4F88"/>
    <w:rsid w:val="002B5591"/>
    <w:rsid w:val="002B6454"/>
    <w:rsid w:val="002B6AA4"/>
    <w:rsid w:val="002B72DF"/>
    <w:rsid w:val="002C0154"/>
    <w:rsid w:val="002C0EA2"/>
    <w:rsid w:val="002C1FE9"/>
    <w:rsid w:val="002C2641"/>
    <w:rsid w:val="002C54DE"/>
    <w:rsid w:val="002C5A67"/>
    <w:rsid w:val="002C5B87"/>
    <w:rsid w:val="002C64A8"/>
    <w:rsid w:val="002D0EC2"/>
    <w:rsid w:val="002D14CA"/>
    <w:rsid w:val="002D281B"/>
    <w:rsid w:val="002D307F"/>
    <w:rsid w:val="002D3A57"/>
    <w:rsid w:val="002D3EF8"/>
    <w:rsid w:val="002D568F"/>
    <w:rsid w:val="002D6295"/>
    <w:rsid w:val="002D6524"/>
    <w:rsid w:val="002D6B5C"/>
    <w:rsid w:val="002D7D05"/>
    <w:rsid w:val="002E06EE"/>
    <w:rsid w:val="002E1677"/>
    <w:rsid w:val="002E20C8"/>
    <w:rsid w:val="002E33A0"/>
    <w:rsid w:val="002E4290"/>
    <w:rsid w:val="002E66A6"/>
    <w:rsid w:val="002E6C28"/>
    <w:rsid w:val="002E71F0"/>
    <w:rsid w:val="002E76A0"/>
    <w:rsid w:val="002F0DB1"/>
    <w:rsid w:val="002F1287"/>
    <w:rsid w:val="002F1C38"/>
    <w:rsid w:val="002F27D6"/>
    <w:rsid w:val="002F2885"/>
    <w:rsid w:val="002F2AD8"/>
    <w:rsid w:val="002F2F39"/>
    <w:rsid w:val="002F3D8B"/>
    <w:rsid w:val="002F4186"/>
    <w:rsid w:val="002F45A1"/>
    <w:rsid w:val="002F4E74"/>
    <w:rsid w:val="002F5C9A"/>
    <w:rsid w:val="002F648D"/>
    <w:rsid w:val="002F70A5"/>
    <w:rsid w:val="00300422"/>
    <w:rsid w:val="0030203D"/>
    <w:rsid w:val="00302369"/>
    <w:rsid w:val="00302889"/>
    <w:rsid w:val="00302AB6"/>
    <w:rsid w:val="00303406"/>
    <w:rsid w:val="003037F9"/>
    <w:rsid w:val="0030384C"/>
    <w:rsid w:val="00303C5B"/>
    <w:rsid w:val="00304935"/>
    <w:rsid w:val="00304F41"/>
    <w:rsid w:val="0030540B"/>
    <w:rsid w:val="0030583E"/>
    <w:rsid w:val="00307FE1"/>
    <w:rsid w:val="0031155D"/>
    <w:rsid w:val="0031380C"/>
    <w:rsid w:val="00313B64"/>
    <w:rsid w:val="00314B36"/>
    <w:rsid w:val="00314CBE"/>
    <w:rsid w:val="003164BA"/>
    <w:rsid w:val="00316822"/>
    <w:rsid w:val="00320C2A"/>
    <w:rsid w:val="00321460"/>
    <w:rsid w:val="0032227A"/>
    <w:rsid w:val="003238BF"/>
    <w:rsid w:val="003258E6"/>
    <w:rsid w:val="00330977"/>
    <w:rsid w:val="00331475"/>
    <w:rsid w:val="003318EB"/>
    <w:rsid w:val="00332E54"/>
    <w:rsid w:val="00333A7E"/>
    <w:rsid w:val="003351E1"/>
    <w:rsid w:val="0033684F"/>
    <w:rsid w:val="0033687A"/>
    <w:rsid w:val="003376CA"/>
    <w:rsid w:val="00337853"/>
    <w:rsid w:val="00340960"/>
    <w:rsid w:val="00341095"/>
    <w:rsid w:val="00342283"/>
    <w:rsid w:val="00343100"/>
    <w:rsid w:val="00343505"/>
    <w:rsid w:val="00343A87"/>
    <w:rsid w:val="0034488B"/>
    <w:rsid w:val="00344A36"/>
    <w:rsid w:val="00344A6D"/>
    <w:rsid w:val="003450F2"/>
    <w:rsid w:val="003456F4"/>
    <w:rsid w:val="003461DE"/>
    <w:rsid w:val="003479FA"/>
    <w:rsid w:val="00347E44"/>
    <w:rsid w:val="00347ECC"/>
    <w:rsid w:val="00347FB6"/>
    <w:rsid w:val="0035004A"/>
    <w:rsid w:val="003504FD"/>
    <w:rsid w:val="00350881"/>
    <w:rsid w:val="00350C94"/>
    <w:rsid w:val="003523CB"/>
    <w:rsid w:val="00354B8C"/>
    <w:rsid w:val="00356810"/>
    <w:rsid w:val="003568EE"/>
    <w:rsid w:val="00357D55"/>
    <w:rsid w:val="003603A8"/>
    <w:rsid w:val="00361882"/>
    <w:rsid w:val="0036197F"/>
    <w:rsid w:val="00361BB3"/>
    <w:rsid w:val="00361F15"/>
    <w:rsid w:val="0036295A"/>
    <w:rsid w:val="00363513"/>
    <w:rsid w:val="00364509"/>
    <w:rsid w:val="0036485A"/>
    <w:rsid w:val="0036563F"/>
    <w:rsid w:val="003657E5"/>
    <w:rsid w:val="0036589C"/>
    <w:rsid w:val="00365C48"/>
    <w:rsid w:val="00366EC1"/>
    <w:rsid w:val="003670BB"/>
    <w:rsid w:val="00367196"/>
    <w:rsid w:val="003678F4"/>
    <w:rsid w:val="00370543"/>
    <w:rsid w:val="00371312"/>
    <w:rsid w:val="00371DC7"/>
    <w:rsid w:val="00371E07"/>
    <w:rsid w:val="00372E5C"/>
    <w:rsid w:val="003763FC"/>
    <w:rsid w:val="00377B21"/>
    <w:rsid w:val="00380686"/>
    <w:rsid w:val="00381183"/>
    <w:rsid w:val="00381429"/>
    <w:rsid w:val="00382689"/>
    <w:rsid w:val="00382A7F"/>
    <w:rsid w:val="00382AEE"/>
    <w:rsid w:val="00383349"/>
    <w:rsid w:val="003849BD"/>
    <w:rsid w:val="00384C20"/>
    <w:rsid w:val="0038616F"/>
    <w:rsid w:val="00386364"/>
    <w:rsid w:val="0038654C"/>
    <w:rsid w:val="003878F0"/>
    <w:rsid w:val="0039020D"/>
    <w:rsid w:val="00390862"/>
    <w:rsid w:val="0039092C"/>
    <w:rsid w:val="00390CE3"/>
    <w:rsid w:val="0039197E"/>
    <w:rsid w:val="00392EA0"/>
    <w:rsid w:val="00392F44"/>
    <w:rsid w:val="003933FF"/>
    <w:rsid w:val="00394876"/>
    <w:rsid w:val="00394AAF"/>
    <w:rsid w:val="00394CE5"/>
    <w:rsid w:val="003954DD"/>
    <w:rsid w:val="003969FC"/>
    <w:rsid w:val="00397C41"/>
    <w:rsid w:val="003A049C"/>
    <w:rsid w:val="003A1EAA"/>
    <w:rsid w:val="003A2160"/>
    <w:rsid w:val="003A52A2"/>
    <w:rsid w:val="003A5A25"/>
    <w:rsid w:val="003A6341"/>
    <w:rsid w:val="003A707E"/>
    <w:rsid w:val="003B0FF0"/>
    <w:rsid w:val="003B15E0"/>
    <w:rsid w:val="003B2912"/>
    <w:rsid w:val="003B44D8"/>
    <w:rsid w:val="003B62AD"/>
    <w:rsid w:val="003B67FD"/>
    <w:rsid w:val="003B6A61"/>
    <w:rsid w:val="003B7CF3"/>
    <w:rsid w:val="003C0A72"/>
    <w:rsid w:val="003C1967"/>
    <w:rsid w:val="003C20E3"/>
    <w:rsid w:val="003C2198"/>
    <w:rsid w:val="003C2F6D"/>
    <w:rsid w:val="003C39DC"/>
    <w:rsid w:val="003C4941"/>
    <w:rsid w:val="003C4DAA"/>
    <w:rsid w:val="003C51F3"/>
    <w:rsid w:val="003D0C20"/>
    <w:rsid w:val="003D0F63"/>
    <w:rsid w:val="003D10AB"/>
    <w:rsid w:val="003D2EA6"/>
    <w:rsid w:val="003D3136"/>
    <w:rsid w:val="003D4080"/>
    <w:rsid w:val="003D42C0"/>
    <w:rsid w:val="003D4A8F"/>
    <w:rsid w:val="003D50E9"/>
    <w:rsid w:val="003D5B29"/>
    <w:rsid w:val="003D7818"/>
    <w:rsid w:val="003E0274"/>
    <w:rsid w:val="003E1186"/>
    <w:rsid w:val="003E11C6"/>
    <w:rsid w:val="003E222F"/>
    <w:rsid w:val="003E2445"/>
    <w:rsid w:val="003E28BE"/>
    <w:rsid w:val="003E2938"/>
    <w:rsid w:val="003E377D"/>
    <w:rsid w:val="003E3BB2"/>
    <w:rsid w:val="003E5606"/>
    <w:rsid w:val="003E77E6"/>
    <w:rsid w:val="003F05E4"/>
    <w:rsid w:val="003F302E"/>
    <w:rsid w:val="003F3FDD"/>
    <w:rsid w:val="003F40E6"/>
    <w:rsid w:val="003F43B7"/>
    <w:rsid w:val="003F45CD"/>
    <w:rsid w:val="003F545A"/>
    <w:rsid w:val="003F56CB"/>
    <w:rsid w:val="003F5B58"/>
    <w:rsid w:val="003F681B"/>
    <w:rsid w:val="00400E91"/>
    <w:rsid w:val="0040145E"/>
    <w:rsid w:val="004018E0"/>
    <w:rsid w:val="0040222A"/>
    <w:rsid w:val="00402DC2"/>
    <w:rsid w:val="00402DC4"/>
    <w:rsid w:val="00403792"/>
    <w:rsid w:val="00403A99"/>
    <w:rsid w:val="00403E1F"/>
    <w:rsid w:val="004047BC"/>
    <w:rsid w:val="0040494B"/>
    <w:rsid w:val="004056AA"/>
    <w:rsid w:val="004067D0"/>
    <w:rsid w:val="00406FCB"/>
    <w:rsid w:val="00407ABA"/>
    <w:rsid w:val="004100F7"/>
    <w:rsid w:val="0041099B"/>
    <w:rsid w:val="00414CB3"/>
    <w:rsid w:val="004155A2"/>
    <w:rsid w:val="0041563D"/>
    <w:rsid w:val="00416500"/>
    <w:rsid w:val="004165C9"/>
    <w:rsid w:val="004168F4"/>
    <w:rsid w:val="00416D47"/>
    <w:rsid w:val="00420059"/>
    <w:rsid w:val="00420F71"/>
    <w:rsid w:val="00421EC3"/>
    <w:rsid w:val="00421F57"/>
    <w:rsid w:val="00421F7E"/>
    <w:rsid w:val="0042273D"/>
    <w:rsid w:val="00426E25"/>
    <w:rsid w:val="00427D9C"/>
    <w:rsid w:val="00427E7E"/>
    <w:rsid w:val="00430711"/>
    <w:rsid w:val="00430816"/>
    <w:rsid w:val="004314F6"/>
    <w:rsid w:val="00431562"/>
    <w:rsid w:val="00431794"/>
    <w:rsid w:val="0043278A"/>
    <w:rsid w:val="0043407E"/>
    <w:rsid w:val="00434567"/>
    <w:rsid w:val="0043465D"/>
    <w:rsid w:val="00435082"/>
    <w:rsid w:val="004351DF"/>
    <w:rsid w:val="00436EBF"/>
    <w:rsid w:val="00437DC3"/>
    <w:rsid w:val="00441BA9"/>
    <w:rsid w:val="00443B6E"/>
    <w:rsid w:val="00444DBF"/>
    <w:rsid w:val="00444F6B"/>
    <w:rsid w:val="00446444"/>
    <w:rsid w:val="00446E6F"/>
    <w:rsid w:val="00447AB3"/>
    <w:rsid w:val="00450636"/>
    <w:rsid w:val="0045147E"/>
    <w:rsid w:val="00452BFD"/>
    <w:rsid w:val="0045420A"/>
    <w:rsid w:val="00454925"/>
    <w:rsid w:val="004554D4"/>
    <w:rsid w:val="00456816"/>
    <w:rsid w:val="00456B4C"/>
    <w:rsid w:val="004607F7"/>
    <w:rsid w:val="00460BDF"/>
    <w:rsid w:val="00461158"/>
    <w:rsid w:val="00461744"/>
    <w:rsid w:val="004617C9"/>
    <w:rsid w:val="00462E61"/>
    <w:rsid w:val="00463C84"/>
    <w:rsid w:val="00464495"/>
    <w:rsid w:val="00464EFF"/>
    <w:rsid w:val="00465BE2"/>
    <w:rsid w:val="00466185"/>
    <w:rsid w:val="00466303"/>
    <w:rsid w:val="004668A7"/>
    <w:rsid w:val="00466D96"/>
    <w:rsid w:val="00466E6B"/>
    <w:rsid w:val="00467461"/>
    <w:rsid w:val="00467747"/>
    <w:rsid w:val="00470017"/>
    <w:rsid w:val="0047105A"/>
    <w:rsid w:val="004713C1"/>
    <w:rsid w:val="00471693"/>
    <w:rsid w:val="00471A41"/>
    <w:rsid w:val="00473C98"/>
    <w:rsid w:val="00474965"/>
    <w:rsid w:val="004749EB"/>
    <w:rsid w:val="00475C20"/>
    <w:rsid w:val="00475DF9"/>
    <w:rsid w:val="00476C59"/>
    <w:rsid w:val="004778F4"/>
    <w:rsid w:val="00477C5A"/>
    <w:rsid w:val="00481C23"/>
    <w:rsid w:val="00482078"/>
    <w:rsid w:val="00482D19"/>
    <w:rsid w:val="00482DF8"/>
    <w:rsid w:val="00483C3D"/>
    <w:rsid w:val="00486247"/>
    <w:rsid w:val="004864DE"/>
    <w:rsid w:val="00486739"/>
    <w:rsid w:val="00486CAB"/>
    <w:rsid w:val="00487402"/>
    <w:rsid w:val="0048769F"/>
    <w:rsid w:val="004877A8"/>
    <w:rsid w:val="00490582"/>
    <w:rsid w:val="0049159B"/>
    <w:rsid w:val="00492543"/>
    <w:rsid w:val="00492C34"/>
    <w:rsid w:val="004931B1"/>
    <w:rsid w:val="00493695"/>
    <w:rsid w:val="004940BF"/>
    <w:rsid w:val="00494BE5"/>
    <w:rsid w:val="0049753D"/>
    <w:rsid w:val="00497C82"/>
    <w:rsid w:val="004A0118"/>
    <w:rsid w:val="004A0EBA"/>
    <w:rsid w:val="004A19FC"/>
    <w:rsid w:val="004A2538"/>
    <w:rsid w:val="004A331E"/>
    <w:rsid w:val="004A466F"/>
    <w:rsid w:val="004A4BC9"/>
    <w:rsid w:val="004A6912"/>
    <w:rsid w:val="004A6DCD"/>
    <w:rsid w:val="004A70E8"/>
    <w:rsid w:val="004A73DA"/>
    <w:rsid w:val="004A7640"/>
    <w:rsid w:val="004A7DDB"/>
    <w:rsid w:val="004B0116"/>
    <w:rsid w:val="004B0C15"/>
    <w:rsid w:val="004B3221"/>
    <w:rsid w:val="004B346F"/>
    <w:rsid w:val="004B35EA"/>
    <w:rsid w:val="004B36BA"/>
    <w:rsid w:val="004B4BFA"/>
    <w:rsid w:val="004B535B"/>
    <w:rsid w:val="004B69E4"/>
    <w:rsid w:val="004B7673"/>
    <w:rsid w:val="004B7A2D"/>
    <w:rsid w:val="004C3E52"/>
    <w:rsid w:val="004C516C"/>
    <w:rsid w:val="004C5AD8"/>
    <w:rsid w:val="004C6C39"/>
    <w:rsid w:val="004C71A6"/>
    <w:rsid w:val="004C7293"/>
    <w:rsid w:val="004D075F"/>
    <w:rsid w:val="004D0870"/>
    <w:rsid w:val="004D1B76"/>
    <w:rsid w:val="004D2E21"/>
    <w:rsid w:val="004D32EA"/>
    <w:rsid w:val="004D344E"/>
    <w:rsid w:val="004D3792"/>
    <w:rsid w:val="004D3E5A"/>
    <w:rsid w:val="004D4430"/>
    <w:rsid w:val="004D464A"/>
    <w:rsid w:val="004D4722"/>
    <w:rsid w:val="004D4756"/>
    <w:rsid w:val="004D5B87"/>
    <w:rsid w:val="004D6986"/>
    <w:rsid w:val="004D6BA9"/>
    <w:rsid w:val="004D6FB6"/>
    <w:rsid w:val="004D7FE3"/>
    <w:rsid w:val="004E019E"/>
    <w:rsid w:val="004E06EC"/>
    <w:rsid w:val="004E0A3F"/>
    <w:rsid w:val="004E142F"/>
    <w:rsid w:val="004E1497"/>
    <w:rsid w:val="004E1788"/>
    <w:rsid w:val="004E2CB7"/>
    <w:rsid w:val="004E2FAE"/>
    <w:rsid w:val="004E4A74"/>
    <w:rsid w:val="004E4CE6"/>
    <w:rsid w:val="004E5856"/>
    <w:rsid w:val="004E6014"/>
    <w:rsid w:val="004E625B"/>
    <w:rsid w:val="004F016A"/>
    <w:rsid w:val="004F02D2"/>
    <w:rsid w:val="004F1E9D"/>
    <w:rsid w:val="004F1F8D"/>
    <w:rsid w:val="004F2EA3"/>
    <w:rsid w:val="004F47A5"/>
    <w:rsid w:val="004F564F"/>
    <w:rsid w:val="004F6084"/>
    <w:rsid w:val="004F646B"/>
    <w:rsid w:val="004F6EDD"/>
    <w:rsid w:val="004F7051"/>
    <w:rsid w:val="004F7318"/>
    <w:rsid w:val="004F73CC"/>
    <w:rsid w:val="004F7865"/>
    <w:rsid w:val="004F7E54"/>
    <w:rsid w:val="0050049B"/>
    <w:rsid w:val="005006F9"/>
    <w:rsid w:val="00500B2E"/>
    <w:rsid w:val="00500DDE"/>
    <w:rsid w:val="00500F94"/>
    <w:rsid w:val="00501666"/>
    <w:rsid w:val="00501E96"/>
    <w:rsid w:val="00502FB3"/>
    <w:rsid w:val="00503DE9"/>
    <w:rsid w:val="00504E3E"/>
    <w:rsid w:val="0050530C"/>
    <w:rsid w:val="00505344"/>
    <w:rsid w:val="00505DEA"/>
    <w:rsid w:val="00507782"/>
    <w:rsid w:val="00507AEC"/>
    <w:rsid w:val="00512A04"/>
    <w:rsid w:val="005132B0"/>
    <w:rsid w:val="00514CF2"/>
    <w:rsid w:val="00516647"/>
    <w:rsid w:val="00516F0A"/>
    <w:rsid w:val="00520499"/>
    <w:rsid w:val="0052232D"/>
    <w:rsid w:val="005249F5"/>
    <w:rsid w:val="00525387"/>
    <w:rsid w:val="00525B4A"/>
    <w:rsid w:val="005260F7"/>
    <w:rsid w:val="00526627"/>
    <w:rsid w:val="0052769C"/>
    <w:rsid w:val="005305D9"/>
    <w:rsid w:val="005310F5"/>
    <w:rsid w:val="0053333F"/>
    <w:rsid w:val="00533995"/>
    <w:rsid w:val="00533E49"/>
    <w:rsid w:val="00534288"/>
    <w:rsid w:val="005343C8"/>
    <w:rsid w:val="00534A35"/>
    <w:rsid w:val="0053568C"/>
    <w:rsid w:val="00535FB5"/>
    <w:rsid w:val="00540819"/>
    <w:rsid w:val="00542A1B"/>
    <w:rsid w:val="00543625"/>
    <w:rsid w:val="005439AD"/>
    <w:rsid w:val="00543B7A"/>
    <w:rsid w:val="00543B8F"/>
    <w:rsid w:val="00543BD1"/>
    <w:rsid w:val="00544A9A"/>
    <w:rsid w:val="00544F4A"/>
    <w:rsid w:val="0054648B"/>
    <w:rsid w:val="00546A57"/>
    <w:rsid w:val="00547147"/>
    <w:rsid w:val="0055010D"/>
    <w:rsid w:val="00550306"/>
    <w:rsid w:val="005509A7"/>
    <w:rsid w:val="00551BCC"/>
    <w:rsid w:val="00551DD1"/>
    <w:rsid w:val="0055202C"/>
    <w:rsid w:val="00553BF7"/>
    <w:rsid w:val="00553CE3"/>
    <w:rsid w:val="0055420C"/>
    <w:rsid w:val="00554498"/>
    <w:rsid w:val="0055521C"/>
    <w:rsid w:val="00556113"/>
    <w:rsid w:val="00556156"/>
    <w:rsid w:val="0055662D"/>
    <w:rsid w:val="00556F7A"/>
    <w:rsid w:val="005570D6"/>
    <w:rsid w:val="0056010A"/>
    <w:rsid w:val="00561687"/>
    <w:rsid w:val="00562459"/>
    <w:rsid w:val="00562F7D"/>
    <w:rsid w:val="00564C12"/>
    <w:rsid w:val="005654B8"/>
    <w:rsid w:val="0056590F"/>
    <w:rsid w:val="00565FFC"/>
    <w:rsid w:val="00566C72"/>
    <w:rsid w:val="005671E0"/>
    <w:rsid w:val="005676FF"/>
    <w:rsid w:val="00567FC4"/>
    <w:rsid w:val="005701E4"/>
    <w:rsid w:val="005707AA"/>
    <w:rsid w:val="00570D1F"/>
    <w:rsid w:val="00570D94"/>
    <w:rsid w:val="005710A0"/>
    <w:rsid w:val="005713FE"/>
    <w:rsid w:val="00573460"/>
    <w:rsid w:val="00574A99"/>
    <w:rsid w:val="0057549D"/>
    <w:rsid w:val="005756EA"/>
    <w:rsid w:val="005757AC"/>
    <w:rsid w:val="00575CD7"/>
    <w:rsid w:val="005762CC"/>
    <w:rsid w:val="00576B83"/>
    <w:rsid w:val="00577139"/>
    <w:rsid w:val="00577B34"/>
    <w:rsid w:val="00580558"/>
    <w:rsid w:val="00580EAD"/>
    <w:rsid w:val="00581376"/>
    <w:rsid w:val="00581F22"/>
    <w:rsid w:val="00582D3D"/>
    <w:rsid w:val="005838EC"/>
    <w:rsid w:val="0058401C"/>
    <w:rsid w:val="00584756"/>
    <w:rsid w:val="005853D5"/>
    <w:rsid w:val="005867A4"/>
    <w:rsid w:val="00590040"/>
    <w:rsid w:val="00590057"/>
    <w:rsid w:val="005902D0"/>
    <w:rsid w:val="0059051C"/>
    <w:rsid w:val="005928CC"/>
    <w:rsid w:val="00595386"/>
    <w:rsid w:val="0059621C"/>
    <w:rsid w:val="005964F7"/>
    <w:rsid w:val="00596974"/>
    <w:rsid w:val="00596F8A"/>
    <w:rsid w:val="00597234"/>
    <w:rsid w:val="00597ACE"/>
    <w:rsid w:val="00597C3D"/>
    <w:rsid w:val="005A0938"/>
    <w:rsid w:val="005A0B99"/>
    <w:rsid w:val="005A0CD7"/>
    <w:rsid w:val="005A1B27"/>
    <w:rsid w:val="005A1DDF"/>
    <w:rsid w:val="005A2AC5"/>
    <w:rsid w:val="005A2B7E"/>
    <w:rsid w:val="005A2D03"/>
    <w:rsid w:val="005A3021"/>
    <w:rsid w:val="005A3DC7"/>
    <w:rsid w:val="005A3E3A"/>
    <w:rsid w:val="005A49D5"/>
    <w:rsid w:val="005A4AC0"/>
    <w:rsid w:val="005A539B"/>
    <w:rsid w:val="005A5FDF"/>
    <w:rsid w:val="005B0FB7"/>
    <w:rsid w:val="005B122A"/>
    <w:rsid w:val="005B149E"/>
    <w:rsid w:val="005B1FCB"/>
    <w:rsid w:val="005B394F"/>
    <w:rsid w:val="005B5AC2"/>
    <w:rsid w:val="005C01EA"/>
    <w:rsid w:val="005C0416"/>
    <w:rsid w:val="005C2833"/>
    <w:rsid w:val="005C523C"/>
    <w:rsid w:val="005C5C82"/>
    <w:rsid w:val="005C7C1C"/>
    <w:rsid w:val="005D00F6"/>
    <w:rsid w:val="005D1748"/>
    <w:rsid w:val="005D1D99"/>
    <w:rsid w:val="005D2E25"/>
    <w:rsid w:val="005D4CDC"/>
    <w:rsid w:val="005D4EDF"/>
    <w:rsid w:val="005D6BE4"/>
    <w:rsid w:val="005D6D59"/>
    <w:rsid w:val="005D743D"/>
    <w:rsid w:val="005D74C9"/>
    <w:rsid w:val="005D77EB"/>
    <w:rsid w:val="005D7D0E"/>
    <w:rsid w:val="005D7EFA"/>
    <w:rsid w:val="005D7FCA"/>
    <w:rsid w:val="005E144D"/>
    <w:rsid w:val="005E1500"/>
    <w:rsid w:val="005E1E5C"/>
    <w:rsid w:val="005E29E9"/>
    <w:rsid w:val="005E3A43"/>
    <w:rsid w:val="005E3A9C"/>
    <w:rsid w:val="005E4EAD"/>
    <w:rsid w:val="005E5566"/>
    <w:rsid w:val="005E560C"/>
    <w:rsid w:val="005E6537"/>
    <w:rsid w:val="005E66EB"/>
    <w:rsid w:val="005E691B"/>
    <w:rsid w:val="005E7861"/>
    <w:rsid w:val="005E7A46"/>
    <w:rsid w:val="005F0B17"/>
    <w:rsid w:val="005F1B02"/>
    <w:rsid w:val="005F374D"/>
    <w:rsid w:val="005F3818"/>
    <w:rsid w:val="005F3A50"/>
    <w:rsid w:val="005F50EA"/>
    <w:rsid w:val="005F6602"/>
    <w:rsid w:val="005F77C7"/>
    <w:rsid w:val="00604221"/>
    <w:rsid w:val="006051CD"/>
    <w:rsid w:val="0060626A"/>
    <w:rsid w:val="00606F0C"/>
    <w:rsid w:val="00611029"/>
    <w:rsid w:val="006116FF"/>
    <w:rsid w:val="006139E6"/>
    <w:rsid w:val="00615B8D"/>
    <w:rsid w:val="006164B5"/>
    <w:rsid w:val="006177CB"/>
    <w:rsid w:val="00620675"/>
    <w:rsid w:val="00621680"/>
    <w:rsid w:val="0062275D"/>
    <w:rsid w:val="00622910"/>
    <w:rsid w:val="00623AED"/>
    <w:rsid w:val="00624164"/>
    <w:rsid w:val="006254B6"/>
    <w:rsid w:val="00625F36"/>
    <w:rsid w:val="0062608A"/>
    <w:rsid w:val="006275A7"/>
    <w:rsid w:val="00627FC8"/>
    <w:rsid w:val="00630882"/>
    <w:rsid w:val="006321EB"/>
    <w:rsid w:val="006323C3"/>
    <w:rsid w:val="00632449"/>
    <w:rsid w:val="00633ABB"/>
    <w:rsid w:val="0063458A"/>
    <w:rsid w:val="00635404"/>
    <w:rsid w:val="00635A87"/>
    <w:rsid w:val="00641EED"/>
    <w:rsid w:val="006433C3"/>
    <w:rsid w:val="00643DE4"/>
    <w:rsid w:val="0064519D"/>
    <w:rsid w:val="00645B28"/>
    <w:rsid w:val="00645BC9"/>
    <w:rsid w:val="00650094"/>
    <w:rsid w:val="00650F5B"/>
    <w:rsid w:val="006536A6"/>
    <w:rsid w:val="00654B6E"/>
    <w:rsid w:val="006609AE"/>
    <w:rsid w:val="00660CC9"/>
    <w:rsid w:val="006610D4"/>
    <w:rsid w:val="0066113B"/>
    <w:rsid w:val="00664137"/>
    <w:rsid w:val="00664465"/>
    <w:rsid w:val="00664760"/>
    <w:rsid w:val="0066618E"/>
    <w:rsid w:val="00666B8A"/>
    <w:rsid w:val="006670D7"/>
    <w:rsid w:val="00667307"/>
    <w:rsid w:val="00667D94"/>
    <w:rsid w:val="006707E4"/>
    <w:rsid w:val="0067146B"/>
    <w:rsid w:val="006715B1"/>
    <w:rsid w:val="00671752"/>
    <w:rsid w:val="006719EA"/>
    <w:rsid w:val="00671F13"/>
    <w:rsid w:val="00671F95"/>
    <w:rsid w:val="006727B6"/>
    <w:rsid w:val="00673817"/>
    <w:rsid w:val="00673F52"/>
    <w:rsid w:val="0067400A"/>
    <w:rsid w:val="00674194"/>
    <w:rsid w:val="00674DE2"/>
    <w:rsid w:val="006761B5"/>
    <w:rsid w:val="0067646E"/>
    <w:rsid w:val="00676A36"/>
    <w:rsid w:val="00677724"/>
    <w:rsid w:val="0067772C"/>
    <w:rsid w:val="00677FEA"/>
    <w:rsid w:val="00680032"/>
    <w:rsid w:val="006805D6"/>
    <w:rsid w:val="00680790"/>
    <w:rsid w:val="00681A02"/>
    <w:rsid w:val="0068410C"/>
    <w:rsid w:val="006847AD"/>
    <w:rsid w:val="00684AEA"/>
    <w:rsid w:val="00684BC6"/>
    <w:rsid w:val="00684CDF"/>
    <w:rsid w:val="00686246"/>
    <w:rsid w:val="0069002B"/>
    <w:rsid w:val="00690274"/>
    <w:rsid w:val="0069114B"/>
    <w:rsid w:val="00691D05"/>
    <w:rsid w:val="0069296E"/>
    <w:rsid w:val="0069339D"/>
    <w:rsid w:val="006942D6"/>
    <w:rsid w:val="0069444F"/>
    <w:rsid w:val="006944C1"/>
    <w:rsid w:val="00695F2D"/>
    <w:rsid w:val="00697542"/>
    <w:rsid w:val="00697AEF"/>
    <w:rsid w:val="00697FE9"/>
    <w:rsid w:val="006A0B30"/>
    <w:rsid w:val="006A1534"/>
    <w:rsid w:val="006A1C23"/>
    <w:rsid w:val="006A6BB3"/>
    <w:rsid w:val="006A756A"/>
    <w:rsid w:val="006B05D2"/>
    <w:rsid w:val="006B1BF9"/>
    <w:rsid w:val="006B288E"/>
    <w:rsid w:val="006B4D87"/>
    <w:rsid w:val="006B58FC"/>
    <w:rsid w:val="006B5FE6"/>
    <w:rsid w:val="006B687C"/>
    <w:rsid w:val="006B6FA6"/>
    <w:rsid w:val="006B7D4C"/>
    <w:rsid w:val="006C09A2"/>
    <w:rsid w:val="006C0EC2"/>
    <w:rsid w:val="006C105C"/>
    <w:rsid w:val="006C168B"/>
    <w:rsid w:val="006C2630"/>
    <w:rsid w:val="006C3466"/>
    <w:rsid w:val="006C5153"/>
    <w:rsid w:val="006C6DF9"/>
    <w:rsid w:val="006C7220"/>
    <w:rsid w:val="006C7F9E"/>
    <w:rsid w:val="006D28DF"/>
    <w:rsid w:val="006D33C2"/>
    <w:rsid w:val="006D3F3D"/>
    <w:rsid w:val="006D4037"/>
    <w:rsid w:val="006D4CBE"/>
    <w:rsid w:val="006D66F7"/>
    <w:rsid w:val="006D7A79"/>
    <w:rsid w:val="006E1167"/>
    <w:rsid w:val="006E1703"/>
    <w:rsid w:val="006E31A4"/>
    <w:rsid w:val="006E36CC"/>
    <w:rsid w:val="006E4B98"/>
    <w:rsid w:val="006F0E05"/>
    <w:rsid w:val="006F1AD8"/>
    <w:rsid w:val="006F33B9"/>
    <w:rsid w:val="006F4399"/>
    <w:rsid w:val="006F5DE3"/>
    <w:rsid w:val="006F756E"/>
    <w:rsid w:val="006F7FF1"/>
    <w:rsid w:val="007006B8"/>
    <w:rsid w:val="0070127B"/>
    <w:rsid w:val="00701FC6"/>
    <w:rsid w:val="00703172"/>
    <w:rsid w:val="00705079"/>
    <w:rsid w:val="00705C9D"/>
    <w:rsid w:val="00705F13"/>
    <w:rsid w:val="0070624C"/>
    <w:rsid w:val="007126A8"/>
    <w:rsid w:val="007130D5"/>
    <w:rsid w:val="00714F1D"/>
    <w:rsid w:val="00715225"/>
    <w:rsid w:val="0071566E"/>
    <w:rsid w:val="007165AC"/>
    <w:rsid w:val="007167DE"/>
    <w:rsid w:val="0071700C"/>
    <w:rsid w:val="007177C3"/>
    <w:rsid w:val="00720662"/>
    <w:rsid w:val="0072094F"/>
    <w:rsid w:val="00720CC6"/>
    <w:rsid w:val="00720F41"/>
    <w:rsid w:val="00722DDB"/>
    <w:rsid w:val="00722EFE"/>
    <w:rsid w:val="00722FDE"/>
    <w:rsid w:val="00723B37"/>
    <w:rsid w:val="00723FFB"/>
    <w:rsid w:val="00724026"/>
    <w:rsid w:val="00724728"/>
    <w:rsid w:val="00724F98"/>
    <w:rsid w:val="007268E1"/>
    <w:rsid w:val="00726CA7"/>
    <w:rsid w:val="00726CC3"/>
    <w:rsid w:val="00726D30"/>
    <w:rsid w:val="007300D2"/>
    <w:rsid w:val="00730384"/>
    <w:rsid w:val="0073087E"/>
    <w:rsid w:val="00730B9B"/>
    <w:rsid w:val="0073182E"/>
    <w:rsid w:val="007332FF"/>
    <w:rsid w:val="007340CD"/>
    <w:rsid w:val="00734774"/>
    <w:rsid w:val="00735669"/>
    <w:rsid w:val="00735A05"/>
    <w:rsid w:val="007408F5"/>
    <w:rsid w:val="00741EAE"/>
    <w:rsid w:val="0074234A"/>
    <w:rsid w:val="00742374"/>
    <w:rsid w:val="007430CB"/>
    <w:rsid w:val="00743B5B"/>
    <w:rsid w:val="00743CB0"/>
    <w:rsid w:val="00745029"/>
    <w:rsid w:val="00745440"/>
    <w:rsid w:val="00745960"/>
    <w:rsid w:val="00745DB3"/>
    <w:rsid w:val="007468B2"/>
    <w:rsid w:val="00747270"/>
    <w:rsid w:val="00747F28"/>
    <w:rsid w:val="00750ACB"/>
    <w:rsid w:val="00751215"/>
    <w:rsid w:val="007516A3"/>
    <w:rsid w:val="0075177F"/>
    <w:rsid w:val="007525F1"/>
    <w:rsid w:val="00755248"/>
    <w:rsid w:val="00755C7C"/>
    <w:rsid w:val="00757B07"/>
    <w:rsid w:val="00757E2B"/>
    <w:rsid w:val="0076190B"/>
    <w:rsid w:val="00761A11"/>
    <w:rsid w:val="007620D1"/>
    <w:rsid w:val="007632F1"/>
    <w:rsid w:val="0076355D"/>
    <w:rsid w:val="00763A2D"/>
    <w:rsid w:val="0076483C"/>
    <w:rsid w:val="0076497E"/>
    <w:rsid w:val="00764B78"/>
    <w:rsid w:val="007658FE"/>
    <w:rsid w:val="00765B4A"/>
    <w:rsid w:val="007676A4"/>
    <w:rsid w:val="007676EF"/>
    <w:rsid w:val="00770808"/>
    <w:rsid w:val="007712F5"/>
    <w:rsid w:val="007724D5"/>
    <w:rsid w:val="007733F0"/>
    <w:rsid w:val="00774057"/>
    <w:rsid w:val="00775041"/>
    <w:rsid w:val="007756C6"/>
    <w:rsid w:val="00777795"/>
    <w:rsid w:val="00777D34"/>
    <w:rsid w:val="0078043C"/>
    <w:rsid w:val="00780A4D"/>
    <w:rsid w:val="00781C57"/>
    <w:rsid w:val="00782AF4"/>
    <w:rsid w:val="00783A57"/>
    <w:rsid w:val="00783CF6"/>
    <w:rsid w:val="00783F62"/>
    <w:rsid w:val="00784C92"/>
    <w:rsid w:val="007859CD"/>
    <w:rsid w:val="00785C24"/>
    <w:rsid w:val="00786993"/>
    <w:rsid w:val="00786BF5"/>
    <w:rsid w:val="00790182"/>
    <w:rsid w:val="0079059C"/>
    <w:rsid w:val="007907E4"/>
    <w:rsid w:val="00790AC2"/>
    <w:rsid w:val="00791689"/>
    <w:rsid w:val="007924C3"/>
    <w:rsid w:val="00795120"/>
    <w:rsid w:val="00795239"/>
    <w:rsid w:val="007956EA"/>
    <w:rsid w:val="00796307"/>
    <w:rsid w:val="00796461"/>
    <w:rsid w:val="00797CA2"/>
    <w:rsid w:val="007A01E4"/>
    <w:rsid w:val="007A101C"/>
    <w:rsid w:val="007A1F08"/>
    <w:rsid w:val="007A40C3"/>
    <w:rsid w:val="007A4BEE"/>
    <w:rsid w:val="007A676E"/>
    <w:rsid w:val="007A6A4F"/>
    <w:rsid w:val="007A6DA3"/>
    <w:rsid w:val="007A7E74"/>
    <w:rsid w:val="007A7EE4"/>
    <w:rsid w:val="007B03F5"/>
    <w:rsid w:val="007B2377"/>
    <w:rsid w:val="007B4068"/>
    <w:rsid w:val="007B4961"/>
    <w:rsid w:val="007B5421"/>
    <w:rsid w:val="007B5C09"/>
    <w:rsid w:val="007B5DA2"/>
    <w:rsid w:val="007B7453"/>
    <w:rsid w:val="007C028C"/>
    <w:rsid w:val="007C04DC"/>
    <w:rsid w:val="007C0966"/>
    <w:rsid w:val="007C19E7"/>
    <w:rsid w:val="007C2BFF"/>
    <w:rsid w:val="007C2DC8"/>
    <w:rsid w:val="007C4ABC"/>
    <w:rsid w:val="007C4C90"/>
    <w:rsid w:val="007C5A4F"/>
    <w:rsid w:val="007C5BB8"/>
    <w:rsid w:val="007C5CFD"/>
    <w:rsid w:val="007C6223"/>
    <w:rsid w:val="007C6D9F"/>
    <w:rsid w:val="007D0093"/>
    <w:rsid w:val="007D0C1A"/>
    <w:rsid w:val="007D110F"/>
    <w:rsid w:val="007D11D5"/>
    <w:rsid w:val="007D2137"/>
    <w:rsid w:val="007D37C6"/>
    <w:rsid w:val="007D4893"/>
    <w:rsid w:val="007D632B"/>
    <w:rsid w:val="007D6C41"/>
    <w:rsid w:val="007D6E3D"/>
    <w:rsid w:val="007D7029"/>
    <w:rsid w:val="007D7067"/>
    <w:rsid w:val="007D7124"/>
    <w:rsid w:val="007D73ED"/>
    <w:rsid w:val="007E0432"/>
    <w:rsid w:val="007E0A27"/>
    <w:rsid w:val="007E113C"/>
    <w:rsid w:val="007E1C62"/>
    <w:rsid w:val="007E20C7"/>
    <w:rsid w:val="007E247A"/>
    <w:rsid w:val="007E3851"/>
    <w:rsid w:val="007E6085"/>
    <w:rsid w:val="007E70CF"/>
    <w:rsid w:val="007E74A4"/>
    <w:rsid w:val="007E77A0"/>
    <w:rsid w:val="007E77F6"/>
    <w:rsid w:val="007E7CC4"/>
    <w:rsid w:val="007F07C4"/>
    <w:rsid w:val="007F0840"/>
    <w:rsid w:val="007F1288"/>
    <w:rsid w:val="007F1B6F"/>
    <w:rsid w:val="007F1CAE"/>
    <w:rsid w:val="007F263F"/>
    <w:rsid w:val="007F3DD9"/>
    <w:rsid w:val="007F421C"/>
    <w:rsid w:val="007F4A68"/>
    <w:rsid w:val="007F782F"/>
    <w:rsid w:val="008015A8"/>
    <w:rsid w:val="00801B1A"/>
    <w:rsid w:val="0080644E"/>
    <w:rsid w:val="00806D2E"/>
    <w:rsid w:val="0080702B"/>
    <w:rsid w:val="00807336"/>
    <w:rsid w:val="0080766E"/>
    <w:rsid w:val="008077D2"/>
    <w:rsid w:val="00811169"/>
    <w:rsid w:val="00813916"/>
    <w:rsid w:val="00814B2A"/>
    <w:rsid w:val="00815297"/>
    <w:rsid w:val="00816448"/>
    <w:rsid w:val="008170DB"/>
    <w:rsid w:val="00817333"/>
    <w:rsid w:val="00817BA1"/>
    <w:rsid w:val="00817ED6"/>
    <w:rsid w:val="0082087D"/>
    <w:rsid w:val="0082102E"/>
    <w:rsid w:val="008215D7"/>
    <w:rsid w:val="008218E2"/>
    <w:rsid w:val="00821927"/>
    <w:rsid w:val="00821A8D"/>
    <w:rsid w:val="00821B08"/>
    <w:rsid w:val="00821D6E"/>
    <w:rsid w:val="00823022"/>
    <w:rsid w:val="00824357"/>
    <w:rsid w:val="0082634E"/>
    <w:rsid w:val="008264B3"/>
    <w:rsid w:val="00826B71"/>
    <w:rsid w:val="00827C42"/>
    <w:rsid w:val="00827F3F"/>
    <w:rsid w:val="00831108"/>
    <w:rsid w:val="008313C4"/>
    <w:rsid w:val="0083433C"/>
    <w:rsid w:val="00835434"/>
    <w:rsid w:val="008358C0"/>
    <w:rsid w:val="008358CC"/>
    <w:rsid w:val="00837453"/>
    <w:rsid w:val="0083751D"/>
    <w:rsid w:val="0083787F"/>
    <w:rsid w:val="0084031E"/>
    <w:rsid w:val="00840336"/>
    <w:rsid w:val="00840B7F"/>
    <w:rsid w:val="00840B8D"/>
    <w:rsid w:val="0084128D"/>
    <w:rsid w:val="00842838"/>
    <w:rsid w:val="00842DE5"/>
    <w:rsid w:val="0084374F"/>
    <w:rsid w:val="00844050"/>
    <w:rsid w:val="00845573"/>
    <w:rsid w:val="008457AF"/>
    <w:rsid w:val="00845A73"/>
    <w:rsid w:val="00847298"/>
    <w:rsid w:val="00847827"/>
    <w:rsid w:val="00852A7F"/>
    <w:rsid w:val="00853825"/>
    <w:rsid w:val="00854EC1"/>
    <w:rsid w:val="0085593E"/>
    <w:rsid w:val="008575DB"/>
    <w:rsid w:val="0085797F"/>
    <w:rsid w:val="00861DC3"/>
    <w:rsid w:val="00863784"/>
    <w:rsid w:val="008645DE"/>
    <w:rsid w:val="00864B30"/>
    <w:rsid w:val="0086550E"/>
    <w:rsid w:val="008660AE"/>
    <w:rsid w:val="00867019"/>
    <w:rsid w:val="00867160"/>
    <w:rsid w:val="00867C87"/>
    <w:rsid w:val="008702E9"/>
    <w:rsid w:val="008714DA"/>
    <w:rsid w:val="00872EF1"/>
    <w:rsid w:val="008735A9"/>
    <w:rsid w:val="0087446D"/>
    <w:rsid w:val="0087675F"/>
    <w:rsid w:val="00877BC5"/>
    <w:rsid w:val="00877D20"/>
    <w:rsid w:val="0088039F"/>
    <w:rsid w:val="008818FD"/>
    <w:rsid w:val="00881A33"/>
    <w:rsid w:val="00881C48"/>
    <w:rsid w:val="00883E58"/>
    <w:rsid w:val="00885B80"/>
    <w:rsid w:val="00885C30"/>
    <w:rsid w:val="00885E9B"/>
    <w:rsid w:val="0088662E"/>
    <w:rsid w:val="00887C50"/>
    <w:rsid w:val="00890A0F"/>
    <w:rsid w:val="00891C4F"/>
    <w:rsid w:val="00891E49"/>
    <w:rsid w:val="008925B6"/>
    <w:rsid w:val="0089368E"/>
    <w:rsid w:val="00893C96"/>
    <w:rsid w:val="0089500A"/>
    <w:rsid w:val="00895561"/>
    <w:rsid w:val="00895F64"/>
    <w:rsid w:val="008965FB"/>
    <w:rsid w:val="0089685D"/>
    <w:rsid w:val="00896C05"/>
    <w:rsid w:val="00897C94"/>
    <w:rsid w:val="008A06F3"/>
    <w:rsid w:val="008A2A9F"/>
    <w:rsid w:val="008A38D3"/>
    <w:rsid w:val="008A4B30"/>
    <w:rsid w:val="008A5329"/>
    <w:rsid w:val="008A54B9"/>
    <w:rsid w:val="008A7C12"/>
    <w:rsid w:val="008B03CE"/>
    <w:rsid w:val="008B0AA7"/>
    <w:rsid w:val="008B100B"/>
    <w:rsid w:val="008B150F"/>
    <w:rsid w:val="008B1FCC"/>
    <w:rsid w:val="008B29DD"/>
    <w:rsid w:val="008B2F40"/>
    <w:rsid w:val="008B3636"/>
    <w:rsid w:val="008B3E82"/>
    <w:rsid w:val="008B45D0"/>
    <w:rsid w:val="008B529E"/>
    <w:rsid w:val="008B58B6"/>
    <w:rsid w:val="008B696F"/>
    <w:rsid w:val="008B713C"/>
    <w:rsid w:val="008B7E12"/>
    <w:rsid w:val="008C17FB"/>
    <w:rsid w:val="008C23E5"/>
    <w:rsid w:val="008C4F41"/>
    <w:rsid w:val="008C52EE"/>
    <w:rsid w:val="008C64D2"/>
    <w:rsid w:val="008C70BB"/>
    <w:rsid w:val="008C75D6"/>
    <w:rsid w:val="008D032F"/>
    <w:rsid w:val="008D0664"/>
    <w:rsid w:val="008D094C"/>
    <w:rsid w:val="008D1B00"/>
    <w:rsid w:val="008D24E2"/>
    <w:rsid w:val="008D57B8"/>
    <w:rsid w:val="008D604A"/>
    <w:rsid w:val="008D65C3"/>
    <w:rsid w:val="008D6EE0"/>
    <w:rsid w:val="008D77F1"/>
    <w:rsid w:val="008D7C14"/>
    <w:rsid w:val="008E03FC"/>
    <w:rsid w:val="008E2B1F"/>
    <w:rsid w:val="008E36F0"/>
    <w:rsid w:val="008E510B"/>
    <w:rsid w:val="008E543A"/>
    <w:rsid w:val="008E546A"/>
    <w:rsid w:val="008E5CDF"/>
    <w:rsid w:val="008E6907"/>
    <w:rsid w:val="008E6FEC"/>
    <w:rsid w:val="008E7640"/>
    <w:rsid w:val="008E7A3E"/>
    <w:rsid w:val="008F01C5"/>
    <w:rsid w:val="008F0456"/>
    <w:rsid w:val="008F084C"/>
    <w:rsid w:val="008F1E00"/>
    <w:rsid w:val="008F4A6D"/>
    <w:rsid w:val="008F4E59"/>
    <w:rsid w:val="008F4E8E"/>
    <w:rsid w:val="008F4F2C"/>
    <w:rsid w:val="008F7287"/>
    <w:rsid w:val="0090005C"/>
    <w:rsid w:val="00900A37"/>
    <w:rsid w:val="00901EF5"/>
    <w:rsid w:val="00902B13"/>
    <w:rsid w:val="009033E1"/>
    <w:rsid w:val="00905CB7"/>
    <w:rsid w:val="0090751E"/>
    <w:rsid w:val="00910E3A"/>
    <w:rsid w:val="00911941"/>
    <w:rsid w:val="00913D75"/>
    <w:rsid w:val="00915133"/>
    <w:rsid w:val="009162FD"/>
    <w:rsid w:val="009163C7"/>
    <w:rsid w:val="00916C43"/>
    <w:rsid w:val="009200D2"/>
    <w:rsid w:val="0092024D"/>
    <w:rsid w:val="00922203"/>
    <w:rsid w:val="00923F8C"/>
    <w:rsid w:val="00925146"/>
    <w:rsid w:val="00925F0F"/>
    <w:rsid w:val="0092606D"/>
    <w:rsid w:val="00926483"/>
    <w:rsid w:val="009272DC"/>
    <w:rsid w:val="00927EFB"/>
    <w:rsid w:val="00930EF8"/>
    <w:rsid w:val="00931E92"/>
    <w:rsid w:val="00932F6B"/>
    <w:rsid w:val="0093445A"/>
    <w:rsid w:val="00934BDD"/>
    <w:rsid w:val="009353F0"/>
    <w:rsid w:val="009363D9"/>
    <w:rsid w:val="009364D7"/>
    <w:rsid w:val="00937C11"/>
    <w:rsid w:val="009406F2"/>
    <w:rsid w:val="009444F0"/>
    <w:rsid w:val="00944CED"/>
    <w:rsid w:val="009459D4"/>
    <w:rsid w:val="0094621B"/>
    <w:rsid w:val="009468BC"/>
    <w:rsid w:val="0094755B"/>
    <w:rsid w:val="00947FAE"/>
    <w:rsid w:val="00947FE9"/>
    <w:rsid w:val="009511E0"/>
    <w:rsid w:val="00951DCE"/>
    <w:rsid w:val="009527DE"/>
    <w:rsid w:val="00954C64"/>
    <w:rsid w:val="00954EDE"/>
    <w:rsid w:val="0095513F"/>
    <w:rsid w:val="00955D13"/>
    <w:rsid w:val="00955D8E"/>
    <w:rsid w:val="00957FBD"/>
    <w:rsid w:val="009604B8"/>
    <w:rsid w:val="009616DF"/>
    <w:rsid w:val="009617D8"/>
    <w:rsid w:val="0096542F"/>
    <w:rsid w:val="00966B65"/>
    <w:rsid w:val="00967EFF"/>
    <w:rsid w:val="00967FA7"/>
    <w:rsid w:val="00967FC6"/>
    <w:rsid w:val="009707F5"/>
    <w:rsid w:val="00971641"/>
    <w:rsid w:val="00971645"/>
    <w:rsid w:val="00971767"/>
    <w:rsid w:val="00971DBB"/>
    <w:rsid w:val="00972AD2"/>
    <w:rsid w:val="00972BF6"/>
    <w:rsid w:val="00973BC6"/>
    <w:rsid w:val="00973BEC"/>
    <w:rsid w:val="00973C6B"/>
    <w:rsid w:val="00973E9F"/>
    <w:rsid w:val="00974E9F"/>
    <w:rsid w:val="0097514E"/>
    <w:rsid w:val="009759A2"/>
    <w:rsid w:val="009762FD"/>
    <w:rsid w:val="00976499"/>
    <w:rsid w:val="00976D93"/>
    <w:rsid w:val="009772B1"/>
    <w:rsid w:val="009777B7"/>
    <w:rsid w:val="00977919"/>
    <w:rsid w:val="009779D4"/>
    <w:rsid w:val="00981DAD"/>
    <w:rsid w:val="00982B79"/>
    <w:rsid w:val="00983000"/>
    <w:rsid w:val="009832C9"/>
    <w:rsid w:val="0098333F"/>
    <w:rsid w:val="00983B51"/>
    <w:rsid w:val="00985376"/>
    <w:rsid w:val="0098698B"/>
    <w:rsid w:val="009870FA"/>
    <w:rsid w:val="00987CD2"/>
    <w:rsid w:val="009909AE"/>
    <w:rsid w:val="00991751"/>
    <w:rsid w:val="009920EC"/>
    <w:rsid w:val="009921C3"/>
    <w:rsid w:val="00992EBB"/>
    <w:rsid w:val="0099551D"/>
    <w:rsid w:val="00995976"/>
    <w:rsid w:val="00996733"/>
    <w:rsid w:val="0099776A"/>
    <w:rsid w:val="009979BD"/>
    <w:rsid w:val="009A0E6D"/>
    <w:rsid w:val="009A107C"/>
    <w:rsid w:val="009A28AC"/>
    <w:rsid w:val="009A5334"/>
    <w:rsid w:val="009A5897"/>
    <w:rsid w:val="009A5F24"/>
    <w:rsid w:val="009A78F2"/>
    <w:rsid w:val="009B0882"/>
    <w:rsid w:val="009B0992"/>
    <w:rsid w:val="009B0B3E"/>
    <w:rsid w:val="009B0DC9"/>
    <w:rsid w:val="009B11D2"/>
    <w:rsid w:val="009B13C6"/>
    <w:rsid w:val="009B1913"/>
    <w:rsid w:val="009B196F"/>
    <w:rsid w:val="009B24CD"/>
    <w:rsid w:val="009B2667"/>
    <w:rsid w:val="009B48D2"/>
    <w:rsid w:val="009B6657"/>
    <w:rsid w:val="009B6966"/>
    <w:rsid w:val="009B6FC6"/>
    <w:rsid w:val="009B705E"/>
    <w:rsid w:val="009B758F"/>
    <w:rsid w:val="009B7E6A"/>
    <w:rsid w:val="009C031E"/>
    <w:rsid w:val="009C2861"/>
    <w:rsid w:val="009C30F5"/>
    <w:rsid w:val="009C5A3E"/>
    <w:rsid w:val="009D0123"/>
    <w:rsid w:val="009D0EB5"/>
    <w:rsid w:val="009D14F9"/>
    <w:rsid w:val="009D2B74"/>
    <w:rsid w:val="009D414F"/>
    <w:rsid w:val="009D4805"/>
    <w:rsid w:val="009D4CB4"/>
    <w:rsid w:val="009D63FF"/>
    <w:rsid w:val="009D6D65"/>
    <w:rsid w:val="009D7F12"/>
    <w:rsid w:val="009E045F"/>
    <w:rsid w:val="009E0874"/>
    <w:rsid w:val="009E11BB"/>
    <w:rsid w:val="009E175D"/>
    <w:rsid w:val="009E2FAE"/>
    <w:rsid w:val="009E30C4"/>
    <w:rsid w:val="009E3CC2"/>
    <w:rsid w:val="009E5720"/>
    <w:rsid w:val="009E5895"/>
    <w:rsid w:val="009E68D4"/>
    <w:rsid w:val="009F025B"/>
    <w:rsid w:val="009F0546"/>
    <w:rsid w:val="009F06BD"/>
    <w:rsid w:val="009F1144"/>
    <w:rsid w:val="009F13AD"/>
    <w:rsid w:val="009F2A4D"/>
    <w:rsid w:val="009F59B4"/>
    <w:rsid w:val="009F6574"/>
    <w:rsid w:val="009F6D51"/>
    <w:rsid w:val="009F6D84"/>
    <w:rsid w:val="009F7EE2"/>
    <w:rsid w:val="00A002A7"/>
    <w:rsid w:val="00A00828"/>
    <w:rsid w:val="00A0147A"/>
    <w:rsid w:val="00A0152E"/>
    <w:rsid w:val="00A028F9"/>
    <w:rsid w:val="00A03290"/>
    <w:rsid w:val="00A0387E"/>
    <w:rsid w:val="00A03982"/>
    <w:rsid w:val="00A04F15"/>
    <w:rsid w:val="00A05BFD"/>
    <w:rsid w:val="00A06BDD"/>
    <w:rsid w:val="00A07490"/>
    <w:rsid w:val="00A077F3"/>
    <w:rsid w:val="00A10655"/>
    <w:rsid w:val="00A10B43"/>
    <w:rsid w:val="00A10E99"/>
    <w:rsid w:val="00A10EB8"/>
    <w:rsid w:val="00A12B64"/>
    <w:rsid w:val="00A12E1B"/>
    <w:rsid w:val="00A1566E"/>
    <w:rsid w:val="00A16D7E"/>
    <w:rsid w:val="00A16E91"/>
    <w:rsid w:val="00A17064"/>
    <w:rsid w:val="00A22215"/>
    <w:rsid w:val="00A22B63"/>
    <w:rsid w:val="00A22C38"/>
    <w:rsid w:val="00A23408"/>
    <w:rsid w:val="00A24F03"/>
    <w:rsid w:val="00A250A4"/>
    <w:rsid w:val="00A25193"/>
    <w:rsid w:val="00A26E80"/>
    <w:rsid w:val="00A277A8"/>
    <w:rsid w:val="00A3191E"/>
    <w:rsid w:val="00A31AE8"/>
    <w:rsid w:val="00A32831"/>
    <w:rsid w:val="00A33158"/>
    <w:rsid w:val="00A33A52"/>
    <w:rsid w:val="00A350F5"/>
    <w:rsid w:val="00A36CE7"/>
    <w:rsid w:val="00A36F1E"/>
    <w:rsid w:val="00A36FA2"/>
    <w:rsid w:val="00A37282"/>
    <w:rsid w:val="00A3739D"/>
    <w:rsid w:val="00A37DDA"/>
    <w:rsid w:val="00A41298"/>
    <w:rsid w:val="00A4154F"/>
    <w:rsid w:val="00A4169F"/>
    <w:rsid w:val="00A4273E"/>
    <w:rsid w:val="00A43855"/>
    <w:rsid w:val="00A43DFB"/>
    <w:rsid w:val="00A4433B"/>
    <w:rsid w:val="00A44502"/>
    <w:rsid w:val="00A4499A"/>
    <w:rsid w:val="00A44E5D"/>
    <w:rsid w:val="00A45005"/>
    <w:rsid w:val="00A454E5"/>
    <w:rsid w:val="00A456D3"/>
    <w:rsid w:val="00A45800"/>
    <w:rsid w:val="00A45DAE"/>
    <w:rsid w:val="00A46234"/>
    <w:rsid w:val="00A4639A"/>
    <w:rsid w:val="00A46B93"/>
    <w:rsid w:val="00A46DBB"/>
    <w:rsid w:val="00A477E0"/>
    <w:rsid w:val="00A50F92"/>
    <w:rsid w:val="00A51C4D"/>
    <w:rsid w:val="00A54189"/>
    <w:rsid w:val="00A550DD"/>
    <w:rsid w:val="00A55815"/>
    <w:rsid w:val="00A55F6E"/>
    <w:rsid w:val="00A567EE"/>
    <w:rsid w:val="00A57AC8"/>
    <w:rsid w:val="00A60437"/>
    <w:rsid w:val="00A63831"/>
    <w:rsid w:val="00A6389A"/>
    <w:rsid w:val="00A63A00"/>
    <w:rsid w:val="00A65684"/>
    <w:rsid w:val="00A7010D"/>
    <w:rsid w:val="00A70DD8"/>
    <w:rsid w:val="00A71AA2"/>
    <w:rsid w:val="00A71B7A"/>
    <w:rsid w:val="00A72665"/>
    <w:rsid w:val="00A7268F"/>
    <w:rsid w:val="00A726DA"/>
    <w:rsid w:val="00A7279C"/>
    <w:rsid w:val="00A7314A"/>
    <w:rsid w:val="00A74D9D"/>
    <w:rsid w:val="00A76790"/>
    <w:rsid w:val="00A8108E"/>
    <w:rsid w:val="00A81720"/>
    <w:rsid w:val="00A829CA"/>
    <w:rsid w:val="00A834AE"/>
    <w:rsid w:val="00A83A5D"/>
    <w:rsid w:val="00A83B50"/>
    <w:rsid w:val="00A85D0C"/>
    <w:rsid w:val="00A86EB2"/>
    <w:rsid w:val="00A86F48"/>
    <w:rsid w:val="00A90A9C"/>
    <w:rsid w:val="00A922F0"/>
    <w:rsid w:val="00A925EC"/>
    <w:rsid w:val="00A929AA"/>
    <w:rsid w:val="00A92A01"/>
    <w:rsid w:val="00A92B6B"/>
    <w:rsid w:val="00A92CEC"/>
    <w:rsid w:val="00A934B9"/>
    <w:rsid w:val="00A94268"/>
    <w:rsid w:val="00A963A7"/>
    <w:rsid w:val="00A96F63"/>
    <w:rsid w:val="00A97CFB"/>
    <w:rsid w:val="00A97D75"/>
    <w:rsid w:val="00A97EAF"/>
    <w:rsid w:val="00AA0E34"/>
    <w:rsid w:val="00AA1E59"/>
    <w:rsid w:val="00AA2531"/>
    <w:rsid w:val="00AA2D96"/>
    <w:rsid w:val="00AA4A64"/>
    <w:rsid w:val="00AA4CC7"/>
    <w:rsid w:val="00AA50EC"/>
    <w:rsid w:val="00AA541E"/>
    <w:rsid w:val="00AA72CA"/>
    <w:rsid w:val="00AB03C5"/>
    <w:rsid w:val="00AB10E9"/>
    <w:rsid w:val="00AB1666"/>
    <w:rsid w:val="00AB2DDD"/>
    <w:rsid w:val="00AB320A"/>
    <w:rsid w:val="00AB33DA"/>
    <w:rsid w:val="00AB4E74"/>
    <w:rsid w:val="00AB502C"/>
    <w:rsid w:val="00AB6AAC"/>
    <w:rsid w:val="00AB6D26"/>
    <w:rsid w:val="00AB70A2"/>
    <w:rsid w:val="00AB70FF"/>
    <w:rsid w:val="00AB7E95"/>
    <w:rsid w:val="00AC04CF"/>
    <w:rsid w:val="00AC0EF4"/>
    <w:rsid w:val="00AC1B5D"/>
    <w:rsid w:val="00AC4D86"/>
    <w:rsid w:val="00AD0889"/>
    <w:rsid w:val="00AD0AB4"/>
    <w:rsid w:val="00AD0DA4"/>
    <w:rsid w:val="00AD1B84"/>
    <w:rsid w:val="00AD2940"/>
    <w:rsid w:val="00AD2A0B"/>
    <w:rsid w:val="00AD2E5B"/>
    <w:rsid w:val="00AD3005"/>
    <w:rsid w:val="00AD3B51"/>
    <w:rsid w:val="00AD3D5A"/>
    <w:rsid w:val="00AD4169"/>
    <w:rsid w:val="00AD41F4"/>
    <w:rsid w:val="00AD4415"/>
    <w:rsid w:val="00AD4C30"/>
    <w:rsid w:val="00AD5F30"/>
    <w:rsid w:val="00AD7229"/>
    <w:rsid w:val="00AD78C8"/>
    <w:rsid w:val="00AD7C7B"/>
    <w:rsid w:val="00AE0666"/>
    <w:rsid w:val="00AE0694"/>
    <w:rsid w:val="00AE2207"/>
    <w:rsid w:val="00AE2321"/>
    <w:rsid w:val="00AE25C6"/>
    <w:rsid w:val="00AE306C"/>
    <w:rsid w:val="00AE3EA9"/>
    <w:rsid w:val="00AE411F"/>
    <w:rsid w:val="00AE447A"/>
    <w:rsid w:val="00AE4D22"/>
    <w:rsid w:val="00AE689F"/>
    <w:rsid w:val="00AE77A0"/>
    <w:rsid w:val="00AE7CD4"/>
    <w:rsid w:val="00AF10C7"/>
    <w:rsid w:val="00AF1561"/>
    <w:rsid w:val="00AF28C1"/>
    <w:rsid w:val="00AF3809"/>
    <w:rsid w:val="00AF4A66"/>
    <w:rsid w:val="00AF70E2"/>
    <w:rsid w:val="00AF7ACC"/>
    <w:rsid w:val="00B004BC"/>
    <w:rsid w:val="00B00979"/>
    <w:rsid w:val="00B014A7"/>
    <w:rsid w:val="00B01ABA"/>
    <w:rsid w:val="00B01CB2"/>
    <w:rsid w:val="00B02521"/>
    <w:rsid w:val="00B02EF1"/>
    <w:rsid w:val="00B02FC5"/>
    <w:rsid w:val="00B0378E"/>
    <w:rsid w:val="00B03BA4"/>
    <w:rsid w:val="00B03E79"/>
    <w:rsid w:val="00B04B66"/>
    <w:rsid w:val="00B04CDC"/>
    <w:rsid w:val="00B071F2"/>
    <w:rsid w:val="00B07C97"/>
    <w:rsid w:val="00B105B9"/>
    <w:rsid w:val="00B11C67"/>
    <w:rsid w:val="00B123CA"/>
    <w:rsid w:val="00B134F9"/>
    <w:rsid w:val="00B13F2E"/>
    <w:rsid w:val="00B14257"/>
    <w:rsid w:val="00B153A1"/>
    <w:rsid w:val="00B15754"/>
    <w:rsid w:val="00B16002"/>
    <w:rsid w:val="00B1693D"/>
    <w:rsid w:val="00B16FC7"/>
    <w:rsid w:val="00B2046E"/>
    <w:rsid w:val="00B20670"/>
    <w:rsid w:val="00B20E8B"/>
    <w:rsid w:val="00B2303E"/>
    <w:rsid w:val="00B233E7"/>
    <w:rsid w:val="00B24079"/>
    <w:rsid w:val="00B243D8"/>
    <w:rsid w:val="00B243FB"/>
    <w:rsid w:val="00B254CF"/>
    <w:rsid w:val="00B257E1"/>
    <w:rsid w:val="00B2599A"/>
    <w:rsid w:val="00B26DAB"/>
    <w:rsid w:val="00B27AC4"/>
    <w:rsid w:val="00B308D2"/>
    <w:rsid w:val="00B30AC0"/>
    <w:rsid w:val="00B30CCE"/>
    <w:rsid w:val="00B3178E"/>
    <w:rsid w:val="00B329E8"/>
    <w:rsid w:val="00B33026"/>
    <w:rsid w:val="00B341A5"/>
    <w:rsid w:val="00B34223"/>
    <w:rsid w:val="00B343CC"/>
    <w:rsid w:val="00B36168"/>
    <w:rsid w:val="00B36C1D"/>
    <w:rsid w:val="00B36C94"/>
    <w:rsid w:val="00B3721D"/>
    <w:rsid w:val="00B406D2"/>
    <w:rsid w:val="00B41551"/>
    <w:rsid w:val="00B42138"/>
    <w:rsid w:val="00B42993"/>
    <w:rsid w:val="00B42F39"/>
    <w:rsid w:val="00B447F0"/>
    <w:rsid w:val="00B45A2F"/>
    <w:rsid w:val="00B45E33"/>
    <w:rsid w:val="00B46BBD"/>
    <w:rsid w:val="00B46CA2"/>
    <w:rsid w:val="00B46FCD"/>
    <w:rsid w:val="00B5084A"/>
    <w:rsid w:val="00B520BB"/>
    <w:rsid w:val="00B52625"/>
    <w:rsid w:val="00B5288E"/>
    <w:rsid w:val="00B52F56"/>
    <w:rsid w:val="00B53EF2"/>
    <w:rsid w:val="00B5455B"/>
    <w:rsid w:val="00B54DB3"/>
    <w:rsid w:val="00B54E5C"/>
    <w:rsid w:val="00B55B64"/>
    <w:rsid w:val="00B55F93"/>
    <w:rsid w:val="00B55F96"/>
    <w:rsid w:val="00B5702F"/>
    <w:rsid w:val="00B606A1"/>
    <w:rsid w:val="00B614F7"/>
    <w:rsid w:val="00B61B26"/>
    <w:rsid w:val="00B626AB"/>
    <w:rsid w:val="00B63F0C"/>
    <w:rsid w:val="00B6427B"/>
    <w:rsid w:val="00B64D7A"/>
    <w:rsid w:val="00B65288"/>
    <w:rsid w:val="00B6577B"/>
    <w:rsid w:val="00B65E6B"/>
    <w:rsid w:val="00B674F2"/>
    <w:rsid w:val="00B675B2"/>
    <w:rsid w:val="00B70BEA"/>
    <w:rsid w:val="00B72483"/>
    <w:rsid w:val="00B72D60"/>
    <w:rsid w:val="00B7450C"/>
    <w:rsid w:val="00B74CA2"/>
    <w:rsid w:val="00B7660D"/>
    <w:rsid w:val="00B76CD5"/>
    <w:rsid w:val="00B776ED"/>
    <w:rsid w:val="00B77859"/>
    <w:rsid w:val="00B8017E"/>
    <w:rsid w:val="00B8055B"/>
    <w:rsid w:val="00B80CBA"/>
    <w:rsid w:val="00B8103F"/>
    <w:rsid w:val="00B81261"/>
    <w:rsid w:val="00B8223E"/>
    <w:rsid w:val="00B832AE"/>
    <w:rsid w:val="00B83FA9"/>
    <w:rsid w:val="00B84E66"/>
    <w:rsid w:val="00B86678"/>
    <w:rsid w:val="00B868F4"/>
    <w:rsid w:val="00B8725D"/>
    <w:rsid w:val="00B9092E"/>
    <w:rsid w:val="00B90D29"/>
    <w:rsid w:val="00B91624"/>
    <w:rsid w:val="00B92F7D"/>
    <w:rsid w:val="00B92F9B"/>
    <w:rsid w:val="00B932A7"/>
    <w:rsid w:val="00B93D45"/>
    <w:rsid w:val="00B941B3"/>
    <w:rsid w:val="00B9551B"/>
    <w:rsid w:val="00B96513"/>
    <w:rsid w:val="00B96CD4"/>
    <w:rsid w:val="00BA0D51"/>
    <w:rsid w:val="00BA1D47"/>
    <w:rsid w:val="00BA2574"/>
    <w:rsid w:val="00BA3881"/>
    <w:rsid w:val="00BA5121"/>
    <w:rsid w:val="00BA62E6"/>
    <w:rsid w:val="00BA66F0"/>
    <w:rsid w:val="00BA68FB"/>
    <w:rsid w:val="00BA6A34"/>
    <w:rsid w:val="00BB15DE"/>
    <w:rsid w:val="00BB1807"/>
    <w:rsid w:val="00BB2239"/>
    <w:rsid w:val="00BB2AE7"/>
    <w:rsid w:val="00BB3725"/>
    <w:rsid w:val="00BB4557"/>
    <w:rsid w:val="00BB4B7C"/>
    <w:rsid w:val="00BB4DEF"/>
    <w:rsid w:val="00BB50E2"/>
    <w:rsid w:val="00BB5C77"/>
    <w:rsid w:val="00BB5EFC"/>
    <w:rsid w:val="00BB6464"/>
    <w:rsid w:val="00BB6AE4"/>
    <w:rsid w:val="00BC1543"/>
    <w:rsid w:val="00BC1BB8"/>
    <w:rsid w:val="00BC265F"/>
    <w:rsid w:val="00BC2797"/>
    <w:rsid w:val="00BC4014"/>
    <w:rsid w:val="00BC534D"/>
    <w:rsid w:val="00BC67D9"/>
    <w:rsid w:val="00BC6C10"/>
    <w:rsid w:val="00BC7309"/>
    <w:rsid w:val="00BC7B0A"/>
    <w:rsid w:val="00BD14C8"/>
    <w:rsid w:val="00BD1DEB"/>
    <w:rsid w:val="00BD2E80"/>
    <w:rsid w:val="00BD45AF"/>
    <w:rsid w:val="00BD5A2D"/>
    <w:rsid w:val="00BD6C72"/>
    <w:rsid w:val="00BD7FE1"/>
    <w:rsid w:val="00BE08AB"/>
    <w:rsid w:val="00BE1D12"/>
    <w:rsid w:val="00BE2347"/>
    <w:rsid w:val="00BE2895"/>
    <w:rsid w:val="00BE2E3E"/>
    <w:rsid w:val="00BE37CA"/>
    <w:rsid w:val="00BE5E3F"/>
    <w:rsid w:val="00BE6144"/>
    <w:rsid w:val="00BE635A"/>
    <w:rsid w:val="00BE750C"/>
    <w:rsid w:val="00BF0930"/>
    <w:rsid w:val="00BF0B34"/>
    <w:rsid w:val="00BF17E9"/>
    <w:rsid w:val="00BF1BE3"/>
    <w:rsid w:val="00BF26A2"/>
    <w:rsid w:val="00BF2ABB"/>
    <w:rsid w:val="00BF4957"/>
    <w:rsid w:val="00BF4EC6"/>
    <w:rsid w:val="00BF5099"/>
    <w:rsid w:val="00BF5120"/>
    <w:rsid w:val="00BF6965"/>
    <w:rsid w:val="00BF70B7"/>
    <w:rsid w:val="00C004AE"/>
    <w:rsid w:val="00C00A8B"/>
    <w:rsid w:val="00C017A6"/>
    <w:rsid w:val="00C02512"/>
    <w:rsid w:val="00C03B8D"/>
    <w:rsid w:val="00C044EF"/>
    <w:rsid w:val="00C04CD4"/>
    <w:rsid w:val="00C0649F"/>
    <w:rsid w:val="00C06FE9"/>
    <w:rsid w:val="00C07719"/>
    <w:rsid w:val="00C10B5E"/>
    <w:rsid w:val="00C10F10"/>
    <w:rsid w:val="00C11420"/>
    <w:rsid w:val="00C128B8"/>
    <w:rsid w:val="00C1353F"/>
    <w:rsid w:val="00C13FC4"/>
    <w:rsid w:val="00C15D4D"/>
    <w:rsid w:val="00C1602B"/>
    <w:rsid w:val="00C175DC"/>
    <w:rsid w:val="00C203A4"/>
    <w:rsid w:val="00C22C15"/>
    <w:rsid w:val="00C22E8D"/>
    <w:rsid w:val="00C25C1F"/>
    <w:rsid w:val="00C27243"/>
    <w:rsid w:val="00C27839"/>
    <w:rsid w:val="00C27FFE"/>
    <w:rsid w:val="00C3012D"/>
    <w:rsid w:val="00C30171"/>
    <w:rsid w:val="00C309D8"/>
    <w:rsid w:val="00C32BAF"/>
    <w:rsid w:val="00C3425D"/>
    <w:rsid w:val="00C343C4"/>
    <w:rsid w:val="00C35507"/>
    <w:rsid w:val="00C36C35"/>
    <w:rsid w:val="00C373AD"/>
    <w:rsid w:val="00C4238E"/>
    <w:rsid w:val="00C42852"/>
    <w:rsid w:val="00C43519"/>
    <w:rsid w:val="00C436D9"/>
    <w:rsid w:val="00C43EBE"/>
    <w:rsid w:val="00C45263"/>
    <w:rsid w:val="00C458E2"/>
    <w:rsid w:val="00C45983"/>
    <w:rsid w:val="00C459BC"/>
    <w:rsid w:val="00C50A08"/>
    <w:rsid w:val="00C51537"/>
    <w:rsid w:val="00C51F34"/>
    <w:rsid w:val="00C52689"/>
    <w:rsid w:val="00C52AD8"/>
    <w:rsid w:val="00C52BC3"/>
    <w:rsid w:val="00C54091"/>
    <w:rsid w:val="00C54EB6"/>
    <w:rsid w:val="00C55C97"/>
    <w:rsid w:val="00C60B7C"/>
    <w:rsid w:val="00C61AFA"/>
    <w:rsid w:val="00C61D64"/>
    <w:rsid w:val="00C62099"/>
    <w:rsid w:val="00C624D6"/>
    <w:rsid w:val="00C6258F"/>
    <w:rsid w:val="00C62A34"/>
    <w:rsid w:val="00C62E2C"/>
    <w:rsid w:val="00C6441D"/>
    <w:rsid w:val="00C64694"/>
    <w:rsid w:val="00C64ACE"/>
    <w:rsid w:val="00C64EA3"/>
    <w:rsid w:val="00C64EF8"/>
    <w:rsid w:val="00C65243"/>
    <w:rsid w:val="00C71648"/>
    <w:rsid w:val="00C7203E"/>
    <w:rsid w:val="00C724DA"/>
    <w:rsid w:val="00C72867"/>
    <w:rsid w:val="00C72989"/>
    <w:rsid w:val="00C72BA2"/>
    <w:rsid w:val="00C730E0"/>
    <w:rsid w:val="00C7409C"/>
    <w:rsid w:val="00C759B3"/>
    <w:rsid w:val="00C75E81"/>
    <w:rsid w:val="00C76847"/>
    <w:rsid w:val="00C77230"/>
    <w:rsid w:val="00C773E7"/>
    <w:rsid w:val="00C77DEF"/>
    <w:rsid w:val="00C80003"/>
    <w:rsid w:val="00C80BFC"/>
    <w:rsid w:val="00C80F35"/>
    <w:rsid w:val="00C811AE"/>
    <w:rsid w:val="00C814B0"/>
    <w:rsid w:val="00C818E8"/>
    <w:rsid w:val="00C81F19"/>
    <w:rsid w:val="00C82273"/>
    <w:rsid w:val="00C82526"/>
    <w:rsid w:val="00C83BB6"/>
    <w:rsid w:val="00C83EEB"/>
    <w:rsid w:val="00C84C61"/>
    <w:rsid w:val="00C8549D"/>
    <w:rsid w:val="00C86609"/>
    <w:rsid w:val="00C86A45"/>
    <w:rsid w:val="00C8722C"/>
    <w:rsid w:val="00C9051A"/>
    <w:rsid w:val="00C90A1F"/>
    <w:rsid w:val="00C9284E"/>
    <w:rsid w:val="00C92B4C"/>
    <w:rsid w:val="00C930EF"/>
    <w:rsid w:val="00C943CD"/>
    <w:rsid w:val="00C94479"/>
    <w:rsid w:val="00C94AF2"/>
    <w:rsid w:val="00C954F6"/>
    <w:rsid w:val="00C95601"/>
    <w:rsid w:val="00CA0025"/>
    <w:rsid w:val="00CA053A"/>
    <w:rsid w:val="00CA0C51"/>
    <w:rsid w:val="00CA2DFF"/>
    <w:rsid w:val="00CA2E71"/>
    <w:rsid w:val="00CA2FB0"/>
    <w:rsid w:val="00CA36A0"/>
    <w:rsid w:val="00CA514B"/>
    <w:rsid w:val="00CA59E9"/>
    <w:rsid w:val="00CA5B7A"/>
    <w:rsid w:val="00CA5C2D"/>
    <w:rsid w:val="00CA5C87"/>
    <w:rsid w:val="00CA6BAF"/>
    <w:rsid w:val="00CA6BC5"/>
    <w:rsid w:val="00CA70C0"/>
    <w:rsid w:val="00CA79A4"/>
    <w:rsid w:val="00CA7DC2"/>
    <w:rsid w:val="00CB02D5"/>
    <w:rsid w:val="00CB03BB"/>
    <w:rsid w:val="00CB0C3A"/>
    <w:rsid w:val="00CB1326"/>
    <w:rsid w:val="00CB14E4"/>
    <w:rsid w:val="00CB1C9D"/>
    <w:rsid w:val="00CB2A79"/>
    <w:rsid w:val="00CB2CBF"/>
    <w:rsid w:val="00CB59D2"/>
    <w:rsid w:val="00CC138B"/>
    <w:rsid w:val="00CC2B54"/>
    <w:rsid w:val="00CC2FF8"/>
    <w:rsid w:val="00CC3041"/>
    <w:rsid w:val="00CC391B"/>
    <w:rsid w:val="00CC47D5"/>
    <w:rsid w:val="00CC571B"/>
    <w:rsid w:val="00CC5ABA"/>
    <w:rsid w:val="00CC61CD"/>
    <w:rsid w:val="00CC66EA"/>
    <w:rsid w:val="00CC6AB1"/>
    <w:rsid w:val="00CC6BE2"/>
    <w:rsid w:val="00CC6C02"/>
    <w:rsid w:val="00CC737B"/>
    <w:rsid w:val="00CD03C1"/>
    <w:rsid w:val="00CD2BA2"/>
    <w:rsid w:val="00CD3085"/>
    <w:rsid w:val="00CD41D6"/>
    <w:rsid w:val="00CD4761"/>
    <w:rsid w:val="00CD4BF8"/>
    <w:rsid w:val="00CD4E6F"/>
    <w:rsid w:val="00CD5011"/>
    <w:rsid w:val="00CD516E"/>
    <w:rsid w:val="00CD5ACC"/>
    <w:rsid w:val="00CD5ACF"/>
    <w:rsid w:val="00CD718C"/>
    <w:rsid w:val="00CD7E47"/>
    <w:rsid w:val="00CE0800"/>
    <w:rsid w:val="00CE0930"/>
    <w:rsid w:val="00CE0C8A"/>
    <w:rsid w:val="00CE13CE"/>
    <w:rsid w:val="00CE2E13"/>
    <w:rsid w:val="00CE3E1F"/>
    <w:rsid w:val="00CE5C8D"/>
    <w:rsid w:val="00CE640F"/>
    <w:rsid w:val="00CE76BC"/>
    <w:rsid w:val="00CF1103"/>
    <w:rsid w:val="00CF1695"/>
    <w:rsid w:val="00CF19C3"/>
    <w:rsid w:val="00CF1B7B"/>
    <w:rsid w:val="00CF209C"/>
    <w:rsid w:val="00CF410A"/>
    <w:rsid w:val="00CF478B"/>
    <w:rsid w:val="00CF540E"/>
    <w:rsid w:val="00CF5941"/>
    <w:rsid w:val="00CF5EFC"/>
    <w:rsid w:val="00CF609D"/>
    <w:rsid w:val="00CF627A"/>
    <w:rsid w:val="00D01A29"/>
    <w:rsid w:val="00D021DD"/>
    <w:rsid w:val="00D02D65"/>
    <w:rsid w:val="00D02F07"/>
    <w:rsid w:val="00D03249"/>
    <w:rsid w:val="00D03719"/>
    <w:rsid w:val="00D04BA3"/>
    <w:rsid w:val="00D05CB8"/>
    <w:rsid w:val="00D06060"/>
    <w:rsid w:val="00D0629D"/>
    <w:rsid w:val="00D11970"/>
    <w:rsid w:val="00D11C97"/>
    <w:rsid w:val="00D125D6"/>
    <w:rsid w:val="00D12729"/>
    <w:rsid w:val="00D151C8"/>
    <w:rsid w:val="00D15D88"/>
    <w:rsid w:val="00D15E3E"/>
    <w:rsid w:val="00D160E0"/>
    <w:rsid w:val="00D161B2"/>
    <w:rsid w:val="00D17A7C"/>
    <w:rsid w:val="00D205AC"/>
    <w:rsid w:val="00D2126E"/>
    <w:rsid w:val="00D215B5"/>
    <w:rsid w:val="00D21BB5"/>
    <w:rsid w:val="00D22A25"/>
    <w:rsid w:val="00D23C16"/>
    <w:rsid w:val="00D243BA"/>
    <w:rsid w:val="00D245A8"/>
    <w:rsid w:val="00D2496C"/>
    <w:rsid w:val="00D25275"/>
    <w:rsid w:val="00D25839"/>
    <w:rsid w:val="00D2699B"/>
    <w:rsid w:val="00D26E03"/>
    <w:rsid w:val="00D27D49"/>
    <w:rsid w:val="00D27EBE"/>
    <w:rsid w:val="00D30EA7"/>
    <w:rsid w:val="00D32A3A"/>
    <w:rsid w:val="00D32C8B"/>
    <w:rsid w:val="00D341EE"/>
    <w:rsid w:val="00D346C3"/>
    <w:rsid w:val="00D36A49"/>
    <w:rsid w:val="00D37B5E"/>
    <w:rsid w:val="00D37DE2"/>
    <w:rsid w:val="00D41EFC"/>
    <w:rsid w:val="00D43BF8"/>
    <w:rsid w:val="00D45A1C"/>
    <w:rsid w:val="00D460CF"/>
    <w:rsid w:val="00D46F91"/>
    <w:rsid w:val="00D47DC7"/>
    <w:rsid w:val="00D47EF8"/>
    <w:rsid w:val="00D5080C"/>
    <w:rsid w:val="00D517C6"/>
    <w:rsid w:val="00D52CA5"/>
    <w:rsid w:val="00D532F2"/>
    <w:rsid w:val="00D53C11"/>
    <w:rsid w:val="00D57073"/>
    <w:rsid w:val="00D5769C"/>
    <w:rsid w:val="00D66697"/>
    <w:rsid w:val="00D66CA6"/>
    <w:rsid w:val="00D66F24"/>
    <w:rsid w:val="00D70E16"/>
    <w:rsid w:val="00D71423"/>
    <w:rsid w:val="00D71935"/>
    <w:rsid w:val="00D71D84"/>
    <w:rsid w:val="00D72464"/>
    <w:rsid w:val="00D727BA"/>
    <w:rsid w:val="00D72A57"/>
    <w:rsid w:val="00D73551"/>
    <w:rsid w:val="00D7371A"/>
    <w:rsid w:val="00D73908"/>
    <w:rsid w:val="00D749C5"/>
    <w:rsid w:val="00D74CD4"/>
    <w:rsid w:val="00D75A3F"/>
    <w:rsid w:val="00D75EAA"/>
    <w:rsid w:val="00D760DE"/>
    <w:rsid w:val="00D7631C"/>
    <w:rsid w:val="00D768EB"/>
    <w:rsid w:val="00D76F16"/>
    <w:rsid w:val="00D77B60"/>
    <w:rsid w:val="00D80414"/>
    <w:rsid w:val="00D80594"/>
    <w:rsid w:val="00D81490"/>
    <w:rsid w:val="00D81BB1"/>
    <w:rsid w:val="00D81E17"/>
    <w:rsid w:val="00D81F50"/>
    <w:rsid w:val="00D82D1E"/>
    <w:rsid w:val="00D82E4B"/>
    <w:rsid w:val="00D832D9"/>
    <w:rsid w:val="00D835F0"/>
    <w:rsid w:val="00D83E1A"/>
    <w:rsid w:val="00D8615A"/>
    <w:rsid w:val="00D87116"/>
    <w:rsid w:val="00D871F3"/>
    <w:rsid w:val="00D9025E"/>
    <w:rsid w:val="00D908F9"/>
    <w:rsid w:val="00D90F00"/>
    <w:rsid w:val="00D930D2"/>
    <w:rsid w:val="00D96804"/>
    <w:rsid w:val="00D975C0"/>
    <w:rsid w:val="00DA06E4"/>
    <w:rsid w:val="00DA1847"/>
    <w:rsid w:val="00DA1C57"/>
    <w:rsid w:val="00DA233B"/>
    <w:rsid w:val="00DA284F"/>
    <w:rsid w:val="00DA2BD5"/>
    <w:rsid w:val="00DA47B5"/>
    <w:rsid w:val="00DA5285"/>
    <w:rsid w:val="00DA54FD"/>
    <w:rsid w:val="00DA70D1"/>
    <w:rsid w:val="00DA7C9C"/>
    <w:rsid w:val="00DB10D0"/>
    <w:rsid w:val="00DB1311"/>
    <w:rsid w:val="00DB191D"/>
    <w:rsid w:val="00DB1F3F"/>
    <w:rsid w:val="00DB2147"/>
    <w:rsid w:val="00DB25BB"/>
    <w:rsid w:val="00DB3036"/>
    <w:rsid w:val="00DB31AC"/>
    <w:rsid w:val="00DB32AD"/>
    <w:rsid w:val="00DB4F91"/>
    <w:rsid w:val="00DB6D0A"/>
    <w:rsid w:val="00DB755E"/>
    <w:rsid w:val="00DB7B0C"/>
    <w:rsid w:val="00DB7DAA"/>
    <w:rsid w:val="00DB7E8F"/>
    <w:rsid w:val="00DC06BE"/>
    <w:rsid w:val="00DC0F11"/>
    <w:rsid w:val="00DC1062"/>
    <w:rsid w:val="00DC1968"/>
    <w:rsid w:val="00DC1F0F"/>
    <w:rsid w:val="00DC262B"/>
    <w:rsid w:val="00DC3117"/>
    <w:rsid w:val="00DC3A3E"/>
    <w:rsid w:val="00DC4E2A"/>
    <w:rsid w:val="00DC5028"/>
    <w:rsid w:val="00DC5DD9"/>
    <w:rsid w:val="00DC6189"/>
    <w:rsid w:val="00DC6D2D"/>
    <w:rsid w:val="00DD00E1"/>
    <w:rsid w:val="00DD0A18"/>
    <w:rsid w:val="00DD0E9F"/>
    <w:rsid w:val="00DD195A"/>
    <w:rsid w:val="00DD2178"/>
    <w:rsid w:val="00DD2561"/>
    <w:rsid w:val="00DD299B"/>
    <w:rsid w:val="00DD2EF4"/>
    <w:rsid w:val="00DD37D4"/>
    <w:rsid w:val="00DD4E59"/>
    <w:rsid w:val="00DD52DD"/>
    <w:rsid w:val="00DD542C"/>
    <w:rsid w:val="00DD5C9A"/>
    <w:rsid w:val="00DD607E"/>
    <w:rsid w:val="00DD65CE"/>
    <w:rsid w:val="00DD6D79"/>
    <w:rsid w:val="00DE078B"/>
    <w:rsid w:val="00DE0A02"/>
    <w:rsid w:val="00DE33B5"/>
    <w:rsid w:val="00DE3710"/>
    <w:rsid w:val="00DE5477"/>
    <w:rsid w:val="00DE5800"/>
    <w:rsid w:val="00DE5E18"/>
    <w:rsid w:val="00DE6E6C"/>
    <w:rsid w:val="00DE7493"/>
    <w:rsid w:val="00DE7E79"/>
    <w:rsid w:val="00DF0487"/>
    <w:rsid w:val="00DF0517"/>
    <w:rsid w:val="00DF06EF"/>
    <w:rsid w:val="00DF5EA4"/>
    <w:rsid w:val="00DF7252"/>
    <w:rsid w:val="00DF7A71"/>
    <w:rsid w:val="00DF7C55"/>
    <w:rsid w:val="00E00109"/>
    <w:rsid w:val="00E007ED"/>
    <w:rsid w:val="00E00EC5"/>
    <w:rsid w:val="00E0138B"/>
    <w:rsid w:val="00E0193F"/>
    <w:rsid w:val="00E01998"/>
    <w:rsid w:val="00E02681"/>
    <w:rsid w:val="00E02792"/>
    <w:rsid w:val="00E028C5"/>
    <w:rsid w:val="00E034D8"/>
    <w:rsid w:val="00E04072"/>
    <w:rsid w:val="00E04467"/>
    <w:rsid w:val="00E04CC0"/>
    <w:rsid w:val="00E055ED"/>
    <w:rsid w:val="00E0659F"/>
    <w:rsid w:val="00E067D2"/>
    <w:rsid w:val="00E06A32"/>
    <w:rsid w:val="00E11070"/>
    <w:rsid w:val="00E11135"/>
    <w:rsid w:val="00E128F4"/>
    <w:rsid w:val="00E136CD"/>
    <w:rsid w:val="00E139D0"/>
    <w:rsid w:val="00E14D35"/>
    <w:rsid w:val="00E14D55"/>
    <w:rsid w:val="00E14FF6"/>
    <w:rsid w:val="00E152A4"/>
    <w:rsid w:val="00E1543F"/>
    <w:rsid w:val="00E154B7"/>
    <w:rsid w:val="00E15816"/>
    <w:rsid w:val="00E160D5"/>
    <w:rsid w:val="00E16D0F"/>
    <w:rsid w:val="00E17098"/>
    <w:rsid w:val="00E2141A"/>
    <w:rsid w:val="00E22B0B"/>
    <w:rsid w:val="00E236EE"/>
    <w:rsid w:val="00E239FF"/>
    <w:rsid w:val="00E2474F"/>
    <w:rsid w:val="00E24FCF"/>
    <w:rsid w:val="00E25339"/>
    <w:rsid w:val="00E25A65"/>
    <w:rsid w:val="00E27D7B"/>
    <w:rsid w:val="00E30556"/>
    <w:rsid w:val="00E307AE"/>
    <w:rsid w:val="00E307F9"/>
    <w:rsid w:val="00E30981"/>
    <w:rsid w:val="00E310D3"/>
    <w:rsid w:val="00E33136"/>
    <w:rsid w:val="00E33515"/>
    <w:rsid w:val="00E34A55"/>
    <w:rsid w:val="00E34D7C"/>
    <w:rsid w:val="00E34DEA"/>
    <w:rsid w:val="00E35615"/>
    <w:rsid w:val="00E36B08"/>
    <w:rsid w:val="00E3723D"/>
    <w:rsid w:val="00E37DEC"/>
    <w:rsid w:val="00E402BE"/>
    <w:rsid w:val="00E406CC"/>
    <w:rsid w:val="00E41C08"/>
    <w:rsid w:val="00E42A06"/>
    <w:rsid w:val="00E4441C"/>
    <w:rsid w:val="00E44C11"/>
    <w:rsid w:val="00E44C89"/>
    <w:rsid w:val="00E457A6"/>
    <w:rsid w:val="00E45A21"/>
    <w:rsid w:val="00E45F05"/>
    <w:rsid w:val="00E45F93"/>
    <w:rsid w:val="00E466EA"/>
    <w:rsid w:val="00E46CA8"/>
    <w:rsid w:val="00E473C5"/>
    <w:rsid w:val="00E479A1"/>
    <w:rsid w:val="00E50397"/>
    <w:rsid w:val="00E5049E"/>
    <w:rsid w:val="00E50581"/>
    <w:rsid w:val="00E53053"/>
    <w:rsid w:val="00E53490"/>
    <w:rsid w:val="00E548EA"/>
    <w:rsid w:val="00E54F9E"/>
    <w:rsid w:val="00E550E1"/>
    <w:rsid w:val="00E56BD0"/>
    <w:rsid w:val="00E57055"/>
    <w:rsid w:val="00E60B24"/>
    <w:rsid w:val="00E61BA2"/>
    <w:rsid w:val="00E61DEA"/>
    <w:rsid w:val="00E62813"/>
    <w:rsid w:val="00E63864"/>
    <w:rsid w:val="00E63E0A"/>
    <w:rsid w:val="00E6403F"/>
    <w:rsid w:val="00E6443D"/>
    <w:rsid w:val="00E64602"/>
    <w:rsid w:val="00E666AF"/>
    <w:rsid w:val="00E67E03"/>
    <w:rsid w:val="00E703FE"/>
    <w:rsid w:val="00E70F60"/>
    <w:rsid w:val="00E7383D"/>
    <w:rsid w:val="00E74C27"/>
    <w:rsid w:val="00E75451"/>
    <w:rsid w:val="00E75EA9"/>
    <w:rsid w:val="00E76AD6"/>
    <w:rsid w:val="00E770C4"/>
    <w:rsid w:val="00E779E1"/>
    <w:rsid w:val="00E81F70"/>
    <w:rsid w:val="00E82751"/>
    <w:rsid w:val="00E8339B"/>
    <w:rsid w:val="00E83CEF"/>
    <w:rsid w:val="00E849A7"/>
    <w:rsid w:val="00E84C5A"/>
    <w:rsid w:val="00E861DB"/>
    <w:rsid w:val="00E86E4F"/>
    <w:rsid w:val="00E87BF8"/>
    <w:rsid w:val="00E908F1"/>
    <w:rsid w:val="00E9198F"/>
    <w:rsid w:val="00E91C70"/>
    <w:rsid w:val="00E93406"/>
    <w:rsid w:val="00E9340F"/>
    <w:rsid w:val="00E94547"/>
    <w:rsid w:val="00E94C65"/>
    <w:rsid w:val="00E956C5"/>
    <w:rsid w:val="00E95B44"/>
    <w:rsid w:val="00E95C39"/>
    <w:rsid w:val="00E970AC"/>
    <w:rsid w:val="00EA2C39"/>
    <w:rsid w:val="00EA350D"/>
    <w:rsid w:val="00EA3EA1"/>
    <w:rsid w:val="00EA46DB"/>
    <w:rsid w:val="00EB0A3C"/>
    <w:rsid w:val="00EB0A96"/>
    <w:rsid w:val="00EB0E37"/>
    <w:rsid w:val="00EB2A09"/>
    <w:rsid w:val="00EB3158"/>
    <w:rsid w:val="00EB3F77"/>
    <w:rsid w:val="00EB70CD"/>
    <w:rsid w:val="00EB77F9"/>
    <w:rsid w:val="00EB7ACC"/>
    <w:rsid w:val="00EB7B1D"/>
    <w:rsid w:val="00EC176F"/>
    <w:rsid w:val="00EC190B"/>
    <w:rsid w:val="00EC20E2"/>
    <w:rsid w:val="00EC3265"/>
    <w:rsid w:val="00EC344A"/>
    <w:rsid w:val="00EC3DCF"/>
    <w:rsid w:val="00EC4B17"/>
    <w:rsid w:val="00EC4F5D"/>
    <w:rsid w:val="00EC550A"/>
    <w:rsid w:val="00EC5769"/>
    <w:rsid w:val="00EC73A2"/>
    <w:rsid w:val="00EC772C"/>
    <w:rsid w:val="00EC7847"/>
    <w:rsid w:val="00EC787C"/>
    <w:rsid w:val="00EC79B5"/>
    <w:rsid w:val="00EC7D00"/>
    <w:rsid w:val="00EC7EDC"/>
    <w:rsid w:val="00ED0304"/>
    <w:rsid w:val="00ED0ADD"/>
    <w:rsid w:val="00ED0D3F"/>
    <w:rsid w:val="00ED1EB8"/>
    <w:rsid w:val="00ED1F6F"/>
    <w:rsid w:val="00ED3566"/>
    <w:rsid w:val="00ED3EBE"/>
    <w:rsid w:val="00ED406B"/>
    <w:rsid w:val="00ED4D3F"/>
    <w:rsid w:val="00ED4FF7"/>
    <w:rsid w:val="00ED5B7B"/>
    <w:rsid w:val="00ED7E3A"/>
    <w:rsid w:val="00EE0C6B"/>
    <w:rsid w:val="00EE38FA"/>
    <w:rsid w:val="00EE3E2C"/>
    <w:rsid w:val="00EE4055"/>
    <w:rsid w:val="00EE462B"/>
    <w:rsid w:val="00EE5D23"/>
    <w:rsid w:val="00EE750D"/>
    <w:rsid w:val="00EE7953"/>
    <w:rsid w:val="00EE7E20"/>
    <w:rsid w:val="00EF34C4"/>
    <w:rsid w:val="00EF3CA4"/>
    <w:rsid w:val="00EF49A8"/>
    <w:rsid w:val="00EF56B6"/>
    <w:rsid w:val="00EF5700"/>
    <w:rsid w:val="00EF5AF9"/>
    <w:rsid w:val="00EF6094"/>
    <w:rsid w:val="00EF6DBC"/>
    <w:rsid w:val="00EF74BB"/>
    <w:rsid w:val="00EF7859"/>
    <w:rsid w:val="00F014DA"/>
    <w:rsid w:val="00F0196E"/>
    <w:rsid w:val="00F02591"/>
    <w:rsid w:val="00F02891"/>
    <w:rsid w:val="00F02DED"/>
    <w:rsid w:val="00F03818"/>
    <w:rsid w:val="00F040EE"/>
    <w:rsid w:val="00F042AC"/>
    <w:rsid w:val="00F052EC"/>
    <w:rsid w:val="00F05331"/>
    <w:rsid w:val="00F07290"/>
    <w:rsid w:val="00F07B65"/>
    <w:rsid w:val="00F10638"/>
    <w:rsid w:val="00F1082D"/>
    <w:rsid w:val="00F11368"/>
    <w:rsid w:val="00F11D26"/>
    <w:rsid w:val="00F11F52"/>
    <w:rsid w:val="00F12F1A"/>
    <w:rsid w:val="00F135D3"/>
    <w:rsid w:val="00F13987"/>
    <w:rsid w:val="00F149EE"/>
    <w:rsid w:val="00F15B34"/>
    <w:rsid w:val="00F15BEA"/>
    <w:rsid w:val="00F210FA"/>
    <w:rsid w:val="00F229C4"/>
    <w:rsid w:val="00F22C9A"/>
    <w:rsid w:val="00F22E07"/>
    <w:rsid w:val="00F23728"/>
    <w:rsid w:val="00F24A30"/>
    <w:rsid w:val="00F24BDC"/>
    <w:rsid w:val="00F26C4E"/>
    <w:rsid w:val="00F2702C"/>
    <w:rsid w:val="00F272EA"/>
    <w:rsid w:val="00F27D07"/>
    <w:rsid w:val="00F30AE1"/>
    <w:rsid w:val="00F31E87"/>
    <w:rsid w:val="00F33752"/>
    <w:rsid w:val="00F35B69"/>
    <w:rsid w:val="00F36225"/>
    <w:rsid w:val="00F36949"/>
    <w:rsid w:val="00F41087"/>
    <w:rsid w:val="00F422C1"/>
    <w:rsid w:val="00F42B30"/>
    <w:rsid w:val="00F42CD9"/>
    <w:rsid w:val="00F43199"/>
    <w:rsid w:val="00F43DBD"/>
    <w:rsid w:val="00F44057"/>
    <w:rsid w:val="00F45E4E"/>
    <w:rsid w:val="00F461A7"/>
    <w:rsid w:val="00F467EC"/>
    <w:rsid w:val="00F476B4"/>
    <w:rsid w:val="00F47A1F"/>
    <w:rsid w:val="00F52221"/>
    <w:rsid w:val="00F536C0"/>
    <w:rsid w:val="00F53D8B"/>
    <w:rsid w:val="00F546CA"/>
    <w:rsid w:val="00F547E0"/>
    <w:rsid w:val="00F54ADF"/>
    <w:rsid w:val="00F557F3"/>
    <w:rsid w:val="00F568CA"/>
    <w:rsid w:val="00F5694E"/>
    <w:rsid w:val="00F5696E"/>
    <w:rsid w:val="00F56C52"/>
    <w:rsid w:val="00F56D85"/>
    <w:rsid w:val="00F57348"/>
    <w:rsid w:val="00F60DEF"/>
    <w:rsid w:val="00F60EFF"/>
    <w:rsid w:val="00F61160"/>
    <w:rsid w:val="00F615BC"/>
    <w:rsid w:val="00F64CE0"/>
    <w:rsid w:val="00F64ECC"/>
    <w:rsid w:val="00F64FA5"/>
    <w:rsid w:val="00F65302"/>
    <w:rsid w:val="00F65586"/>
    <w:rsid w:val="00F67D2D"/>
    <w:rsid w:val="00F70EFC"/>
    <w:rsid w:val="00F73CB1"/>
    <w:rsid w:val="00F74006"/>
    <w:rsid w:val="00F7425D"/>
    <w:rsid w:val="00F74273"/>
    <w:rsid w:val="00F74A23"/>
    <w:rsid w:val="00F7582B"/>
    <w:rsid w:val="00F76AE9"/>
    <w:rsid w:val="00F76D40"/>
    <w:rsid w:val="00F77D5C"/>
    <w:rsid w:val="00F837D9"/>
    <w:rsid w:val="00F8494D"/>
    <w:rsid w:val="00F858F2"/>
    <w:rsid w:val="00F860CC"/>
    <w:rsid w:val="00F910E0"/>
    <w:rsid w:val="00F93E71"/>
    <w:rsid w:val="00F94398"/>
    <w:rsid w:val="00F96702"/>
    <w:rsid w:val="00F97385"/>
    <w:rsid w:val="00F97671"/>
    <w:rsid w:val="00FA06B7"/>
    <w:rsid w:val="00FA151B"/>
    <w:rsid w:val="00FA2DF3"/>
    <w:rsid w:val="00FA3B3E"/>
    <w:rsid w:val="00FA4CD8"/>
    <w:rsid w:val="00FA579F"/>
    <w:rsid w:val="00FA62F5"/>
    <w:rsid w:val="00FA6384"/>
    <w:rsid w:val="00FA65D0"/>
    <w:rsid w:val="00FA6C4A"/>
    <w:rsid w:val="00FA7F47"/>
    <w:rsid w:val="00FB0D72"/>
    <w:rsid w:val="00FB179D"/>
    <w:rsid w:val="00FB1C07"/>
    <w:rsid w:val="00FB25C7"/>
    <w:rsid w:val="00FB2B56"/>
    <w:rsid w:val="00FB2F9D"/>
    <w:rsid w:val="00FB3597"/>
    <w:rsid w:val="00FB3BAB"/>
    <w:rsid w:val="00FB3DD3"/>
    <w:rsid w:val="00FB421D"/>
    <w:rsid w:val="00FB42BB"/>
    <w:rsid w:val="00FB546E"/>
    <w:rsid w:val="00FB55D5"/>
    <w:rsid w:val="00FB56FB"/>
    <w:rsid w:val="00FB7050"/>
    <w:rsid w:val="00FC1199"/>
    <w:rsid w:val="00FC12BF"/>
    <w:rsid w:val="00FC14AF"/>
    <w:rsid w:val="00FC1C1E"/>
    <w:rsid w:val="00FC2A30"/>
    <w:rsid w:val="00FC2A7E"/>
    <w:rsid w:val="00FC2C60"/>
    <w:rsid w:val="00FC2CBB"/>
    <w:rsid w:val="00FC36F0"/>
    <w:rsid w:val="00FC3C7C"/>
    <w:rsid w:val="00FC3E5E"/>
    <w:rsid w:val="00FC4343"/>
    <w:rsid w:val="00FC4B23"/>
    <w:rsid w:val="00FC5984"/>
    <w:rsid w:val="00FC76F5"/>
    <w:rsid w:val="00FC7A11"/>
    <w:rsid w:val="00FC7E1D"/>
    <w:rsid w:val="00FD1179"/>
    <w:rsid w:val="00FD1359"/>
    <w:rsid w:val="00FD2204"/>
    <w:rsid w:val="00FD2D59"/>
    <w:rsid w:val="00FD3E6F"/>
    <w:rsid w:val="00FD4BEF"/>
    <w:rsid w:val="00FD51B9"/>
    <w:rsid w:val="00FD5446"/>
    <w:rsid w:val="00FD5849"/>
    <w:rsid w:val="00FD5ABC"/>
    <w:rsid w:val="00FE03E4"/>
    <w:rsid w:val="00FE0439"/>
    <w:rsid w:val="00FE1FFB"/>
    <w:rsid w:val="00FE23AD"/>
    <w:rsid w:val="00FE2A39"/>
    <w:rsid w:val="00FE3D8D"/>
    <w:rsid w:val="00FE4F68"/>
    <w:rsid w:val="00FE5107"/>
    <w:rsid w:val="00FE73C2"/>
    <w:rsid w:val="00FF04FE"/>
    <w:rsid w:val="00FF2916"/>
    <w:rsid w:val="00FF39CF"/>
    <w:rsid w:val="00FF5B52"/>
    <w:rsid w:val="00FF6B1C"/>
    <w:rsid w:val="00FF6F32"/>
    <w:rsid w:val="00FF7159"/>
    <w:rsid w:val="00FF7580"/>
    <w:rsid w:val="00FF792F"/>
    <w:rsid w:val="00FF7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D007DD"/>
  <w14:defaultImageDpi w14:val="330"/>
  <w15:docId w15:val="{B790BB2D-4E6B-4D19-B804-034E001B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1F2C24"/>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styleId="PlainTable4">
    <w:name w:val="Plain Table 4"/>
    <w:basedOn w:val="TableNormal"/>
    <w:uiPriority w:val="44"/>
    <w:rsid w:val="00482D1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7632F1"/>
    <w:pPr>
      <w:spacing w:after="0"/>
    </w:pPr>
    <w:rPr>
      <w:sz w:val="20"/>
      <w:szCs w:val="20"/>
    </w:rPr>
  </w:style>
  <w:style w:type="character" w:customStyle="1" w:styleId="FootnoteTextChar">
    <w:name w:val="Footnote Text Char"/>
    <w:basedOn w:val="DefaultParagraphFont"/>
    <w:link w:val="FootnoteText"/>
    <w:uiPriority w:val="99"/>
    <w:semiHidden/>
    <w:rsid w:val="007632F1"/>
    <w:rPr>
      <w:rFonts w:ascii="Lato" w:hAnsi="Lato"/>
      <w:sz w:val="20"/>
      <w:szCs w:val="20"/>
    </w:rPr>
  </w:style>
  <w:style w:type="character" w:styleId="FootnoteReference">
    <w:name w:val="footnote reference"/>
    <w:basedOn w:val="DefaultParagraphFont"/>
    <w:uiPriority w:val="99"/>
    <w:semiHidden/>
    <w:unhideWhenUsed/>
    <w:rsid w:val="007632F1"/>
    <w:rPr>
      <w:vertAlign w:val="superscript"/>
    </w:rPr>
  </w:style>
  <w:style w:type="character" w:styleId="CommentReference">
    <w:name w:val="annotation reference"/>
    <w:basedOn w:val="DefaultParagraphFont"/>
    <w:uiPriority w:val="99"/>
    <w:semiHidden/>
    <w:unhideWhenUsed/>
    <w:rsid w:val="00F422C1"/>
    <w:rPr>
      <w:sz w:val="16"/>
      <w:szCs w:val="16"/>
    </w:rPr>
  </w:style>
  <w:style w:type="paragraph" w:styleId="CommentText">
    <w:name w:val="annotation text"/>
    <w:basedOn w:val="Normal"/>
    <w:link w:val="CommentTextChar"/>
    <w:uiPriority w:val="99"/>
    <w:semiHidden/>
    <w:unhideWhenUsed/>
    <w:rsid w:val="00F422C1"/>
    <w:rPr>
      <w:sz w:val="20"/>
      <w:szCs w:val="20"/>
    </w:rPr>
  </w:style>
  <w:style w:type="character" w:customStyle="1" w:styleId="CommentTextChar">
    <w:name w:val="Comment Text Char"/>
    <w:basedOn w:val="DefaultParagraphFont"/>
    <w:link w:val="CommentText"/>
    <w:uiPriority w:val="99"/>
    <w:semiHidden/>
    <w:rsid w:val="00F422C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422C1"/>
    <w:rPr>
      <w:b/>
      <w:bCs/>
    </w:rPr>
  </w:style>
  <w:style w:type="character" w:customStyle="1" w:styleId="CommentSubjectChar">
    <w:name w:val="Comment Subject Char"/>
    <w:basedOn w:val="CommentTextChar"/>
    <w:link w:val="CommentSubject"/>
    <w:uiPriority w:val="99"/>
    <w:semiHidden/>
    <w:rsid w:val="00F422C1"/>
    <w:rPr>
      <w:rFonts w:ascii="Lato" w:hAnsi="Lato"/>
      <w:b/>
      <w:bCs/>
      <w:sz w:val="20"/>
      <w:szCs w:val="20"/>
    </w:rPr>
  </w:style>
  <w:style w:type="paragraph" w:styleId="Revision">
    <w:name w:val="Revision"/>
    <w:hidden/>
    <w:uiPriority w:val="99"/>
    <w:semiHidden/>
    <w:rsid w:val="00632449"/>
    <w:pPr>
      <w:spacing w:after="0"/>
    </w:pPr>
    <w:rPr>
      <w:rFonts w:ascii="Lato" w:hAnsi="Lato"/>
    </w:rPr>
  </w:style>
  <w:style w:type="character" w:styleId="Emphasis">
    <w:name w:val="Emphasis"/>
    <w:basedOn w:val="DefaultParagraphFont"/>
    <w:uiPriority w:val="20"/>
    <w:qFormat/>
    <w:rsid w:val="005471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185">
      <w:bodyDiv w:val="1"/>
      <w:marLeft w:val="0"/>
      <w:marRight w:val="0"/>
      <w:marTop w:val="0"/>
      <w:marBottom w:val="0"/>
      <w:divBdr>
        <w:top w:val="none" w:sz="0" w:space="0" w:color="auto"/>
        <w:left w:val="none" w:sz="0" w:space="0" w:color="auto"/>
        <w:bottom w:val="none" w:sz="0" w:space="0" w:color="auto"/>
        <w:right w:val="none" w:sz="0" w:space="0" w:color="auto"/>
      </w:divBdr>
    </w:div>
    <w:div w:id="35932648">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55657989">
      <w:bodyDiv w:val="1"/>
      <w:marLeft w:val="0"/>
      <w:marRight w:val="0"/>
      <w:marTop w:val="0"/>
      <w:marBottom w:val="0"/>
      <w:divBdr>
        <w:top w:val="none" w:sz="0" w:space="0" w:color="auto"/>
        <w:left w:val="none" w:sz="0" w:space="0" w:color="auto"/>
        <w:bottom w:val="none" w:sz="0" w:space="0" w:color="auto"/>
        <w:right w:val="none" w:sz="0" w:space="0" w:color="auto"/>
      </w:divBdr>
    </w:div>
    <w:div w:id="322197383">
      <w:bodyDiv w:val="1"/>
      <w:marLeft w:val="0"/>
      <w:marRight w:val="0"/>
      <w:marTop w:val="0"/>
      <w:marBottom w:val="0"/>
      <w:divBdr>
        <w:top w:val="none" w:sz="0" w:space="0" w:color="auto"/>
        <w:left w:val="none" w:sz="0" w:space="0" w:color="auto"/>
        <w:bottom w:val="none" w:sz="0" w:space="0" w:color="auto"/>
        <w:right w:val="none" w:sz="0" w:space="0" w:color="auto"/>
      </w:divBdr>
    </w:div>
    <w:div w:id="461193654">
      <w:bodyDiv w:val="1"/>
      <w:marLeft w:val="0"/>
      <w:marRight w:val="0"/>
      <w:marTop w:val="0"/>
      <w:marBottom w:val="0"/>
      <w:divBdr>
        <w:top w:val="none" w:sz="0" w:space="0" w:color="auto"/>
        <w:left w:val="none" w:sz="0" w:space="0" w:color="auto"/>
        <w:bottom w:val="none" w:sz="0" w:space="0" w:color="auto"/>
        <w:right w:val="none" w:sz="0" w:space="0" w:color="auto"/>
      </w:divBdr>
    </w:div>
    <w:div w:id="474877858">
      <w:bodyDiv w:val="1"/>
      <w:marLeft w:val="0"/>
      <w:marRight w:val="0"/>
      <w:marTop w:val="0"/>
      <w:marBottom w:val="0"/>
      <w:divBdr>
        <w:top w:val="none" w:sz="0" w:space="0" w:color="auto"/>
        <w:left w:val="none" w:sz="0" w:space="0" w:color="auto"/>
        <w:bottom w:val="none" w:sz="0" w:space="0" w:color="auto"/>
        <w:right w:val="none" w:sz="0" w:space="0" w:color="auto"/>
      </w:divBdr>
    </w:div>
    <w:div w:id="515384822">
      <w:bodyDiv w:val="1"/>
      <w:marLeft w:val="0"/>
      <w:marRight w:val="0"/>
      <w:marTop w:val="0"/>
      <w:marBottom w:val="0"/>
      <w:divBdr>
        <w:top w:val="none" w:sz="0" w:space="0" w:color="auto"/>
        <w:left w:val="none" w:sz="0" w:space="0" w:color="auto"/>
        <w:bottom w:val="none" w:sz="0" w:space="0" w:color="auto"/>
        <w:right w:val="none" w:sz="0" w:space="0" w:color="auto"/>
      </w:divBdr>
    </w:div>
    <w:div w:id="643389988">
      <w:bodyDiv w:val="1"/>
      <w:marLeft w:val="0"/>
      <w:marRight w:val="0"/>
      <w:marTop w:val="0"/>
      <w:marBottom w:val="0"/>
      <w:divBdr>
        <w:top w:val="none" w:sz="0" w:space="0" w:color="auto"/>
        <w:left w:val="none" w:sz="0" w:space="0" w:color="auto"/>
        <w:bottom w:val="none" w:sz="0" w:space="0" w:color="auto"/>
        <w:right w:val="none" w:sz="0" w:space="0" w:color="auto"/>
      </w:divBdr>
    </w:div>
    <w:div w:id="662395597">
      <w:bodyDiv w:val="1"/>
      <w:marLeft w:val="0"/>
      <w:marRight w:val="0"/>
      <w:marTop w:val="0"/>
      <w:marBottom w:val="0"/>
      <w:divBdr>
        <w:top w:val="none" w:sz="0" w:space="0" w:color="auto"/>
        <w:left w:val="none" w:sz="0" w:space="0" w:color="auto"/>
        <w:bottom w:val="none" w:sz="0" w:space="0" w:color="auto"/>
        <w:right w:val="none" w:sz="0" w:space="0" w:color="auto"/>
      </w:divBdr>
    </w:div>
    <w:div w:id="853568637">
      <w:bodyDiv w:val="1"/>
      <w:marLeft w:val="0"/>
      <w:marRight w:val="0"/>
      <w:marTop w:val="0"/>
      <w:marBottom w:val="0"/>
      <w:divBdr>
        <w:top w:val="none" w:sz="0" w:space="0" w:color="auto"/>
        <w:left w:val="none" w:sz="0" w:space="0" w:color="auto"/>
        <w:bottom w:val="none" w:sz="0" w:space="0" w:color="auto"/>
        <w:right w:val="none" w:sz="0" w:space="0" w:color="auto"/>
      </w:divBdr>
    </w:div>
    <w:div w:id="881551336">
      <w:bodyDiv w:val="1"/>
      <w:marLeft w:val="0"/>
      <w:marRight w:val="0"/>
      <w:marTop w:val="0"/>
      <w:marBottom w:val="0"/>
      <w:divBdr>
        <w:top w:val="none" w:sz="0" w:space="0" w:color="auto"/>
        <w:left w:val="none" w:sz="0" w:space="0" w:color="auto"/>
        <w:bottom w:val="none" w:sz="0" w:space="0" w:color="auto"/>
        <w:right w:val="none" w:sz="0" w:space="0" w:color="auto"/>
      </w:divBdr>
    </w:div>
    <w:div w:id="1014839982">
      <w:bodyDiv w:val="1"/>
      <w:marLeft w:val="0"/>
      <w:marRight w:val="0"/>
      <w:marTop w:val="0"/>
      <w:marBottom w:val="0"/>
      <w:divBdr>
        <w:top w:val="none" w:sz="0" w:space="0" w:color="auto"/>
        <w:left w:val="none" w:sz="0" w:space="0" w:color="auto"/>
        <w:bottom w:val="none" w:sz="0" w:space="0" w:color="auto"/>
        <w:right w:val="none" w:sz="0" w:space="0" w:color="auto"/>
      </w:divBdr>
    </w:div>
    <w:div w:id="1014845395">
      <w:bodyDiv w:val="1"/>
      <w:marLeft w:val="0"/>
      <w:marRight w:val="0"/>
      <w:marTop w:val="0"/>
      <w:marBottom w:val="0"/>
      <w:divBdr>
        <w:top w:val="none" w:sz="0" w:space="0" w:color="auto"/>
        <w:left w:val="none" w:sz="0" w:space="0" w:color="auto"/>
        <w:bottom w:val="none" w:sz="0" w:space="0" w:color="auto"/>
        <w:right w:val="none" w:sz="0" w:space="0" w:color="auto"/>
      </w:divBdr>
    </w:div>
    <w:div w:id="1113406973">
      <w:bodyDiv w:val="1"/>
      <w:marLeft w:val="0"/>
      <w:marRight w:val="0"/>
      <w:marTop w:val="0"/>
      <w:marBottom w:val="0"/>
      <w:divBdr>
        <w:top w:val="none" w:sz="0" w:space="0" w:color="auto"/>
        <w:left w:val="none" w:sz="0" w:space="0" w:color="auto"/>
        <w:bottom w:val="none" w:sz="0" w:space="0" w:color="auto"/>
        <w:right w:val="none" w:sz="0" w:space="0" w:color="auto"/>
      </w:divBdr>
    </w:div>
    <w:div w:id="1130591392">
      <w:bodyDiv w:val="1"/>
      <w:marLeft w:val="0"/>
      <w:marRight w:val="0"/>
      <w:marTop w:val="0"/>
      <w:marBottom w:val="0"/>
      <w:divBdr>
        <w:top w:val="none" w:sz="0" w:space="0" w:color="auto"/>
        <w:left w:val="none" w:sz="0" w:space="0" w:color="auto"/>
        <w:bottom w:val="none" w:sz="0" w:space="0" w:color="auto"/>
        <w:right w:val="none" w:sz="0" w:space="0" w:color="auto"/>
      </w:divBdr>
    </w:div>
    <w:div w:id="1157720796">
      <w:bodyDiv w:val="1"/>
      <w:marLeft w:val="0"/>
      <w:marRight w:val="0"/>
      <w:marTop w:val="0"/>
      <w:marBottom w:val="0"/>
      <w:divBdr>
        <w:top w:val="none" w:sz="0" w:space="0" w:color="auto"/>
        <w:left w:val="none" w:sz="0" w:space="0" w:color="auto"/>
        <w:bottom w:val="none" w:sz="0" w:space="0" w:color="auto"/>
        <w:right w:val="none" w:sz="0" w:space="0" w:color="auto"/>
      </w:divBdr>
    </w:div>
    <w:div w:id="1260066482">
      <w:bodyDiv w:val="1"/>
      <w:marLeft w:val="0"/>
      <w:marRight w:val="0"/>
      <w:marTop w:val="0"/>
      <w:marBottom w:val="0"/>
      <w:divBdr>
        <w:top w:val="none" w:sz="0" w:space="0" w:color="auto"/>
        <w:left w:val="none" w:sz="0" w:space="0" w:color="auto"/>
        <w:bottom w:val="none" w:sz="0" w:space="0" w:color="auto"/>
        <w:right w:val="none" w:sz="0" w:space="0" w:color="auto"/>
      </w:divBdr>
    </w:div>
    <w:div w:id="1278223381">
      <w:bodyDiv w:val="1"/>
      <w:marLeft w:val="0"/>
      <w:marRight w:val="0"/>
      <w:marTop w:val="0"/>
      <w:marBottom w:val="0"/>
      <w:divBdr>
        <w:top w:val="none" w:sz="0" w:space="0" w:color="auto"/>
        <w:left w:val="none" w:sz="0" w:space="0" w:color="auto"/>
        <w:bottom w:val="none" w:sz="0" w:space="0" w:color="auto"/>
        <w:right w:val="none" w:sz="0" w:space="0" w:color="auto"/>
      </w:divBdr>
    </w:div>
    <w:div w:id="1331443788">
      <w:bodyDiv w:val="1"/>
      <w:marLeft w:val="0"/>
      <w:marRight w:val="0"/>
      <w:marTop w:val="0"/>
      <w:marBottom w:val="0"/>
      <w:divBdr>
        <w:top w:val="none" w:sz="0" w:space="0" w:color="auto"/>
        <w:left w:val="none" w:sz="0" w:space="0" w:color="auto"/>
        <w:bottom w:val="none" w:sz="0" w:space="0" w:color="auto"/>
        <w:right w:val="none" w:sz="0" w:space="0" w:color="auto"/>
      </w:divBdr>
    </w:div>
    <w:div w:id="1512261896">
      <w:bodyDiv w:val="1"/>
      <w:marLeft w:val="0"/>
      <w:marRight w:val="0"/>
      <w:marTop w:val="0"/>
      <w:marBottom w:val="0"/>
      <w:divBdr>
        <w:top w:val="none" w:sz="0" w:space="0" w:color="auto"/>
        <w:left w:val="none" w:sz="0" w:space="0" w:color="auto"/>
        <w:bottom w:val="none" w:sz="0" w:space="0" w:color="auto"/>
        <w:right w:val="none" w:sz="0" w:space="0" w:color="auto"/>
      </w:divBdr>
    </w:div>
    <w:div w:id="1698039390">
      <w:bodyDiv w:val="1"/>
      <w:marLeft w:val="0"/>
      <w:marRight w:val="0"/>
      <w:marTop w:val="0"/>
      <w:marBottom w:val="0"/>
      <w:divBdr>
        <w:top w:val="none" w:sz="0" w:space="0" w:color="auto"/>
        <w:left w:val="none" w:sz="0" w:space="0" w:color="auto"/>
        <w:bottom w:val="none" w:sz="0" w:space="0" w:color="auto"/>
        <w:right w:val="none" w:sz="0" w:space="0" w:color="auto"/>
      </w:divBdr>
    </w:div>
    <w:div w:id="171549717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81562699">
      <w:bodyDiv w:val="1"/>
      <w:marLeft w:val="0"/>
      <w:marRight w:val="0"/>
      <w:marTop w:val="0"/>
      <w:marBottom w:val="0"/>
      <w:divBdr>
        <w:top w:val="none" w:sz="0" w:space="0" w:color="auto"/>
        <w:left w:val="none" w:sz="0" w:space="0" w:color="auto"/>
        <w:bottom w:val="none" w:sz="0" w:space="0" w:color="auto"/>
        <w:right w:val="none" w:sz="0" w:space="0" w:color="auto"/>
      </w:divBdr>
    </w:div>
    <w:div w:id="1788739780">
      <w:bodyDiv w:val="1"/>
      <w:marLeft w:val="0"/>
      <w:marRight w:val="0"/>
      <w:marTop w:val="0"/>
      <w:marBottom w:val="0"/>
      <w:divBdr>
        <w:top w:val="none" w:sz="0" w:space="0" w:color="auto"/>
        <w:left w:val="none" w:sz="0" w:space="0" w:color="auto"/>
        <w:bottom w:val="none" w:sz="0" w:space="0" w:color="auto"/>
        <w:right w:val="none" w:sz="0" w:space="0" w:color="auto"/>
      </w:divBdr>
    </w:div>
    <w:div w:id="1797016855">
      <w:bodyDiv w:val="1"/>
      <w:marLeft w:val="0"/>
      <w:marRight w:val="0"/>
      <w:marTop w:val="0"/>
      <w:marBottom w:val="0"/>
      <w:divBdr>
        <w:top w:val="none" w:sz="0" w:space="0" w:color="auto"/>
        <w:left w:val="none" w:sz="0" w:space="0" w:color="auto"/>
        <w:bottom w:val="none" w:sz="0" w:space="0" w:color="auto"/>
        <w:right w:val="none" w:sz="0" w:space="0" w:color="auto"/>
      </w:divBdr>
    </w:div>
    <w:div w:id="2013792934">
      <w:bodyDiv w:val="1"/>
      <w:marLeft w:val="0"/>
      <w:marRight w:val="0"/>
      <w:marTop w:val="0"/>
      <w:marBottom w:val="0"/>
      <w:divBdr>
        <w:top w:val="none" w:sz="0" w:space="0" w:color="auto"/>
        <w:left w:val="none" w:sz="0" w:space="0" w:color="auto"/>
        <w:bottom w:val="none" w:sz="0" w:space="0" w:color="auto"/>
        <w:right w:val="none" w:sz="0" w:space="0" w:color="auto"/>
      </w:divBdr>
    </w:div>
    <w:div w:id="2015330057">
      <w:bodyDiv w:val="1"/>
      <w:marLeft w:val="0"/>
      <w:marRight w:val="0"/>
      <w:marTop w:val="0"/>
      <w:marBottom w:val="0"/>
      <w:divBdr>
        <w:top w:val="none" w:sz="0" w:space="0" w:color="auto"/>
        <w:left w:val="none" w:sz="0" w:space="0" w:color="auto"/>
        <w:bottom w:val="none" w:sz="0" w:space="0" w:color="auto"/>
        <w:right w:val="none" w:sz="0" w:space="0" w:color="auto"/>
      </w:divBdr>
    </w:div>
    <w:div w:id="2036225730">
      <w:bodyDiv w:val="1"/>
      <w:marLeft w:val="0"/>
      <w:marRight w:val="0"/>
      <w:marTop w:val="0"/>
      <w:marBottom w:val="0"/>
      <w:divBdr>
        <w:top w:val="none" w:sz="0" w:space="0" w:color="auto"/>
        <w:left w:val="none" w:sz="0" w:space="0" w:color="auto"/>
        <w:bottom w:val="none" w:sz="0" w:space="0" w:color="auto"/>
        <w:right w:val="none" w:sz="0" w:space="0" w:color="auto"/>
      </w:divBdr>
    </w:div>
    <w:div w:id="20500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AD43FD-23D0-431F-BA46-16FBAB2E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4164</TotalTime>
  <Pages>2</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State of the Economy – March Q 2024</vt:lpstr>
    </vt:vector>
  </TitlesOfParts>
  <Company>Industry, Tourism and Trade</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Economy – March Q 2024</dc:title>
  <dc:creator>Smriti Nair</dc:creator>
  <cp:lastModifiedBy>Babu Ram Pantha</cp:lastModifiedBy>
  <cp:revision>35</cp:revision>
  <cp:lastPrinted>2024-07-01T01:57:00Z</cp:lastPrinted>
  <dcterms:created xsi:type="dcterms:W3CDTF">2024-06-21T07:31:00Z</dcterms:created>
  <dcterms:modified xsi:type="dcterms:W3CDTF">2024-07-01T01:58:00Z</dcterms:modified>
</cp:coreProperties>
</file>