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533B2" w14:textId="77777777" w:rsidR="003C4941" w:rsidRDefault="00A7279C" w:rsidP="00E14D55">
      <w:pPr>
        <w:pStyle w:val="Heading1"/>
        <w:spacing w:before="0" w:after="60"/>
        <w:rPr>
          <w:noProof/>
          <w:lang w:eastAsia="en-AU"/>
        </w:rPr>
      </w:pPr>
      <w:r>
        <w:rPr>
          <w:noProof/>
          <w:lang w:eastAsia="en-AU"/>
        </w:rPr>
        <w:t>Overview</w:t>
      </w:r>
    </w:p>
    <w:p w14:paraId="25E84410" w14:textId="2A5CBA4D" w:rsidR="00C044EF" w:rsidRDefault="00EB70CD" w:rsidP="00826B71">
      <w:pPr>
        <w:spacing w:after="120"/>
        <w:rPr>
          <w:spacing w:val="-2"/>
          <w:sz w:val="21"/>
          <w:szCs w:val="21"/>
        </w:rPr>
      </w:pPr>
      <w:r>
        <w:rPr>
          <w:spacing w:val="-2"/>
          <w:sz w:val="21"/>
          <w:szCs w:val="21"/>
        </w:rPr>
        <w:t xml:space="preserve">State final demand (SFD) </w:t>
      </w:r>
      <w:r w:rsidR="00DF7A71">
        <w:rPr>
          <w:spacing w:val="-2"/>
          <w:sz w:val="21"/>
          <w:szCs w:val="21"/>
        </w:rPr>
        <w:t>declined by 1</w:t>
      </w:r>
      <w:r w:rsidR="00F5694E">
        <w:rPr>
          <w:spacing w:val="-2"/>
          <w:sz w:val="21"/>
          <w:szCs w:val="21"/>
        </w:rPr>
        <w:t>.0</w:t>
      </w:r>
      <w:r w:rsidR="00DF7A71">
        <w:rPr>
          <w:spacing w:val="-2"/>
          <w:sz w:val="21"/>
          <w:szCs w:val="21"/>
        </w:rPr>
        <w:t xml:space="preserve">% in the June quarter, </w:t>
      </w:r>
      <w:r w:rsidR="00F5694E">
        <w:rPr>
          <w:spacing w:val="-2"/>
          <w:sz w:val="21"/>
          <w:szCs w:val="21"/>
        </w:rPr>
        <w:t xml:space="preserve">with </w:t>
      </w:r>
      <w:r w:rsidR="00C64694">
        <w:rPr>
          <w:spacing w:val="-2"/>
          <w:sz w:val="21"/>
          <w:szCs w:val="21"/>
        </w:rPr>
        <w:t xml:space="preserve">increased household consumption (0.4%) and public investment (5.8%), offset by </w:t>
      </w:r>
      <w:r w:rsidR="00F5694E">
        <w:rPr>
          <w:spacing w:val="-2"/>
          <w:sz w:val="21"/>
          <w:szCs w:val="21"/>
        </w:rPr>
        <w:t>weaker</w:t>
      </w:r>
      <w:r w:rsidR="00DF7A71">
        <w:rPr>
          <w:spacing w:val="-2"/>
          <w:sz w:val="21"/>
          <w:szCs w:val="21"/>
        </w:rPr>
        <w:t xml:space="preserve"> </w:t>
      </w:r>
      <w:r w:rsidR="005F1B02">
        <w:rPr>
          <w:spacing w:val="-2"/>
          <w:sz w:val="21"/>
          <w:szCs w:val="21"/>
        </w:rPr>
        <w:t>public</w:t>
      </w:r>
      <w:r w:rsidR="00DF7A71">
        <w:rPr>
          <w:spacing w:val="-2"/>
          <w:sz w:val="21"/>
          <w:szCs w:val="21"/>
        </w:rPr>
        <w:t xml:space="preserve"> consumption</w:t>
      </w:r>
      <w:r w:rsidR="004D7FE3">
        <w:rPr>
          <w:spacing w:val="-2"/>
          <w:sz w:val="21"/>
          <w:szCs w:val="21"/>
        </w:rPr>
        <w:t xml:space="preserve"> </w:t>
      </w:r>
      <w:r w:rsidR="00DF7A71">
        <w:rPr>
          <w:spacing w:val="-2"/>
          <w:sz w:val="21"/>
          <w:szCs w:val="21"/>
        </w:rPr>
        <w:t xml:space="preserve">(-1.6%) and private investment (-5.8%). </w:t>
      </w:r>
      <w:r w:rsidR="00F5694E">
        <w:rPr>
          <w:spacing w:val="-2"/>
          <w:sz w:val="21"/>
          <w:szCs w:val="21"/>
        </w:rPr>
        <w:t>B</w:t>
      </w:r>
      <w:r w:rsidR="00DF7A71">
        <w:rPr>
          <w:spacing w:val="-2"/>
          <w:sz w:val="21"/>
          <w:szCs w:val="21"/>
        </w:rPr>
        <w:t>usiness investment</w:t>
      </w:r>
      <w:r w:rsidR="003E28BE">
        <w:rPr>
          <w:spacing w:val="-2"/>
          <w:sz w:val="21"/>
          <w:szCs w:val="21"/>
        </w:rPr>
        <w:t xml:space="preserve"> (-6.6%)</w:t>
      </w:r>
      <w:r w:rsidR="00DF7A71">
        <w:rPr>
          <w:spacing w:val="-2"/>
          <w:sz w:val="21"/>
          <w:szCs w:val="21"/>
        </w:rPr>
        <w:t xml:space="preserve">, </w:t>
      </w:r>
      <w:r w:rsidR="003E28BE">
        <w:rPr>
          <w:spacing w:val="-2"/>
          <w:sz w:val="21"/>
          <w:szCs w:val="21"/>
        </w:rPr>
        <w:t>notably</w:t>
      </w:r>
      <w:r w:rsidR="00DF7A71">
        <w:rPr>
          <w:spacing w:val="-2"/>
          <w:sz w:val="21"/>
          <w:szCs w:val="21"/>
        </w:rPr>
        <w:t xml:space="preserve"> non-dwelling construction (-12.3%)</w:t>
      </w:r>
      <w:r w:rsidR="00F5694E">
        <w:rPr>
          <w:spacing w:val="-2"/>
          <w:sz w:val="21"/>
          <w:szCs w:val="21"/>
        </w:rPr>
        <w:t xml:space="preserve"> was the main driver</w:t>
      </w:r>
      <w:r w:rsidR="005D2E25">
        <w:rPr>
          <w:spacing w:val="-2"/>
          <w:sz w:val="21"/>
          <w:szCs w:val="21"/>
        </w:rPr>
        <w:t xml:space="preserve"> of the decline</w:t>
      </w:r>
      <w:r w:rsidR="00F5694E">
        <w:rPr>
          <w:spacing w:val="-2"/>
          <w:sz w:val="21"/>
          <w:szCs w:val="21"/>
        </w:rPr>
        <w:t>, as work scheduling and progress for the Santos Barossa project continue</w:t>
      </w:r>
      <w:r w:rsidR="00C044EF">
        <w:rPr>
          <w:spacing w:val="-2"/>
          <w:sz w:val="21"/>
          <w:szCs w:val="21"/>
        </w:rPr>
        <w:t>s</w:t>
      </w:r>
      <w:r w:rsidR="00F5694E">
        <w:rPr>
          <w:spacing w:val="-2"/>
          <w:sz w:val="21"/>
          <w:szCs w:val="21"/>
        </w:rPr>
        <w:t xml:space="preserve"> to impact the quarterly numbers</w:t>
      </w:r>
      <w:r w:rsidR="00DF7A71">
        <w:rPr>
          <w:spacing w:val="-2"/>
          <w:sz w:val="21"/>
          <w:szCs w:val="21"/>
        </w:rPr>
        <w:t>.</w:t>
      </w:r>
    </w:p>
    <w:p w14:paraId="04330D3B" w14:textId="243E18E3" w:rsidR="00CA7DC2" w:rsidRDefault="00C044EF" w:rsidP="004A466F">
      <w:pPr>
        <w:spacing w:after="120"/>
        <w:rPr>
          <w:spacing w:val="-2"/>
          <w:sz w:val="21"/>
          <w:szCs w:val="21"/>
        </w:rPr>
      </w:pPr>
      <w:r>
        <w:rPr>
          <w:spacing w:val="-2"/>
          <w:sz w:val="21"/>
          <w:szCs w:val="21"/>
        </w:rPr>
        <w:t>For</w:t>
      </w:r>
      <w:r w:rsidR="00F5694E">
        <w:rPr>
          <w:spacing w:val="-2"/>
          <w:sz w:val="21"/>
          <w:szCs w:val="21"/>
        </w:rPr>
        <w:t xml:space="preserve"> 2022</w:t>
      </w:r>
      <w:r w:rsidR="00F5694E">
        <w:rPr>
          <w:spacing w:val="-2"/>
          <w:sz w:val="21"/>
          <w:szCs w:val="21"/>
        </w:rPr>
        <w:noBreakHyphen/>
        <w:t>23</w:t>
      </w:r>
      <w:r w:rsidR="003E28BE">
        <w:rPr>
          <w:spacing w:val="-2"/>
          <w:sz w:val="21"/>
          <w:szCs w:val="21"/>
        </w:rPr>
        <w:t xml:space="preserve">, </w:t>
      </w:r>
      <w:r w:rsidR="00145247">
        <w:rPr>
          <w:spacing w:val="-2"/>
          <w:sz w:val="21"/>
          <w:szCs w:val="21"/>
        </w:rPr>
        <w:t xml:space="preserve">SFD </w:t>
      </w:r>
      <w:r w:rsidR="00F5694E">
        <w:rPr>
          <w:spacing w:val="-2"/>
          <w:sz w:val="21"/>
          <w:szCs w:val="21"/>
        </w:rPr>
        <w:t xml:space="preserve">increased </w:t>
      </w:r>
      <w:r w:rsidR="005F1B02">
        <w:rPr>
          <w:spacing w:val="-2"/>
          <w:sz w:val="21"/>
          <w:szCs w:val="21"/>
        </w:rPr>
        <w:t>by</w:t>
      </w:r>
      <w:r w:rsidR="00145247">
        <w:rPr>
          <w:spacing w:val="-2"/>
          <w:sz w:val="21"/>
          <w:szCs w:val="21"/>
        </w:rPr>
        <w:t xml:space="preserve"> 2</w:t>
      </w:r>
      <w:r w:rsidR="00F5694E">
        <w:rPr>
          <w:spacing w:val="-2"/>
          <w:sz w:val="21"/>
          <w:szCs w:val="21"/>
        </w:rPr>
        <w:t>.0</w:t>
      </w:r>
      <w:r w:rsidR="00145247">
        <w:rPr>
          <w:spacing w:val="-2"/>
          <w:sz w:val="21"/>
          <w:szCs w:val="21"/>
        </w:rPr>
        <w:t>%</w:t>
      </w:r>
      <w:r w:rsidR="00BF1BE3">
        <w:rPr>
          <w:spacing w:val="-2"/>
          <w:sz w:val="21"/>
          <w:szCs w:val="21"/>
        </w:rPr>
        <w:t>,</w:t>
      </w:r>
      <w:r w:rsidR="00EE7E20">
        <w:rPr>
          <w:spacing w:val="-2"/>
          <w:sz w:val="21"/>
          <w:szCs w:val="21"/>
        </w:rPr>
        <w:t xml:space="preserve"> with </w:t>
      </w:r>
      <w:r w:rsidR="004A466F">
        <w:rPr>
          <w:spacing w:val="-2"/>
          <w:sz w:val="21"/>
          <w:szCs w:val="21"/>
        </w:rPr>
        <w:t>consumption contributing 0.8 percentage points (</w:t>
      </w:r>
      <w:proofErr w:type="spellStart"/>
      <w:r w:rsidR="004A466F">
        <w:rPr>
          <w:spacing w:val="-2"/>
          <w:sz w:val="21"/>
          <w:szCs w:val="21"/>
        </w:rPr>
        <w:t>ppt</w:t>
      </w:r>
      <w:proofErr w:type="spellEnd"/>
      <w:r w:rsidR="004A466F">
        <w:rPr>
          <w:spacing w:val="-2"/>
          <w:sz w:val="21"/>
          <w:szCs w:val="21"/>
        </w:rPr>
        <w:t>) and investment 1.2ppt. Private investment has plateaued at an elevate</w:t>
      </w:r>
      <w:r w:rsidR="00677FEA">
        <w:rPr>
          <w:spacing w:val="-2"/>
          <w:sz w:val="21"/>
          <w:szCs w:val="21"/>
        </w:rPr>
        <w:t>d level (and so is not</w:t>
      </w:r>
      <w:r w:rsidR="004A466F">
        <w:rPr>
          <w:spacing w:val="-2"/>
          <w:sz w:val="21"/>
          <w:szCs w:val="21"/>
        </w:rPr>
        <w:t xml:space="preserve"> contributing to growth), and public activity contributed 1.4ppt to growth, supported by investments in transport infrastructure and public housing, and for defence.</w:t>
      </w:r>
      <w:r w:rsidR="00EE7E20">
        <w:rPr>
          <w:spacing w:val="-2"/>
          <w:sz w:val="21"/>
          <w:szCs w:val="21"/>
        </w:rPr>
        <w:t xml:space="preserve"> The Territory continues to report the strongest</w:t>
      </w:r>
      <w:r w:rsidR="0004508D">
        <w:rPr>
          <w:spacing w:val="-2"/>
          <w:sz w:val="21"/>
          <w:szCs w:val="21"/>
        </w:rPr>
        <w:t xml:space="preserve"> SFD </w:t>
      </w:r>
      <w:r w:rsidR="00EE7E20">
        <w:rPr>
          <w:spacing w:val="-2"/>
          <w:sz w:val="21"/>
          <w:szCs w:val="21"/>
        </w:rPr>
        <w:t xml:space="preserve">growth of the jurisdictions since </w:t>
      </w:r>
      <w:r w:rsidR="0004508D">
        <w:rPr>
          <w:spacing w:val="-2"/>
          <w:sz w:val="21"/>
          <w:szCs w:val="21"/>
        </w:rPr>
        <w:t>the onset of COVID-19,</w:t>
      </w:r>
      <w:r w:rsidR="0078043C">
        <w:rPr>
          <w:spacing w:val="-2"/>
          <w:sz w:val="21"/>
          <w:szCs w:val="21"/>
        </w:rPr>
        <w:t xml:space="preserve"> with a 16.7</w:t>
      </w:r>
      <w:r w:rsidR="00EE7E20">
        <w:rPr>
          <w:spacing w:val="-2"/>
          <w:sz w:val="21"/>
          <w:szCs w:val="21"/>
        </w:rPr>
        <w:t xml:space="preserve">% increase since </w:t>
      </w:r>
      <w:r w:rsidR="00486247">
        <w:rPr>
          <w:spacing w:val="-2"/>
          <w:sz w:val="21"/>
          <w:szCs w:val="21"/>
        </w:rPr>
        <w:t xml:space="preserve">the year to </w:t>
      </w:r>
      <w:r w:rsidR="00EE7E20">
        <w:rPr>
          <w:spacing w:val="-2"/>
          <w:sz w:val="21"/>
          <w:szCs w:val="21"/>
        </w:rPr>
        <w:t>December 2019</w:t>
      </w:r>
      <w:r w:rsidR="0078043C">
        <w:rPr>
          <w:spacing w:val="-2"/>
          <w:sz w:val="21"/>
          <w:szCs w:val="21"/>
        </w:rPr>
        <w:t>, ahead of Western Australia (16</w:t>
      </w:r>
      <w:r w:rsidR="00EE7E20">
        <w:rPr>
          <w:spacing w:val="-2"/>
          <w:sz w:val="21"/>
          <w:szCs w:val="21"/>
        </w:rPr>
        <w:t>.6%)</w:t>
      </w:r>
      <w:r w:rsidR="0004508D">
        <w:rPr>
          <w:spacing w:val="-2"/>
          <w:sz w:val="21"/>
          <w:szCs w:val="21"/>
        </w:rPr>
        <w:t>.</w:t>
      </w:r>
    </w:p>
    <w:p w14:paraId="3C5CAAD5" w14:textId="59A317B4" w:rsidR="00017A14" w:rsidRPr="004A466F" w:rsidRDefault="00BF1BE3" w:rsidP="009E11BB">
      <w:pPr>
        <w:spacing w:after="120"/>
        <w:ind w:right="-30"/>
        <w:rPr>
          <w:spacing w:val="-4"/>
          <w:sz w:val="21"/>
          <w:szCs w:val="21"/>
        </w:rPr>
      </w:pPr>
      <w:r w:rsidRPr="004A466F">
        <w:rPr>
          <w:spacing w:val="-4"/>
          <w:sz w:val="21"/>
          <w:szCs w:val="21"/>
        </w:rPr>
        <w:t xml:space="preserve">High </w:t>
      </w:r>
      <w:r w:rsidR="000A439F" w:rsidRPr="004A466F">
        <w:rPr>
          <w:spacing w:val="-4"/>
          <w:sz w:val="21"/>
          <w:szCs w:val="21"/>
        </w:rPr>
        <w:t xml:space="preserve">inflation and </w:t>
      </w:r>
      <w:r w:rsidR="009364D7" w:rsidRPr="004A466F">
        <w:rPr>
          <w:spacing w:val="-4"/>
          <w:sz w:val="21"/>
          <w:szCs w:val="21"/>
        </w:rPr>
        <w:t xml:space="preserve">the </w:t>
      </w:r>
      <w:r w:rsidR="00C044EF" w:rsidRPr="004A466F">
        <w:rPr>
          <w:spacing w:val="-4"/>
          <w:sz w:val="21"/>
          <w:szCs w:val="21"/>
        </w:rPr>
        <w:t xml:space="preserve">rapid </w:t>
      </w:r>
      <w:r w:rsidR="00A10EB8" w:rsidRPr="004A466F">
        <w:rPr>
          <w:spacing w:val="-4"/>
          <w:sz w:val="21"/>
          <w:szCs w:val="21"/>
        </w:rPr>
        <w:t xml:space="preserve">tightening of monetary policy </w:t>
      </w:r>
      <w:r w:rsidR="00C044EF" w:rsidRPr="004A466F">
        <w:rPr>
          <w:spacing w:val="-4"/>
          <w:sz w:val="21"/>
          <w:szCs w:val="21"/>
        </w:rPr>
        <w:t>since mid</w:t>
      </w:r>
      <w:r w:rsidR="00C044EF" w:rsidRPr="004A466F">
        <w:rPr>
          <w:spacing w:val="-4"/>
          <w:sz w:val="21"/>
          <w:szCs w:val="21"/>
        </w:rPr>
        <w:noBreakHyphen/>
        <w:t xml:space="preserve">2022 </w:t>
      </w:r>
      <w:r w:rsidR="003678F4" w:rsidRPr="004A466F">
        <w:rPr>
          <w:spacing w:val="-4"/>
          <w:sz w:val="21"/>
          <w:szCs w:val="21"/>
        </w:rPr>
        <w:t>is having</w:t>
      </w:r>
      <w:r w:rsidR="00677FEA">
        <w:rPr>
          <w:spacing w:val="-4"/>
          <w:sz w:val="21"/>
          <w:szCs w:val="21"/>
        </w:rPr>
        <w:t xml:space="preserve"> broad</w:t>
      </w:r>
      <w:r w:rsidR="00A10EB8" w:rsidRPr="004A466F">
        <w:rPr>
          <w:spacing w:val="-4"/>
          <w:sz w:val="21"/>
          <w:szCs w:val="21"/>
        </w:rPr>
        <w:t xml:space="preserve"> impact</w:t>
      </w:r>
      <w:r w:rsidR="00C95601" w:rsidRPr="004A466F">
        <w:rPr>
          <w:spacing w:val="-4"/>
          <w:sz w:val="21"/>
          <w:szCs w:val="21"/>
        </w:rPr>
        <w:t>s</w:t>
      </w:r>
      <w:r w:rsidRPr="004A466F">
        <w:rPr>
          <w:spacing w:val="-4"/>
          <w:sz w:val="21"/>
          <w:szCs w:val="21"/>
        </w:rPr>
        <w:t xml:space="preserve"> across the economy</w:t>
      </w:r>
      <w:r w:rsidR="00A10EB8" w:rsidRPr="004A466F">
        <w:rPr>
          <w:spacing w:val="-4"/>
          <w:sz w:val="21"/>
          <w:szCs w:val="21"/>
        </w:rPr>
        <w:t xml:space="preserve">, </w:t>
      </w:r>
      <w:r w:rsidR="00C044EF" w:rsidRPr="004A466F">
        <w:rPr>
          <w:spacing w:val="-4"/>
          <w:sz w:val="21"/>
          <w:szCs w:val="21"/>
        </w:rPr>
        <w:t>notably</w:t>
      </w:r>
      <w:r w:rsidR="00A10EB8" w:rsidRPr="004A466F">
        <w:rPr>
          <w:spacing w:val="-4"/>
          <w:sz w:val="21"/>
          <w:szCs w:val="21"/>
        </w:rPr>
        <w:t xml:space="preserve"> in the housing market</w:t>
      </w:r>
      <w:r w:rsidR="00677FEA">
        <w:rPr>
          <w:spacing w:val="-4"/>
          <w:sz w:val="21"/>
          <w:szCs w:val="21"/>
        </w:rPr>
        <w:t xml:space="preserve"> – </w:t>
      </w:r>
      <w:r w:rsidR="000A439F" w:rsidRPr="004A466F">
        <w:rPr>
          <w:spacing w:val="-4"/>
          <w:sz w:val="21"/>
          <w:szCs w:val="21"/>
        </w:rPr>
        <w:t>as evidenced by declining housing affordability</w:t>
      </w:r>
      <w:r w:rsidR="00E136CD">
        <w:rPr>
          <w:spacing w:val="-4"/>
          <w:sz w:val="21"/>
          <w:szCs w:val="21"/>
        </w:rPr>
        <w:t xml:space="preserve"> (Chart 2)</w:t>
      </w:r>
      <w:r w:rsidR="00C044EF" w:rsidRPr="004A466F">
        <w:rPr>
          <w:spacing w:val="-4"/>
          <w:sz w:val="21"/>
          <w:szCs w:val="21"/>
        </w:rPr>
        <w:t xml:space="preserve">. </w:t>
      </w:r>
      <w:r w:rsidR="00486247" w:rsidRPr="004A466F">
        <w:rPr>
          <w:spacing w:val="-4"/>
          <w:sz w:val="21"/>
          <w:szCs w:val="21"/>
        </w:rPr>
        <w:t>That said, h</w:t>
      </w:r>
      <w:r w:rsidRPr="004A466F">
        <w:rPr>
          <w:spacing w:val="-4"/>
          <w:sz w:val="21"/>
          <w:szCs w:val="21"/>
        </w:rPr>
        <w:t>ousing in the Territory remains the most affordable in Australia.</w:t>
      </w:r>
      <w:r w:rsidR="000A439F" w:rsidRPr="004A466F">
        <w:rPr>
          <w:spacing w:val="-4"/>
          <w:sz w:val="21"/>
          <w:szCs w:val="21"/>
        </w:rPr>
        <w:t xml:space="preserve"> </w:t>
      </w:r>
      <w:r w:rsidR="00FC7A11" w:rsidRPr="004A466F">
        <w:rPr>
          <w:spacing w:val="-4"/>
          <w:sz w:val="21"/>
          <w:szCs w:val="21"/>
        </w:rPr>
        <w:t>Increas</w:t>
      </w:r>
      <w:r w:rsidR="004A466F">
        <w:rPr>
          <w:spacing w:val="-4"/>
          <w:sz w:val="21"/>
          <w:szCs w:val="21"/>
        </w:rPr>
        <w:t>ed</w:t>
      </w:r>
      <w:r w:rsidR="00FC7A11" w:rsidRPr="004A466F">
        <w:rPr>
          <w:spacing w:val="-4"/>
          <w:sz w:val="21"/>
          <w:szCs w:val="21"/>
        </w:rPr>
        <w:t xml:space="preserve"> mortgage rates</w:t>
      </w:r>
      <w:r w:rsidR="00400E91" w:rsidRPr="004A466F">
        <w:rPr>
          <w:spacing w:val="-4"/>
          <w:sz w:val="21"/>
          <w:szCs w:val="21"/>
        </w:rPr>
        <w:t xml:space="preserve"> </w:t>
      </w:r>
      <w:r w:rsidR="00486247" w:rsidRPr="004A466F">
        <w:rPr>
          <w:spacing w:val="-4"/>
          <w:sz w:val="21"/>
          <w:szCs w:val="21"/>
        </w:rPr>
        <w:t>is</w:t>
      </w:r>
      <w:r w:rsidR="009364D7" w:rsidRPr="004A466F">
        <w:rPr>
          <w:spacing w:val="-4"/>
          <w:sz w:val="21"/>
          <w:szCs w:val="21"/>
        </w:rPr>
        <w:t xml:space="preserve"> </w:t>
      </w:r>
      <w:r w:rsidR="00486247" w:rsidRPr="004A466F">
        <w:rPr>
          <w:spacing w:val="-4"/>
          <w:sz w:val="21"/>
          <w:szCs w:val="21"/>
        </w:rPr>
        <w:t xml:space="preserve">also </w:t>
      </w:r>
      <w:r w:rsidR="00FC7A11" w:rsidRPr="004A466F">
        <w:rPr>
          <w:spacing w:val="-4"/>
          <w:sz w:val="21"/>
          <w:szCs w:val="21"/>
        </w:rPr>
        <w:t>impact</w:t>
      </w:r>
      <w:r w:rsidR="00486247" w:rsidRPr="004A466F">
        <w:rPr>
          <w:spacing w:val="-4"/>
          <w:sz w:val="21"/>
          <w:szCs w:val="21"/>
        </w:rPr>
        <w:t>ing</w:t>
      </w:r>
      <w:r w:rsidR="00FC7A11" w:rsidRPr="004A466F">
        <w:rPr>
          <w:spacing w:val="-4"/>
          <w:sz w:val="21"/>
          <w:szCs w:val="21"/>
        </w:rPr>
        <w:t xml:space="preserve"> </w:t>
      </w:r>
      <w:r w:rsidR="006D33C2" w:rsidRPr="004A466F">
        <w:rPr>
          <w:spacing w:val="-4"/>
          <w:sz w:val="21"/>
          <w:szCs w:val="21"/>
        </w:rPr>
        <w:t>housing finance commitments</w:t>
      </w:r>
      <w:r w:rsidR="00400E91" w:rsidRPr="004A466F">
        <w:rPr>
          <w:spacing w:val="-4"/>
          <w:sz w:val="21"/>
          <w:szCs w:val="21"/>
        </w:rPr>
        <w:t>,</w:t>
      </w:r>
      <w:r w:rsidR="006D33C2" w:rsidRPr="004A466F">
        <w:rPr>
          <w:spacing w:val="-4"/>
          <w:sz w:val="21"/>
          <w:szCs w:val="21"/>
        </w:rPr>
        <w:t xml:space="preserve"> </w:t>
      </w:r>
      <w:r w:rsidR="00486247" w:rsidRPr="004A466F">
        <w:rPr>
          <w:spacing w:val="-4"/>
          <w:sz w:val="21"/>
          <w:szCs w:val="21"/>
        </w:rPr>
        <w:t>which are down across the</w:t>
      </w:r>
      <w:r w:rsidR="00400E91" w:rsidRPr="004A466F">
        <w:rPr>
          <w:spacing w:val="-4"/>
          <w:sz w:val="21"/>
          <w:szCs w:val="21"/>
        </w:rPr>
        <w:t xml:space="preserve"> </w:t>
      </w:r>
      <w:r w:rsidR="006D33C2" w:rsidRPr="004A466F">
        <w:rPr>
          <w:spacing w:val="-4"/>
          <w:sz w:val="21"/>
          <w:szCs w:val="21"/>
        </w:rPr>
        <w:t>nation</w:t>
      </w:r>
      <w:r w:rsidR="00E136CD">
        <w:rPr>
          <w:spacing w:val="-4"/>
          <w:sz w:val="21"/>
          <w:szCs w:val="21"/>
        </w:rPr>
        <w:t xml:space="preserve"> (Chart 3)</w:t>
      </w:r>
      <w:r w:rsidR="009364D7" w:rsidRPr="004A466F">
        <w:rPr>
          <w:spacing w:val="-4"/>
          <w:sz w:val="21"/>
          <w:szCs w:val="21"/>
        </w:rPr>
        <w:t>.</w:t>
      </w:r>
      <w:r w:rsidR="00C044EF" w:rsidRPr="004A466F">
        <w:rPr>
          <w:spacing w:val="-4"/>
          <w:sz w:val="21"/>
          <w:szCs w:val="21"/>
        </w:rPr>
        <w:t xml:space="preserve"> </w:t>
      </w:r>
      <w:r w:rsidR="00D52CA5" w:rsidRPr="004A466F">
        <w:rPr>
          <w:spacing w:val="-4"/>
          <w:sz w:val="21"/>
          <w:szCs w:val="21"/>
        </w:rPr>
        <w:t>I</w:t>
      </w:r>
      <w:r w:rsidR="00C044EF" w:rsidRPr="004A466F">
        <w:rPr>
          <w:spacing w:val="-4"/>
          <w:sz w:val="21"/>
          <w:szCs w:val="21"/>
        </w:rPr>
        <w:t>nvestor commitments</w:t>
      </w:r>
      <w:r w:rsidR="00D52CA5" w:rsidRPr="004A466F">
        <w:rPr>
          <w:spacing w:val="-4"/>
          <w:sz w:val="21"/>
          <w:szCs w:val="21"/>
        </w:rPr>
        <w:t xml:space="preserve"> </w:t>
      </w:r>
      <w:r w:rsidR="00B520BB" w:rsidRPr="004A466F">
        <w:rPr>
          <w:spacing w:val="-4"/>
          <w:sz w:val="21"/>
          <w:szCs w:val="21"/>
        </w:rPr>
        <w:t xml:space="preserve">in the Territory </w:t>
      </w:r>
      <w:r w:rsidR="00B53EF2" w:rsidRPr="004A466F">
        <w:rPr>
          <w:spacing w:val="-4"/>
          <w:sz w:val="21"/>
          <w:szCs w:val="21"/>
        </w:rPr>
        <w:t>are</w:t>
      </w:r>
      <w:r w:rsidR="00FC7A11" w:rsidRPr="004A466F">
        <w:rPr>
          <w:spacing w:val="-4"/>
          <w:sz w:val="21"/>
          <w:szCs w:val="21"/>
        </w:rPr>
        <w:t xml:space="preserve"> down </w:t>
      </w:r>
      <w:r w:rsidR="00FC7A11" w:rsidRPr="00677FEA">
        <w:rPr>
          <w:spacing w:val="-6"/>
          <w:sz w:val="21"/>
          <w:szCs w:val="21"/>
        </w:rPr>
        <w:t>by</w:t>
      </w:r>
      <w:r w:rsidR="00C044EF" w:rsidRPr="00677FEA">
        <w:rPr>
          <w:spacing w:val="-6"/>
          <w:sz w:val="21"/>
          <w:szCs w:val="21"/>
        </w:rPr>
        <w:t xml:space="preserve"> </w:t>
      </w:r>
      <w:r w:rsidR="00E136CD" w:rsidRPr="00677FEA">
        <w:rPr>
          <w:spacing w:val="-6"/>
          <w:sz w:val="21"/>
          <w:szCs w:val="21"/>
        </w:rPr>
        <w:t>15%</w:t>
      </w:r>
      <w:r w:rsidR="00E136CD">
        <w:rPr>
          <w:spacing w:val="-4"/>
          <w:sz w:val="21"/>
          <w:szCs w:val="21"/>
        </w:rPr>
        <w:t xml:space="preserve"> in 2022</w:t>
      </w:r>
      <w:r w:rsidR="00E136CD">
        <w:rPr>
          <w:spacing w:val="-4"/>
          <w:sz w:val="21"/>
          <w:szCs w:val="21"/>
        </w:rPr>
        <w:noBreakHyphen/>
      </w:r>
      <w:r w:rsidR="00FC7A11" w:rsidRPr="004A466F">
        <w:rPr>
          <w:spacing w:val="-4"/>
          <w:sz w:val="21"/>
          <w:szCs w:val="21"/>
        </w:rPr>
        <w:t>23</w:t>
      </w:r>
      <w:r w:rsidR="0020517E" w:rsidRPr="004A466F">
        <w:rPr>
          <w:spacing w:val="-4"/>
          <w:sz w:val="21"/>
          <w:szCs w:val="21"/>
        </w:rPr>
        <w:t xml:space="preserve"> (21% nationally)</w:t>
      </w:r>
      <w:r w:rsidR="00B520BB" w:rsidRPr="004A466F">
        <w:rPr>
          <w:spacing w:val="-4"/>
          <w:sz w:val="21"/>
          <w:szCs w:val="21"/>
        </w:rPr>
        <w:t>,</w:t>
      </w:r>
      <w:r w:rsidR="00C044EF" w:rsidRPr="004A466F">
        <w:rPr>
          <w:spacing w:val="-4"/>
          <w:sz w:val="21"/>
          <w:szCs w:val="21"/>
        </w:rPr>
        <w:t xml:space="preserve"> </w:t>
      </w:r>
      <w:r w:rsidR="009364D7" w:rsidRPr="004A466F">
        <w:rPr>
          <w:spacing w:val="-4"/>
          <w:sz w:val="21"/>
          <w:szCs w:val="21"/>
        </w:rPr>
        <w:t>despite</w:t>
      </w:r>
      <w:r w:rsidR="00B0378E" w:rsidRPr="004A466F">
        <w:rPr>
          <w:spacing w:val="-4"/>
          <w:sz w:val="21"/>
          <w:szCs w:val="21"/>
        </w:rPr>
        <w:t xml:space="preserve"> </w:t>
      </w:r>
      <w:r w:rsidR="00486247" w:rsidRPr="004A466F">
        <w:rPr>
          <w:spacing w:val="-4"/>
          <w:sz w:val="21"/>
          <w:szCs w:val="21"/>
        </w:rPr>
        <w:t xml:space="preserve">the </w:t>
      </w:r>
      <w:r w:rsidR="00B0378E" w:rsidRPr="00677FEA">
        <w:rPr>
          <w:spacing w:val="-6"/>
          <w:sz w:val="21"/>
          <w:szCs w:val="21"/>
        </w:rPr>
        <w:t xml:space="preserve">tight residential </w:t>
      </w:r>
      <w:r w:rsidR="00486247" w:rsidRPr="00677FEA">
        <w:rPr>
          <w:spacing w:val="-6"/>
          <w:sz w:val="21"/>
          <w:szCs w:val="21"/>
        </w:rPr>
        <w:t>rental market</w:t>
      </w:r>
      <w:r w:rsidR="00B0378E" w:rsidRPr="00677FEA">
        <w:rPr>
          <w:spacing w:val="-6"/>
          <w:sz w:val="21"/>
          <w:szCs w:val="21"/>
        </w:rPr>
        <w:t xml:space="preserve"> </w:t>
      </w:r>
      <w:r w:rsidR="009364D7" w:rsidRPr="00677FEA">
        <w:rPr>
          <w:spacing w:val="-6"/>
          <w:sz w:val="21"/>
          <w:szCs w:val="21"/>
        </w:rPr>
        <w:t xml:space="preserve">and high </w:t>
      </w:r>
      <w:r w:rsidR="00C94AF2" w:rsidRPr="00677FEA">
        <w:rPr>
          <w:spacing w:val="-6"/>
          <w:sz w:val="21"/>
          <w:szCs w:val="21"/>
        </w:rPr>
        <w:t xml:space="preserve">rental yields </w:t>
      </w:r>
      <w:r w:rsidR="00677FEA" w:rsidRPr="00677FEA">
        <w:rPr>
          <w:spacing w:val="-6"/>
          <w:sz w:val="21"/>
          <w:szCs w:val="21"/>
        </w:rPr>
        <w:t>on offer (Chart </w:t>
      </w:r>
      <w:r w:rsidR="00E136CD" w:rsidRPr="00677FEA">
        <w:rPr>
          <w:spacing w:val="-6"/>
          <w:sz w:val="21"/>
          <w:szCs w:val="21"/>
        </w:rPr>
        <w:t>4)</w:t>
      </w:r>
      <w:r w:rsidR="00C22C15" w:rsidRPr="00677FEA">
        <w:rPr>
          <w:spacing w:val="-6"/>
          <w:sz w:val="21"/>
          <w:szCs w:val="21"/>
        </w:rPr>
        <w:t>.</w:t>
      </w:r>
    </w:p>
    <w:tbl>
      <w:tblPr>
        <w:tblStyle w:val="NTGtable1"/>
        <w:tblW w:w="10397" w:type="dxa"/>
        <w:jc w:val="center"/>
        <w:tblLayout w:type="fixed"/>
        <w:tblLook w:val="04A0" w:firstRow="1" w:lastRow="0" w:firstColumn="1" w:lastColumn="0" w:noHBand="0" w:noVBand="1"/>
      </w:tblPr>
      <w:tblGrid>
        <w:gridCol w:w="3539"/>
        <w:gridCol w:w="938"/>
        <w:gridCol w:w="1271"/>
        <w:gridCol w:w="1083"/>
        <w:gridCol w:w="1076"/>
        <w:gridCol w:w="1055"/>
        <w:gridCol w:w="1435"/>
      </w:tblGrid>
      <w:tr w:rsidR="00B243D8" w:rsidRPr="00797CA2" w14:paraId="31063292" w14:textId="77777777" w:rsidTr="00BE2895">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539" w:type="dxa"/>
            <w:vAlign w:val="center"/>
          </w:tcPr>
          <w:p w14:paraId="1159313E" w14:textId="77777777" w:rsidR="004F7E54" w:rsidRPr="00BE2895" w:rsidRDefault="004F7E54" w:rsidP="00BE2895">
            <w:pPr>
              <w:spacing w:before="0" w:after="0"/>
              <w:jc w:val="center"/>
              <w:rPr>
                <w:rFonts w:ascii="Calibri" w:hAnsi="Calibri"/>
                <w:sz w:val="20"/>
              </w:rPr>
            </w:pPr>
            <w:r w:rsidRPr="00BE2895">
              <w:rPr>
                <w:rFonts w:ascii="Calibri" w:hAnsi="Calibri"/>
                <w:sz w:val="20"/>
              </w:rPr>
              <w:t>Indicator</w:t>
            </w:r>
          </w:p>
        </w:tc>
        <w:tc>
          <w:tcPr>
            <w:tcW w:w="938" w:type="dxa"/>
            <w:vAlign w:val="center"/>
          </w:tcPr>
          <w:p w14:paraId="25C2D651" w14:textId="77777777" w:rsidR="004F7E54" w:rsidRPr="00BE2895" w:rsidRDefault="004F7E54" w:rsidP="00BE2895">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0"/>
              </w:rPr>
            </w:pPr>
            <w:r w:rsidRPr="00BE2895">
              <w:rPr>
                <w:rFonts w:ascii="Calibri" w:hAnsi="Calibri"/>
                <w:sz w:val="20"/>
              </w:rPr>
              <w:t>Most recent</w:t>
            </w:r>
          </w:p>
        </w:tc>
        <w:tc>
          <w:tcPr>
            <w:tcW w:w="1271" w:type="dxa"/>
            <w:vAlign w:val="center"/>
          </w:tcPr>
          <w:p w14:paraId="3EA49D25" w14:textId="0369B866" w:rsidR="004F7E54" w:rsidRPr="00BE2895" w:rsidRDefault="002F648D" w:rsidP="00BE2895">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0"/>
              </w:rPr>
            </w:pPr>
            <w:r>
              <w:rPr>
                <w:rFonts w:ascii="Calibri" w:hAnsi="Calibri"/>
                <w:sz w:val="20"/>
              </w:rPr>
              <w:t>Measure</w:t>
            </w:r>
          </w:p>
        </w:tc>
        <w:tc>
          <w:tcPr>
            <w:tcW w:w="1083" w:type="dxa"/>
            <w:vAlign w:val="center"/>
          </w:tcPr>
          <w:p w14:paraId="4C2D655D" w14:textId="77777777" w:rsidR="004F7E54" w:rsidRPr="00BE2895" w:rsidRDefault="004F7E54" w:rsidP="00BE2895">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0"/>
              </w:rPr>
            </w:pPr>
            <w:r w:rsidRPr="00BE2895">
              <w:rPr>
                <w:rFonts w:ascii="Calibri" w:hAnsi="Calibri"/>
                <w:sz w:val="20"/>
              </w:rPr>
              <w:t>Period change</w:t>
            </w:r>
            <w:r w:rsidRPr="00BE2895">
              <w:rPr>
                <w:rFonts w:ascii="Calibri" w:hAnsi="Calibri" w:cs="Calibri"/>
                <w:sz w:val="20"/>
              </w:rPr>
              <w:t>¹</w:t>
            </w:r>
          </w:p>
        </w:tc>
        <w:tc>
          <w:tcPr>
            <w:tcW w:w="1076" w:type="dxa"/>
            <w:vAlign w:val="center"/>
          </w:tcPr>
          <w:p w14:paraId="04968139" w14:textId="77777777" w:rsidR="004F7E54" w:rsidRPr="00BE2895" w:rsidRDefault="004F7E54" w:rsidP="00BE2895">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0"/>
              </w:rPr>
            </w:pPr>
            <w:r w:rsidRPr="00BE2895">
              <w:rPr>
                <w:rFonts w:ascii="Calibri" w:hAnsi="Calibri"/>
                <w:sz w:val="20"/>
              </w:rPr>
              <w:t>Annual change</w:t>
            </w:r>
            <w:r w:rsidRPr="00BE2895">
              <w:rPr>
                <w:rFonts w:ascii="Calibri" w:hAnsi="Calibri" w:cs="Calibri"/>
                <w:sz w:val="20"/>
                <w:vertAlign w:val="superscript"/>
              </w:rPr>
              <w:t>2</w:t>
            </w:r>
          </w:p>
        </w:tc>
        <w:tc>
          <w:tcPr>
            <w:tcW w:w="1055" w:type="dxa"/>
            <w:vAlign w:val="center"/>
          </w:tcPr>
          <w:p w14:paraId="1CE8126B" w14:textId="77777777" w:rsidR="004F7E54" w:rsidRPr="00BE2895" w:rsidRDefault="004F7E54" w:rsidP="00BE2895">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0"/>
              </w:rPr>
            </w:pPr>
            <w:r w:rsidRPr="00BE2895">
              <w:rPr>
                <w:rFonts w:ascii="Calibri" w:hAnsi="Calibri"/>
                <w:sz w:val="20"/>
              </w:rPr>
              <w:t>Year on Year</w:t>
            </w:r>
            <w:r w:rsidRPr="00BE2895">
              <w:rPr>
                <w:rFonts w:ascii="Calibri" w:hAnsi="Calibri" w:cs="Calibri"/>
                <w:sz w:val="20"/>
                <w:vertAlign w:val="superscript"/>
              </w:rPr>
              <w:t>3</w:t>
            </w:r>
          </w:p>
        </w:tc>
        <w:tc>
          <w:tcPr>
            <w:tcW w:w="1435" w:type="dxa"/>
            <w:vAlign w:val="center"/>
          </w:tcPr>
          <w:p w14:paraId="0E175AE1" w14:textId="77777777" w:rsidR="004F7E54" w:rsidRPr="00BE2895" w:rsidRDefault="004F7E54" w:rsidP="00BE2895">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0"/>
              </w:rPr>
            </w:pPr>
            <w:r w:rsidRPr="00BE2895">
              <w:rPr>
                <w:rFonts w:ascii="Calibri" w:hAnsi="Calibri"/>
                <w:sz w:val="20"/>
              </w:rPr>
              <w:t>COVID period change</w:t>
            </w:r>
            <w:r w:rsidRPr="00BE2895">
              <w:rPr>
                <w:rFonts w:ascii="Calibri" w:hAnsi="Calibri"/>
                <w:sz w:val="20"/>
                <w:vertAlign w:val="superscript"/>
              </w:rPr>
              <w:t>4</w:t>
            </w:r>
          </w:p>
        </w:tc>
      </w:tr>
      <w:tr w:rsidR="00B243D8" w:rsidRPr="00797CA2" w14:paraId="62B537C3"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D9D9D9" w:themeFill="background1" w:themeFillShade="D9"/>
            <w:vAlign w:val="center"/>
          </w:tcPr>
          <w:p w14:paraId="55CED3CB" w14:textId="77777777" w:rsidR="004F7E54" w:rsidRPr="00995976" w:rsidRDefault="004F7E54" w:rsidP="00BE2895">
            <w:pPr>
              <w:spacing w:before="20" w:after="20"/>
              <w:rPr>
                <w:rFonts w:ascii="Calibri" w:hAnsi="Calibri" w:cs="Calibri"/>
                <w:b/>
                <w:bCs/>
                <w:color w:val="000000"/>
                <w:sz w:val="20"/>
              </w:rPr>
            </w:pPr>
            <w:r w:rsidRPr="00B243D8">
              <w:rPr>
                <w:rFonts w:ascii="Calibri" w:hAnsi="Calibri" w:cs="Calibri"/>
                <w:b/>
                <w:bCs/>
                <w:color w:val="000000"/>
                <w:sz w:val="20"/>
              </w:rPr>
              <w:t>Economic Growth</w:t>
            </w:r>
          </w:p>
        </w:tc>
        <w:tc>
          <w:tcPr>
            <w:tcW w:w="938" w:type="dxa"/>
            <w:shd w:val="clear" w:color="auto" w:fill="D9D9D9" w:themeFill="background1" w:themeFillShade="D9"/>
          </w:tcPr>
          <w:p w14:paraId="7A9FFAE5" w14:textId="77777777" w:rsidR="004F7E54" w:rsidRPr="00BE2895" w:rsidRDefault="004F7E54" w:rsidP="00BE2895">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hAnsi="Calibri"/>
                <w:sz w:val="20"/>
              </w:rPr>
            </w:pPr>
          </w:p>
        </w:tc>
        <w:tc>
          <w:tcPr>
            <w:tcW w:w="1271" w:type="dxa"/>
            <w:shd w:val="clear" w:color="auto" w:fill="D9D9D9" w:themeFill="background1" w:themeFillShade="D9"/>
          </w:tcPr>
          <w:p w14:paraId="66690F76" w14:textId="00F51519" w:rsidR="004F7E54" w:rsidRPr="00BE2895" w:rsidRDefault="001E6821" w:rsidP="00BE2895">
            <w:pPr>
              <w:spacing w:before="20" w:after="20"/>
              <w:ind w:right="80"/>
              <w:jc w:val="right"/>
              <w:cnfStyle w:val="000000100000" w:firstRow="0" w:lastRow="0" w:firstColumn="0" w:lastColumn="0" w:oddVBand="0" w:evenVBand="0" w:oddHBand="1" w:evenHBand="0" w:firstRowFirstColumn="0" w:firstRowLastColumn="0" w:lastRowFirstColumn="0" w:lastRowLastColumn="0"/>
              <w:rPr>
                <w:rFonts w:ascii="Calibri" w:hAnsi="Calibri"/>
                <w:b/>
                <w:sz w:val="20"/>
              </w:rPr>
            </w:pPr>
            <w:r w:rsidRPr="00BE2895">
              <w:rPr>
                <w:rFonts w:ascii="Calibri" w:hAnsi="Calibri"/>
                <w:b/>
                <w:sz w:val="20"/>
              </w:rPr>
              <w:t>$B</w:t>
            </w:r>
          </w:p>
        </w:tc>
        <w:tc>
          <w:tcPr>
            <w:tcW w:w="1083" w:type="dxa"/>
            <w:shd w:val="clear" w:color="auto" w:fill="D9D9D9" w:themeFill="background1" w:themeFillShade="D9"/>
          </w:tcPr>
          <w:p w14:paraId="67830DD6" w14:textId="77777777" w:rsidR="004F7E54" w:rsidRPr="00BE2895" w:rsidRDefault="004F7E54" w:rsidP="00BE2895">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hAnsi="Calibri"/>
                <w:sz w:val="20"/>
              </w:rPr>
            </w:pPr>
          </w:p>
        </w:tc>
        <w:tc>
          <w:tcPr>
            <w:tcW w:w="1076" w:type="dxa"/>
            <w:shd w:val="clear" w:color="auto" w:fill="D9D9D9" w:themeFill="background1" w:themeFillShade="D9"/>
          </w:tcPr>
          <w:p w14:paraId="29B6C121" w14:textId="77777777" w:rsidR="004F7E54" w:rsidRPr="00BE2895" w:rsidRDefault="004F7E54" w:rsidP="00BE2895">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hAnsi="Calibri"/>
                <w:sz w:val="20"/>
              </w:rPr>
            </w:pPr>
          </w:p>
        </w:tc>
        <w:tc>
          <w:tcPr>
            <w:tcW w:w="1055" w:type="dxa"/>
            <w:shd w:val="clear" w:color="auto" w:fill="D9D9D9" w:themeFill="background1" w:themeFillShade="D9"/>
          </w:tcPr>
          <w:p w14:paraId="631BE887" w14:textId="77777777" w:rsidR="004F7E54" w:rsidRPr="00BE2895" w:rsidRDefault="004F7E54" w:rsidP="00BE2895">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hAnsi="Calibri"/>
                <w:sz w:val="20"/>
              </w:rPr>
            </w:pPr>
          </w:p>
        </w:tc>
        <w:tc>
          <w:tcPr>
            <w:tcW w:w="1435" w:type="dxa"/>
            <w:shd w:val="clear" w:color="auto" w:fill="D9D9D9" w:themeFill="background1" w:themeFillShade="D9"/>
            <w:vAlign w:val="center"/>
          </w:tcPr>
          <w:p w14:paraId="40B45F34" w14:textId="77777777" w:rsidR="004F7E54" w:rsidRPr="00BE2895" w:rsidRDefault="004F7E54" w:rsidP="00BE2895">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hAnsi="Calibri"/>
                <w:sz w:val="20"/>
              </w:rPr>
            </w:pPr>
          </w:p>
        </w:tc>
      </w:tr>
      <w:tr w:rsidR="00B243D8" w:rsidRPr="00797CA2" w14:paraId="2FE16DFB" w14:textId="77777777" w:rsidTr="00BE289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5D2926EE" w14:textId="77777777" w:rsidR="00C54EB6" w:rsidRPr="00995976" w:rsidRDefault="00C54EB6" w:rsidP="00C54EB6">
            <w:pPr>
              <w:spacing w:before="0" w:after="0"/>
              <w:ind w:firstLineChars="200" w:firstLine="400"/>
              <w:rPr>
                <w:rFonts w:ascii="Calibri" w:hAnsi="Calibri" w:cs="Calibri"/>
                <w:iCs/>
                <w:color w:val="000000"/>
                <w:sz w:val="20"/>
              </w:rPr>
            </w:pPr>
            <w:r w:rsidRPr="00B243D8">
              <w:rPr>
                <w:rFonts w:ascii="Calibri" w:hAnsi="Calibri" w:cs="Calibri"/>
                <w:iCs/>
                <w:color w:val="000000"/>
                <w:sz w:val="20"/>
              </w:rPr>
              <w:t>State final demand (NT) (</w:t>
            </w:r>
            <w:proofErr w:type="spellStart"/>
            <w:r w:rsidRPr="00B243D8">
              <w:rPr>
                <w:rFonts w:ascii="Calibri" w:hAnsi="Calibri" w:cs="Calibri"/>
                <w:iCs/>
                <w:color w:val="000000"/>
                <w:sz w:val="20"/>
              </w:rPr>
              <w:t>sa</w:t>
            </w:r>
            <w:proofErr w:type="spellEnd"/>
            <w:r w:rsidRPr="00B243D8">
              <w:rPr>
                <w:rFonts w:ascii="Calibri" w:hAnsi="Calibri" w:cs="Calibri"/>
                <w:iCs/>
                <w:color w:val="000000"/>
                <w:sz w:val="20"/>
              </w:rPr>
              <w:t>)</w:t>
            </w:r>
          </w:p>
        </w:tc>
        <w:tc>
          <w:tcPr>
            <w:tcW w:w="938" w:type="dxa"/>
            <w:shd w:val="clear" w:color="auto" w:fill="auto"/>
            <w:vAlign w:val="center"/>
          </w:tcPr>
          <w:p w14:paraId="0EC7524E" w14:textId="07D5013A" w:rsidR="00C54EB6" w:rsidRPr="00392EA0" w:rsidRDefault="00CF1103" w:rsidP="00CB1326">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Jun-23</w:t>
            </w:r>
          </w:p>
        </w:tc>
        <w:tc>
          <w:tcPr>
            <w:tcW w:w="1271" w:type="dxa"/>
            <w:shd w:val="clear" w:color="auto" w:fill="auto"/>
            <w:vAlign w:val="center"/>
          </w:tcPr>
          <w:p w14:paraId="0FAD25A6" w14:textId="76D7A6B2" w:rsidR="00C54EB6" w:rsidRPr="000A24B2" w:rsidRDefault="00CF1103" w:rsidP="00CB1326">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6.978</w:t>
            </w:r>
          </w:p>
        </w:tc>
        <w:tc>
          <w:tcPr>
            <w:tcW w:w="1083" w:type="dxa"/>
            <w:shd w:val="clear" w:color="auto" w:fill="auto"/>
            <w:vAlign w:val="center"/>
          </w:tcPr>
          <w:p w14:paraId="008A0456" w14:textId="320851FE" w:rsidR="00C54EB6" w:rsidRPr="00797CA2" w:rsidRDefault="00CF1103" w:rsidP="00CB132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-1.0%</w:t>
            </w:r>
          </w:p>
        </w:tc>
        <w:tc>
          <w:tcPr>
            <w:tcW w:w="1076" w:type="dxa"/>
            <w:shd w:val="clear" w:color="auto" w:fill="auto"/>
            <w:vAlign w:val="center"/>
          </w:tcPr>
          <w:p w14:paraId="49D4FF1B" w14:textId="42453FDF" w:rsidR="00C54EB6" w:rsidRPr="00797CA2" w:rsidRDefault="00CF1103"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0.7%</w:t>
            </w:r>
          </w:p>
        </w:tc>
        <w:tc>
          <w:tcPr>
            <w:tcW w:w="1055" w:type="dxa"/>
            <w:shd w:val="clear" w:color="auto" w:fill="auto"/>
            <w:vAlign w:val="center"/>
          </w:tcPr>
          <w:p w14:paraId="0B4B7A91" w14:textId="5F741D72" w:rsidR="00C54EB6" w:rsidRPr="00797CA2" w:rsidRDefault="00CF1103"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2.0%</w:t>
            </w:r>
          </w:p>
        </w:tc>
        <w:tc>
          <w:tcPr>
            <w:tcW w:w="1435" w:type="dxa"/>
            <w:shd w:val="clear" w:color="auto" w:fill="auto"/>
            <w:vAlign w:val="center"/>
          </w:tcPr>
          <w:p w14:paraId="69A9BDC0" w14:textId="0FF6DF24" w:rsidR="00C54EB6" w:rsidRPr="00797CA2" w:rsidRDefault="000C344D" w:rsidP="00720F41">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16.7</w:t>
            </w:r>
            <w:r w:rsidR="00CF1103">
              <w:rPr>
                <w:rFonts w:ascii="Calibri" w:hAnsi="Calibri" w:cs="Calibri"/>
                <w:color w:val="000000"/>
                <w:sz w:val="20"/>
              </w:rPr>
              <w:t>%</w:t>
            </w:r>
          </w:p>
        </w:tc>
      </w:tr>
      <w:tr w:rsidR="00797CA2" w:rsidRPr="00797CA2" w14:paraId="27904C02"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2F2F2" w:themeFill="background1" w:themeFillShade="F2"/>
            <w:vAlign w:val="center"/>
          </w:tcPr>
          <w:p w14:paraId="4F877EFE" w14:textId="0325755D" w:rsidR="00DC1968" w:rsidRPr="00995976" w:rsidRDefault="00DC1968" w:rsidP="00BE2895">
            <w:pPr>
              <w:tabs>
                <w:tab w:val="left" w:pos="630"/>
              </w:tabs>
              <w:spacing w:before="0" w:after="0"/>
              <w:ind w:firstLineChars="200" w:firstLine="400"/>
              <w:rPr>
                <w:rFonts w:ascii="Calibri" w:hAnsi="Calibri" w:cs="Calibri"/>
                <w:iCs/>
                <w:color w:val="000000"/>
                <w:sz w:val="20"/>
              </w:rPr>
            </w:pPr>
            <w:r w:rsidRPr="00B243D8">
              <w:rPr>
                <w:rFonts w:ascii="Calibri" w:hAnsi="Calibri" w:cs="Calibri"/>
                <w:iCs/>
                <w:color w:val="000000"/>
                <w:sz w:val="20"/>
              </w:rPr>
              <w:tab/>
            </w:r>
            <w:r w:rsidRPr="00995976">
              <w:rPr>
                <w:rFonts w:ascii="Calibri" w:hAnsi="Calibri" w:cs="Calibri"/>
                <w:iCs/>
                <w:color w:val="000000"/>
                <w:sz w:val="20"/>
              </w:rPr>
              <w:t>Consumption</w:t>
            </w:r>
          </w:p>
        </w:tc>
        <w:tc>
          <w:tcPr>
            <w:tcW w:w="938" w:type="dxa"/>
            <w:shd w:val="clear" w:color="auto" w:fill="F2F2F2" w:themeFill="background1" w:themeFillShade="F2"/>
            <w:vAlign w:val="center"/>
          </w:tcPr>
          <w:p w14:paraId="1C1FB091" w14:textId="77777777" w:rsidR="00DC1968" w:rsidRPr="00392EA0" w:rsidRDefault="00DC1968" w:rsidP="00BE289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c>
          <w:tcPr>
            <w:tcW w:w="1271" w:type="dxa"/>
            <w:shd w:val="clear" w:color="auto" w:fill="F2F2F2" w:themeFill="background1" w:themeFillShade="F2"/>
            <w:vAlign w:val="center"/>
          </w:tcPr>
          <w:p w14:paraId="06C5596F" w14:textId="256B239A" w:rsidR="00DC1968" w:rsidRPr="000A24B2" w:rsidDel="001E6821" w:rsidRDefault="00934BDD" w:rsidP="00CB1326">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5.341</w:t>
            </w:r>
          </w:p>
        </w:tc>
        <w:tc>
          <w:tcPr>
            <w:tcW w:w="1083" w:type="dxa"/>
            <w:shd w:val="clear" w:color="auto" w:fill="F2F2F2" w:themeFill="background1" w:themeFillShade="F2"/>
            <w:vAlign w:val="center"/>
          </w:tcPr>
          <w:p w14:paraId="5C04B7FC" w14:textId="5AC5D387" w:rsidR="00DC1968" w:rsidRPr="00797CA2" w:rsidRDefault="00CF1103" w:rsidP="00BE289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-0.5%</w:t>
            </w:r>
          </w:p>
        </w:tc>
        <w:tc>
          <w:tcPr>
            <w:tcW w:w="1076" w:type="dxa"/>
            <w:shd w:val="clear" w:color="auto" w:fill="F2F2F2" w:themeFill="background1" w:themeFillShade="F2"/>
            <w:vAlign w:val="center"/>
          </w:tcPr>
          <w:p w14:paraId="3C133562" w14:textId="694A9DF6" w:rsidR="00DC1968" w:rsidRPr="00797CA2" w:rsidRDefault="00CF1103" w:rsidP="00BE289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1.7%</w:t>
            </w:r>
          </w:p>
        </w:tc>
        <w:tc>
          <w:tcPr>
            <w:tcW w:w="1055" w:type="dxa"/>
            <w:shd w:val="clear" w:color="auto" w:fill="F2F2F2" w:themeFill="background1" w:themeFillShade="F2"/>
            <w:vAlign w:val="center"/>
          </w:tcPr>
          <w:p w14:paraId="47F3CD96" w14:textId="6FE378AC" w:rsidR="00DC1968" w:rsidRPr="00797CA2" w:rsidRDefault="00CF1103" w:rsidP="006E31A4">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1.0%</w:t>
            </w:r>
          </w:p>
        </w:tc>
        <w:tc>
          <w:tcPr>
            <w:tcW w:w="1435" w:type="dxa"/>
            <w:shd w:val="clear" w:color="auto" w:fill="F2F2F2" w:themeFill="background1" w:themeFillShade="F2"/>
            <w:vAlign w:val="center"/>
          </w:tcPr>
          <w:p w14:paraId="6F22DD4A" w14:textId="7E24881A" w:rsidR="00DC1968" w:rsidRPr="00797CA2" w:rsidRDefault="000C344D" w:rsidP="00CB1326">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10.7</w:t>
            </w:r>
            <w:r w:rsidR="00CF1103">
              <w:rPr>
                <w:rFonts w:ascii="Calibri" w:hAnsi="Calibri" w:cs="Calibri"/>
                <w:color w:val="000000"/>
                <w:sz w:val="20"/>
              </w:rPr>
              <w:t>%</w:t>
            </w:r>
          </w:p>
        </w:tc>
      </w:tr>
      <w:tr w:rsidR="00797CA2" w:rsidRPr="00797CA2" w14:paraId="6680B6F8" w14:textId="77777777" w:rsidTr="00BE289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2F2F2" w:themeFill="background1" w:themeFillShade="F2"/>
            <w:vAlign w:val="center"/>
          </w:tcPr>
          <w:p w14:paraId="065B31C0" w14:textId="15F973DF" w:rsidR="001E6821" w:rsidRPr="00797CA2" w:rsidRDefault="00DC1968" w:rsidP="00BE2895">
            <w:pPr>
              <w:tabs>
                <w:tab w:val="left" w:pos="630"/>
              </w:tabs>
              <w:spacing w:before="0" w:after="0"/>
              <w:ind w:firstLineChars="200" w:firstLine="400"/>
              <w:rPr>
                <w:rFonts w:ascii="Calibri" w:hAnsi="Calibri" w:cs="Calibri"/>
                <w:iCs/>
                <w:color w:val="000000"/>
                <w:sz w:val="20"/>
              </w:rPr>
            </w:pPr>
            <w:r w:rsidRPr="00797CA2">
              <w:rPr>
                <w:rFonts w:ascii="Calibri" w:hAnsi="Calibri" w:cs="Calibri"/>
                <w:iCs/>
                <w:color w:val="000000"/>
                <w:sz w:val="20"/>
              </w:rPr>
              <w:tab/>
              <w:t>Investment</w:t>
            </w:r>
          </w:p>
        </w:tc>
        <w:tc>
          <w:tcPr>
            <w:tcW w:w="938" w:type="dxa"/>
            <w:shd w:val="clear" w:color="auto" w:fill="F2F2F2" w:themeFill="background1" w:themeFillShade="F2"/>
            <w:vAlign w:val="center"/>
          </w:tcPr>
          <w:p w14:paraId="739057E8" w14:textId="77777777" w:rsidR="001E6821" w:rsidRPr="00797CA2" w:rsidRDefault="001E6821" w:rsidP="00BE289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p>
        </w:tc>
        <w:tc>
          <w:tcPr>
            <w:tcW w:w="1271" w:type="dxa"/>
            <w:shd w:val="clear" w:color="auto" w:fill="F2F2F2" w:themeFill="background1" w:themeFillShade="F2"/>
            <w:vAlign w:val="center"/>
          </w:tcPr>
          <w:p w14:paraId="0389523A" w14:textId="6A126ED3" w:rsidR="001E6821" w:rsidRPr="00797CA2" w:rsidDel="001E6821" w:rsidRDefault="00CF1103" w:rsidP="00CB1326">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1.636</w:t>
            </w:r>
          </w:p>
        </w:tc>
        <w:tc>
          <w:tcPr>
            <w:tcW w:w="1083" w:type="dxa"/>
            <w:shd w:val="clear" w:color="auto" w:fill="F2F2F2" w:themeFill="background1" w:themeFillShade="F2"/>
            <w:vAlign w:val="center"/>
          </w:tcPr>
          <w:p w14:paraId="462420C2" w14:textId="7B5152DA" w:rsidR="001E6821" w:rsidRPr="00797CA2" w:rsidRDefault="00CF1103" w:rsidP="00CB132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-2.6%</w:t>
            </w:r>
          </w:p>
        </w:tc>
        <w:tc>
          <w:tcPr>
            <w:tcW w:w="1076" w:type="dxa"/>
            <w:shd w:val="clear" w:color="auto" w:fill="F2F2F2" w:themeFill="background1" w:themeFillShade="F2"/>
            <w:vAlign w:val="center"/>
          </w:tcPr>
          <w:p w14:paraId="73099A53" w14:textId="7C9B5E3A" w:rsidR="001E6821" w:rsidRPr="00797CA2" w:rsidRDefault="00CF1103" w:rsidP="00CB132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-2.5%</w:t>
            </w:r>
          </w:p>
        </w:tc>
        <w:tc>
          <w:tcPr>
            <w:tcW w:w="1055" w:type="dxa"/>
            <w:shd w:val="clear" w:color="auto" w:fill="F2F2F2" w:themeFill="background1" w:themeFillShade="F2"/>
            <w:vAlign w:val="center"/>
          </w:tcPr>
          <w:p w14:paraId="527258EA" w14:textId="00CEF44A" w:rsidR="001E6821" w:rsidRPr="00797CA2" w:rsidRDefault="00CF1103" w:rsidP="00BE289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5.3%</w:t>
            </w:r>
          </w:p>
        </w:tc>
        <w:tc>
          <w:tcPr>
            <w:tcW w:w="1435" w:type="dxa"/>
            <w:shd w:val="clear" w:color="auto" w:fill="F2F2F2" w:themeFill="background1" w:themeFillShade="F2"/>
            <w:vAlign w:val="center"/>
          </w:tcPr>
          <w:p w14:paraId="07C9DF1B" w14:textId="7E47993D" w:rsidR="001E6821" w:rsidRPr="00797CA2" w:rsidRDefault="000C344D" w:rsidP="00CB1326">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34.7</w:t>
            </w:r>
            <w:r w:rsidR="00CF1103">
              <w:rPr>
                <w:rFonts w:ascii="Calibri" w:hAnsi="Calibri" w:cs="Calibri"/>
                <w:color w:val="000000"/>
                <w:sz w:val="20"/>
              </w:rPr>
              <w:t>%</w:t>
            </w:r>
          </w:p>
        </w:tc>
      </w:tr>
      <w:tr w:rsidR="00B243D8" w:rsidRPr="00797CA2" w14:paraId="228BC082"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7644F9FE" w14:textId="77777777" w:rsidR="00C54EB6" w:rsidRPr="00797CA2" w:rsidRDefault="00C54EB6" w:rsidP="00C54EB6">
            <w:pPr>
              <w:spacing w:before="0" w:after="0"/>
              <w:ind w:firstLineChars="200" w:firstLine="400"/>
              <w:rPr>
                <w:rFonts w:ascii="Calibri" w:hAnsi="Calibri" w:cs="Calibri"/>
                <w:iCs/>
                <w:color w:val="000000"/>
                <w:sz w:val="20"/>
              </w:rPr>
            </w:pPr>
            <w:r w:rsidRPr="00797CA2">
              <w:rPr>
                <w:rFonts w:ascii="Calibri" w:hAnsi="Calibri" w:cs="Calibri"/>
                <w:iCs/>
                <w:color w:val="000000"/>
                <w:sz w:val="20"/>
              </w:rPr>
              <w:t>Domestic final demand (</w:t>
            </w:r>
            <w:proofErr w:type="spellStart"/>
            <w:r w:rsidRPr="00797CA2">
              <w:rPr>
                <w:rFonts w:ascii="Calibri" w:hAnsi="Calibri" w:cs="Calibri"/>
                <w:iCs/>
                <w:color w:val="000000"/>
                <w:sz w:val="20"/>
              </w:rPr>
              <w:t>Aus</w:t>
            </w:r>
            <w:proofErr w:type="spellEnd"/>
            <w:r w:rsidRPr="00797CA2">
              <w:rPr>
                <w:rFonts w:ascii="Calibri" w:hAnsi="Calibri" w:cs="Calibri"/>
                <w:iCs/>
                <w:color w:val="000000"/>
                <w:sz w:val="20"/>
              </w:rPr>
              <w:t>) (</w:t>
            </w:r>
            <w:proofErr w:type="spellStart"/>
            <w:r w:rsidRPr="00797CA2">
              <w:rPr>
                <w:rFonts w:ascii="Calibri" w:hAnsi="Calibri" w:cs="Calibri"/>
                <w:iCs/>
                <w:color w:val="000000"/>
                <w:sz w:val="20"/>
              </w:rPr>
              <w:t>sa</w:t>
            </w:r>
            <w:proofErr w:type="spellEnd"/>
            <w:r w:rsidRPr="00797CA2">
              <w:rPr>
                <w:rFonts w:ascii="Calibri" w:hAnsi="Calibri" w:cs="Calibri"/>
                <w:iCs/>
                <w:color w:val="000000"/>
                <w:sz w:val="20"/>
              </w:rPr>
              <w:t>)</w:t>
            </w:r>
          </w:p>
        </w:tc>
        <w:tc>
          <w:tcPr>
            <w:tcW w:w="938" w:type="dxa"/>
            <w:vAlign w:val="center"/>
          </w:tcPr>
          <w:p w14:paraId="4F376DDF" w14:textId="322F08FD" w:rsidR="00C54EB6" w:rsidRPr="00797CA2" w:rsidRDefault="00CF1103" w:rsidP="00CB1326">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Jun-23</w:t>
            </w:r>
          </w:p>
        </w:tc>
        <w:tc>
          <w:tcPr>
            <w:tcW w:w="1271" w:type="dxa"/>
            <w:vAlign w:val="center"/>
          </w:tcPr>
          <w:p w14:paraId="1C7EF3BB" w14:textId="5D33D677" w:rsidR="00C54EB6" w:rsidRPr="00797CA2" w:rsidRDefault="00CF1103" w:rsidP="00CB1326">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545.092</w:t>
            </w:r>
          </w:p>
        </w:tc>
        <w:tc>
          <w:tcPr>
            <w:tcW w:w="1083" w:type="dxa"/>
            <w:vAlign w:val="center"/>
          </w:tcPr>
          <w:p w14:paraId="4D59201A" w14:textId="2D6C898F" w:rsidR="00C54EB6" w:rsidRPr="00797CA2" w:rsidRDefault="00CF1103" w:rsidP="00CB1326">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0.7%</w:t>
            </w:r>
          </w:p>
        </w:tc>
        <w:tc>
          <w:tcPr>
            <w:tcW w:w="1076" w:type="dxa"/>
            <w:vAlign w:val="center"/>
          </w:tcPr>
          <w:p w14:paraId="6F31771C" w14:textId="4D1576F5" w:rsidR="00C54EB6" w:rsidRPr="00797CA2" w:rsidRDefault="00CF1103"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2.2%</w:t>
            </w:r>
          </w:p>
        </w:tc>
        <w:tc>
          <w:tcPr>
            <w:tcW w:w="1055" w:type="dxa"/>
            <w:vAlign w:val="center"/>
          </w:tcPr>
          <w:p w14:paraId="57B35C11" w14:textId="597BB45D" w:rsidR="00C54EB6" w:rsidRPr="00797CA2" w:rsidRDefault="00CF1103" w:rsidP="00CB1326">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3.6%</w:t>
            </w:r>
          </w:p>
        </w:tc>
        <w:tc>
          <w:tcPr>
            <w:tcW w:w="1435" w:type="dxa"/>
            <w:vAlign w:val="center"/>
          </w:tcPr>
          <w:p w14:paraId="16DFCB6D" w14:textId="186BADEA" w:rsidR="00C54EB6" w:rsidRPr="00797CA2" w:rsidRDefault="000C344D" w:rsidP="00CB1326">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10.4</w:t>
            </w:r>
            <w:r w:rsidR="00CF1103">
              <w:rPr>
                <w:rFonts w:ascii="Calibri" w:hAnsi="Calibri" w:cs="Calibri"/>
                <w:color w:val="000000"/>
                <w:sz w:val="20"/>
              </w:rPr>
              <w:t>%</w:t>
            </w:r>
          </w:p>
        </w:tc>
      </w:tr>
      <w:tr w:rsidR="00797CA2" w:rsidRPr="00797CA2" w14:paraId="3BF346B9" w14:textId="77777777" w:rsidTr="00BE289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2F2F2" w:themeFill="background1" w:themeFillShade="F2"/>
            <w:vAlign w:val="center"/>
          </w:tcPr>
          <w:p w14:paraId="62E3F11E" w14:textId="77777777" w:rsidR="00DC1968" w:rsidRPr="00797CA2" w:rsidRDefault="00DC1968" w:rsidP="00EB7ACC">
            <w:pPr>
              <w:tabs>
                <w:tab w:val="left" w:pos="630"/>
              </w:tabs>
              <w:spacing w:before="0" w:after="0"/>
              <w:ind w:firstLineChars="200" w:firstLine="400"/>
              <w:rPr>
                <w:rFonts w:ascii="Calibri" w:hAnsi="Calibri" w:cs="Calibri"/>
                <w:iCs/>
                <w:color w:val="000000"/>
                <w:sz w:val="20"/>
              </w:rPr>
            </w:pPr>
            <w:r w:rsidRPr="00797CA2">
              <w:rPr>
                <w:rFonts w:ascii="Calibri" w:hAnsi="Calibri" w:cs="Calibri"/>
                <w:iCs/>
                <w:color w:val="000000"/>
                <w:sz w:val="20"/>
              </w:rPr>
              <w:tab/>
              <w:t>Consumption</w:t>
            </w:r>
          </w:p>
        </w:tc>
        <w:tc>
          <w:tcPr>
            <w:tcW w:w="938" w:type="dxa"/>
            <w:shd w:val="clear" w:color="auto" w:fill="F2F2F2" w:themeFill="background1" w:themeFillShade="F2"/>
            <w:vAlign w:val="center"/>
          </w:tcPr>
          <w:p w14:paraId="5DA6044F" w14:textId="77777777" w:rsidR="00DC1968" w:rsidRPr="00797CA2" w:rsidRDefault="00DC1968" w:rsidP="00EB7AC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p>
        </w:tc>
        <w:tc>
          <w:tcPr>
            <w:tcW w:w="1271" w:type="dxa"/>
            <w:shd w:val="clear" w:color="auto" w:fill="F2F2F2" w:themeFill="background1" w:themeFillShade="F2"/>
            <w:vAlign w:val="center"/>
          </w:tcPr>
          <w:p w14:paraId="45002091" w14:textId="0733354F" w:rsidR="00DC1968" w:rsidRPr="00797CA2" w:rsidDel="001E6821" w:rsidRDefault="00CF1103" w:rsidP="00CB1326">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415.295</w:t>
            </w:r>
          </w:p>
        </w:tc>
        <w:tc>
          <w:tcPr>
            <w:tcW w:w="1083" w:type="dxa"/>
            <w:shd w:val="clear" w:color="auto" w:fill="F2F2F2" w:themeFill="background1" w:themeFillShade="F2"/>
            <w:vAlign w:val="center"/>
          </w:tcPr>
          <w:p w14:paraId="30EE3AA9" w14:textId="1748A6EF" w:rsidR="00DC1968" w:rsidRPr="00797CA2" w:rsidRDefault="00CF1103" w:rsidP="00CB132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0.2%</w:t>
            </w:r>
          </w:p>
        </w:tc>
        <w:tc>
          <w:tcPr>
            <w:tcW w:w="1076" w:type="dxa"/>
            <w:shd w:val="clear" w:color="auto" w:fill="F2F2F2" w:themeFill="background1" w:themeFillShade="F2"/>
            <w:vAlign w:val="center"/>
          </w:tcPr>
          <w:p w14:paraId="3E4D3305" w14:textId="58EA05DF" w:rsidR="00DC1968" w:rsidRPr="00797CA2" w:rsidRDefault="00CF1103" w:rsidP="00EB7ACC">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1.4%</w:t>
            </w:r>
          </w:p>
        </w:tc>
        <w:tc>
          <w:tcPr>
            <w:tcW w:w="1055" w:type="dxa"/>
            <w:shd w:val="clear" w:color="auto" w:fill="F2F2F2" w:themeFill="background1" w:themeFillShade="F2"/>
            <w:vAlign w:val="center"/>
          </w:tcPr>
          <w:p w14:paraId="32AB278D" w14:textId="13AB1788" w:rsidR="00DC1968" w:rsidRPr="00797CA2" w:rsidRDefault="00CF1103" w:rsidP="00EB7ACC">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4.2%</w:t>
            </w:r>
          </w:p>
        </w:tc>
        <w:tc>
          <w:tcPr>
            <w:tcW w:w="1435" w:type="dxa"/>
            <w:shd w:val="clear" w:color="auto" w:fill="F2F2F2" w:themeFill="background1" w:themeFillShade="F2"/>
            <w:vAlign w:val="center"/>
          </w:tcPr>
          <w:p w14:paraId="6B1912CE" w14:textId="3BF14D69" w:rsidR="00DC1968" w:rsidRPr="00797CA2" w:rsidRDefault="000C344D" w:rsidP="00EB7ACC">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10.3</w:t>
            </w:r>
            <w:r w:rsidR="00CF1103">
              <w:rPr>
                <w:rFonts w:ascii="Calibri" w:hAnsi="Calibri" w:cs="Calibri"/>
                <w:color w:val="000000"/>
                <w:sz w:val="20"/>
              </w:rPr>
              <w:t>%</w:t>
            </w:r>
          </w:p>
        </w:tc>
      </w:tr>
      <w:tr w:rsidR="00DC1968" w:rsidRPr="00797CA2" w14:paraId="7216D14E"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2F2F2" w:themeFill="background1" w:themeFillShade="F2"/>
            <w:vAlign w:val="center"/>
          </w:tcPr>
          <w:p w14:paraId="7EECF19B" w14:textId="77777777" w:rsidR="00DC1968" w:rsidRPr="00797CA2" w:rsidRDefault="00DC1968" w:rsidP="00EB7ACC">
            <w:pPr>
              <w:tabs>
                <w:tab w:val="left" w:pos="630"/>
              </w:tabs>
              <w:spacing w:before="0" w:after="0"/>
              <w:ind w:firstLineChars="200" w:firstLine="400"/>
              <w:rPr>
                <w:rFonts w:ascii="Calibri" w:hAnsi="Calibri" w:cs="Calibri"/>
                <w:iCs/>
                <w:color w:val="000000"/>
                <w:sz w:val="20"/>
              </w:rPr>
            </w:pPr>
            <w:r w:rsidRPr="00797CA2">
              <w:rPr>
                <w:rFonts w:ascii="Calibri" w:hAnsi="Calibri" w:cs="Calibri"/>
                <w:iCs/>
                <w:color w:val="000000"/>
                <w:sz w:val="20"/>
              </w:rPr>
              <w:tab/>
              <w:t>Investment</w:t>
            </w:r>
          </w:p>
        </w:tc>
        <w:tc>
          <w:tcPr>
            <w:tcW w:w="938" w:type="dxa"/>
            <w:shd w:val="clear" w:color="auto" w:fill="F2F2F2" w:themeFill="background1" w:themeFillShade="F2"/>
            <w:vAlign w:val="center"/>
          </w:tcPr>
          <w:p w14:paraId="62FDD5AC" w14:textId="77777777" w:rsidR="00DC1968" w:rsidRPr="00797CA2" w:rsidRDefault="00DC1968" w:rsidP="00EB7AC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c>
          <w:tcPr>
            <w:tcW w:w="1271" w:type="dxa"/>
            <w:shd w:val="clear" w:color="auto" w:fill="F2F2F2" w:themeFill="background1" w:themeFillShade="F2"/>
            <w:vAlign w:val="center"/>
          </w:tcPr>
          <w:p w14:paraId="3EFB05D2" w14:textId="01FAD13F" w:rsidR="00DC1968" w:rsidRPr="00797CA2" w:rsidDel="001E6821" w:rsidRDefault="00CF1103" w:rsidP="00EB7ACC">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129.796</w:t>
            </w:r>
          </w:p>
        </w:tc>
        <w:tc>
          <w:tcPr>
            <w:tcW w:w="1083" w:type="dxa"/>
            <w:shd w:val="clear" w:color="auto" w:fill="F2F2F2" w:themeFill="background1" w:themeFillShade="F2"/>
            <w:vAlign w:val="center"/>
          </w:tcPr>
          <w:p w14:paraId="3F1B1711" w14:textId="6A0F2A58" w:rsidR="00DC1968" w:rsidRPr="00797CA2" w:rsidRDefault="00CF1103" w:rsidP="00EB7ACC">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2.4%</w:t>
            </w:r>
          </w:p>
        </w:tc>
        <w:tc>
          <w:tcPr>
            <w:tcW w:w="1076" w:type="dxa"/>
            <w:shd w:val="clear" w:color="auto" w:fill="F2F2F2" w:themeFill="background1" w:themeFillShade="F2"/>
            <w:vAlign w:val="center"/>
          </w:tcPr>
          <w:p w14:paraId="0D50AF7C" w14:textId="57EF431E" w:rsidR="00DC1968" w:rsidRPr="00797CA2" w:rsidRDefault="00CF1103" w:rsidP="00EB7ACC">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4.7%</w:t>
            </w:r>
          </w:p>
        </w:tc>
        <w:tc>
          <w:tcPr>
            <w:tcW w:w="1055" w:type="dxa"/>
            <w:shd w:val="clear" w:color="auto" w:fill="F2F2F2" w:themeFill="background1" w:themeFillShade="F2"/>
            <w:vAlign w:val="center"/>
          </w:tcPr>
          <w:p w14:paraId="6B68E663" w14:textId="65A64216" w:rsidR="00DC1968" w:rsidRPr="00797CA2" w:rsidRDefault="00CF1103" w:rsidP="00CB1326">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1.9%</w:t>
            </w:r>
          </w:p>
        </w:tc>
        <w:tc>
          <w:tcPr>
            <w:tcW w:w="1435" w:type="dxa"/>
            <w:shd w:val="clear" w:color="auto" w:fill="F2F2F2" w:themeFill="background1" w:themeFillShade="F2"/>
            <w:vAlign w:val="center"/>
          </w:tcPr>
          <w:p w14:paraId="325B429A" w14:textId="101324E3" w:rsidR="00DC1968" w:rsidRPr="00797CA2" w:rsidRDefault="00CF1103" w:rsidP="000C344D">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w:t>
            </w:r>
            <w:r w:rsidR="000C344D">
              <w:rPr>
                <w:rFonts w:ascii="Calibri" w:hAnsi="Calibri" w:cs="Calibri"/>
                <w:color w:val="000000"/>
                <w:sz w:val="20"/>
              </w:rPr>
              <w:t>0.6</w:t>
            </w:r>
            <w:r>
              <w:rPr>
                <w:rFonts w:ascii="Calibri" w:hAnsi="Calibri" w:cs="Calibri"/>
                <w:color w:val="000000"/>
                <w:sz w:val="20"/>
              </w:rPr>
              <w:t>%</w:t>
            </w:r>
          </w:p>
        </w:tc>
      </w:tr>
      <w:tr w:rsidR="00B243D8" w:rsidRPr="00797CA2" w14:paraId="34DF0667" w14:textId="77777777" w:rsidTr="00BF26A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4783A1F0" w14:textId="77777777" w:rsidR="00C54EB6" w:rsidRPr="00995976" w:rsidRDefault="00C54EB6" w:rsidP="00C54EB6">
            <w:pPr>
              <w:spacing w:before="0" w:after="0"/>
              <w:ind w:firstLineChars="200" w:firstLine="400"/>
              <w:rPr>
                <w:rFonts w:ascii="Calibri" w:hAnsi="Calibri" w:cs="Calibri"/>
                <w:iCs/>
                <w:color w:val="000000"/>
                <w:sz w:val="20"/>
              </w:rPr>
            </w:pPr>
            <w:r w:rsidRPr="00B243D8">
              <w:rPr>
                <w:rFonts w:ascii="Calibri" w:hAnsi="Calibri" w:cs="Calibri"/>
                <w:iCs/>
                <w:color w:val="000000"/>
                <w:sz w:val="20"/>
              </w:rPr>
              <w:t>Gross state product (NT)</w:t>
            </w:r>
          </w:p>
        </w:tc>
        <w:tc>
          <w:tcPr>
            <w:tcW w:w="938" w:type="dxa"/>
            <w:shd w:val="clear" w:color="auto" w:fill="auto"/>
            <w:vAlign w:val="center"/>
          </w:tcPr>
          <w:p w14:paraId="1FE84603" w14:textId="30718A6E" w:rsidR="00C54EB6" w:rsidRPr="00392EA0" w:rsidRDefault="00CF1103" w:rsidP="00C54EB6">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2021-22</w:t>
            </w:r>
          </w:p>
        </w:tc>
        <w:tc>
          <w:tcPr>
            <w:tcW w:w="1271" w:type="dxa"/>
            <w:shd w:val="clear" w:color="auto" w:fill="auto"/>
            <w:vAlign w:val="center"/>
          </w:tcPr>
          <w:p w14:paraId="2CD2A20E" w14:textId="221CCA0B" w:rsidR="00C54EB6" w:rsidRPr="00995976" w:rsidRDefault="00CF1103" w:rsidP="00720F41">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26.058</w:t>
            </w:r>
          </w:p>
        </w:tc>
        <w:tc>
          <w:tcPr>
            <w:tcW w:w="1083" w:type="dxa"/>
            <w:shd w:val="clear" w:color="auto" w:fill="auto"/>
            <w:vAlign w:val="center"/>
          </w:tcPr>
          <w:p w14:paraId="279FB912" w14:textId="106AA81F" w:rsidR="00C54EB6" w:rsidRPr="00392EA0" w:rsidRDefault="00CF1103"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proofErr w:type="spellStart"/>
            <w:r>
              <w:rPr>
                <w:rFonts w:ascii="Calibri" w:hAnsi="Calibri" w:cs="Calibri"/>
                <w:color w:val="000000"/>
                <w:sz w:val="20"/>
              </w:rPr>
              <w:t>na</w:t>
            </w:r>
            <w:proofErr w:type="spellEnd"/>
          </w:p>
        </w:tc>
        <w:tc>
          <w:tcPr>
            <w:tcW w:w="1076" w:type="dxa"/>
            <w:shd w:val="clear" w:color="auto" w:fill="auto"/>
            <w:vAlign w:val="center"/>
          </w:tcPr>
          <w:p w14:paraId="358BB40B" w14:textId="0CB51C8D" w:rsidR="00C54EB6" w:rsidRPr="000A24B2" w:rsidRDefault="00CF1103"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proofErr w:type="spellStart"/>
            <w:r>
              <w:rPr>
                <w:rFonts w:ascii="Calibri" w:hAnsi="Calibri" w:cs="Calibri"/>
                <w:color w:val="000000"/>
                <w:sz w:val="20"/>
              </w:rPr>
              <w:t>na</w:t>
            </w:r>
            <w:proofErr w:type="spellEnd"/>
            <w:r>
              <w:rPr>
                <w:rFonts w:ascii="Calibri" w:hAnsi="Calibri" w:cs="Calibri"/>
                <w:color w:val="000000"/>
                <w:sz w:val="20"/>
              </w:rPr>
              <w:t xml:space="preserve"> </w:t>
            </w:r>
          </w:p>
        </w:tc>
        <w:tc>
          <w:tcPr>
            <w:tcW w:w="1055" w:type="dxa"/>
            <w:shd w:val="clear" w:color="auto" w:fill="auto"/>
            <w:vAlign w:val="center"/>
          </w:tcPr>
          <w:p w14:paraId="4B86CEEE" w14:textId="1050861A" w:rsidR="00C54EB6" w:rsidRPr="00797CA2" w:rsidRDefault="00CF1103"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4.7%</w:t>
            </w:r>
          </w:p>
        </w:tc>
        <w:tc>
          <w:tcPr>
            <w:tcW w:w="1435" w:type="dxa"/>
            <w:shd w:val="clear" w:color="auto" w:fill="auto"/>
            <w:vAlign w:val="center"/>
          </w:tcPr>
          <w:p w14:paraId="0DBD5E80" w14:textId="3A7EEBCA" w:rsidR="00C54EB6" w:rsidRPr="00797CA2" w:rsidRDefault="00CF1103" w:rsidP="00720F41">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proofErr w:type="spellStart"/>
            <w:r>
              <w:rPr>
                <w:rFonts w:ascii="Calibri" w:hAnsi="Calibri" w:cs="Calibri"/>
                <w:color w:val="000000"/>
                <w:sz w:val="20"/>
              </w:rPr>
              <w:t>na</w:t>
            </w:r>
            <w:proofErr w:type="spellEnd"/>
            <w:r>
              <w:rPr>
                <w:rFonts w:ascii="Calibri" w:hAnsi="Calibri" w:cs="Calibri"/>
                <w:color w:val="000000"/>
                <w:sz w:val="20"/>
              </w:rPr>
              <w:t xml:space="preserve"> </w:t>
            </w:r>
          </w:p>
        </w:tc>
      </w:tr>
      <w:tr w:rsidR="00B243D8" w:rsidRPr="00797CA2" w14:paraId="6954DEE5"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6B057635" w14:textId="4A126B58" w:rsidR="00937C11" w:rsidRPr="00995976" w:rsidRDefault="00720F41" w:rsidP="00937C11">
            <w:pPr>
              <w:spacing w:before="0" w:after="0"/>
              <w:ind w:firstLineChars="200" w:firstLine="400"/>
              <w:rPr>
                <w:rFonts w:ascii="Calibri" w:hAnsi="Calibri" w:cs="Calibri"/>
                <w:iCs/>
                <w:color w:val="000000"/>
                <w:sz w:val="20"/>
              </w:rPr>
            </w:pPr>
            <w:r w:rsidRPr="00B243D8">
              <w:rPr>
                <w:rFonts w:ascii="Calibri" w:hAnsi="Calibri" w:cs="Calibri"/>
                <w:iCs/>
                <w:color w:val="000000"/>
                <w:sz w:val="20"/>
              </w:rPr>
              <w:t>Gross domestic product (</w:t>
            </w:r>
            <w:proofErr w:type="spellStart"/>
            <w:r w:rsidRPr="00B243D8">
              <w:rPr>
                <w:rFonts w:ascii="Calibri" w:hAnsi="Calibri" w:cs="Calibri"/>
                <w:iCs/>
                <w:color w:val="000000"/>
                <w:sz w:val="20"/>
              </w:rPr>
              <w:t>Aus</w:t>
            </w:r>
            <w:proofErr w:type="spellEnd"/>
            <w:r w:rsidR="00937C11" w:rsidRPr="00995976">
              <w:rPr>
                <w:rFonts w:ascii="Calibri" w:hAnsi="Calibri" w:cs="Calibri"/>
                <w:iCs/>
                <w:color w:val="000000"/>
                <w:sz w:val="20"/>
              </w:rPr>
              <w:t>)</w:t>
            </w:r>
          </w:p>
        </w:tc>
        <w:tc>
          <w:tcPr>
            <w:tcW w:w="938" w:type="dxa"/>
            <w:vAlign w:val="center"/>
          </w:tcPr>
          <w:p w14:paraId="4B94B275" w14:textId="242A7A35" w:rsidR="00937C11" w:rsidRPr="00392EA0" w:rsidRDefault="00934BDD" w:rsidP="00937C11">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2022-23</w:t>
            </w:r>
          </w:p>
        </w:tc>
        <w:tc>
          <w:tcPr>
            <w:tcW w:w="1271" w:type="dxa"/>
            <w:vAlign w:val="center"/>
          </w:tcPr>
          <w:p w14:paraId="228F1F3A" w14:textId="22ED391F" w:rsidR="00937C11" w:rsidRPr="00995976" w:rsidRDefault="00934BDD" w:rsidP="006E31A4">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2229.827</w:t>
            </w:r>
          </w:p>
        </w:tc>
        <w:tc>
          <w:tcPr>
            <w:tcW w:w="1083" w:type="dxa"/>
            <w:vAlign w:val="center"/>
          </w:tcPr>
          <w:p w14:paraId="67ADBD0C" w14:textId="7AB3AC27" w:rsidR="00937C11" w:rsidRPr="00392EA0" w:rsidRDefault="001C0CA4"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roofErr w:type="spellStart"/>
            <w:r>
              <w:rPr>
                <w:rFonts w:ascii="Calibri" w:hAnsi="Calibri" w:cs="Calibri"/>
                <w:color w:val="000000"/>
                <w:sz w:val="20"/>
              </w:rPr>
              <w:t>na</w:t>
            </w:r>
            <w:proofErr w:type="spellEnd"/>
          </w:p>
        </w:tc>
        <w:tc>
          <w:tcPr>
            <w:tcW w:w="1076" w:type="dxa"/>
            <w:vAlign w:val="center"/>
          </w:tcPr>
          <w:p w14:paraId="0F3A726B" w14:textId="49568E02" w:rsidR="00937C11" w:rsidRPr="000A24B2" w:rsidRDefault="001C0CA4"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roofErr w:type="spellStart"/>
            <w:r>
              <w:rPr>
                <w:rFonts w:ascii="Calibri" w:hAnsi="Calibri" w:cs="Calibri"/>
                <w:color w:val="000000"/>
                <w:sz w:val="20"/>
              </w:rPr>
              <w:t>na</w:t>
            </w:r>
            <w:proofErr w:type="spellEnd"/>
            <w:r w:rsidR="00CF1103">
              <w:rPr>
                <w:rFonts w:ascii="Calibri" w:hAnsi="Calibri" w:cs="Calibri"/>
                <w:color w:val="000000"/>
                <w:sz w:val="20"/>
              </w:rPr>
              <w:t xml:space="preserve"> </w:t>
            </w:r>
          </w:p>
        </w:tc>
        <w:tc>
          <w:tcPr>
            <w:tcW w:w="1055" w:type="dxa"/>
            <w:vAlign w:val="center"/>
          </w:tcPr>
          <w:p w14:paraId="50442C6A" w14:textId="14946C2E" w:rsidR="00937C11" w:rsidRPr="00995976" w:rsidRDefault="00CF1103" w:rsidP="00934BDD">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w:t>
            </w:r>
            <w:r w:rsidR="00934BDD">
              <w:rPr>
                <w:rFonts w:ascii="Calibri" w:hAnsi="Calibri" w:cs="Calibri"/>
                <w:color w:val="000000"/>
                <w:sz w:val="20"/>
              </w:rPr>
              <w:t>4</w:t>
            </w:r>
            <w:r>
              <w:rPr>
                <w:rFonts w:ascii="Calibri" w:hAnsi="Calibri" w:cs="Calibri"/>
                <w:color w:val="000000"/>
                <w:sz w:val="20"/>
              </w:rPr>
              <w:t>%</w:t>
            </w:r>
          </w:p>
        </w:tc>
        <w:tc>
          <w:tcPr>
            <w:tcW w:w="1435" w:type="dxa"/>
            <w:vAlign w:val="center"/>
          </w:tcPr>
          <w:p w14:paraId="6268CB87" w14:textId="3F11DCCB" w:rsidR="00937C11" w:rsidRPr="00392EA0" w:rsidRDefault="001C0CA4" w:rsidP="00720F41">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roofErr w:type="spellStart"/>
            <w:r>
              <w:rPr>
                <w:rFonts w:ascii="Calibri" w:hAnsi="Calibri" w:cs="Calibri"/>
                <w:color w:val="000000"/>
                <w:sz w:val="20"/>
              </w:rPr>
              <w:t>na</w:t>
            </w:r>
            <w:proofErr w:type="spellEnd"/>
          </w:p>
        </w:tc>
      </w:tr>
      <w:tr w:rsidR="00B243D8" w:rsidRPr="00797CA2" w14:paraId="4AB58135" w14:textId="77777777" w:rsidTr="00BE289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77F7E3C2" w14:textId="77777777" w:rsidR="004F7E54" w:rsidRPr="00995976" w:rsidRDefault="004F7E54" w:rsidP="00BE2895">
            <w:pPr>
              <w:spacing w:before="20" w:after="20"/>
              <w:rPr>
                <w:rFonts w:ascii="Calibri" w:hAnsi="Calibri" w:cs="Calibri"/>
                <w:b/>
                <w:bCs/>
                <w:color w:val="000000"/>
                <w:sz w:val="20"/>
              </w:rPr>
            </w:pPr>
            <w:r w:rsidRPr="00B243D8">
              <w:rPr>
                <w:rFonts w:ascii="Calibri" w:hAnsi="Calibri" w:cs="Calibri"/>
                <w:b/>
                <w:bCs/>
                <w:color w:val="000000"/>
                <w:sz w:val="20"/>
              </w:rPr>
              <w:t>Partial Indicators</w:t>
            </w:r>
          </w:p>
        </w:tc>
        <w:tc>
          <w:tcPr>
            <w:tcW w:w="938" w:type="dxa"/>
            <w:vAlign w:val="center"/>
          </w:tcPr>
          <w:p w14:paraId="7BE9913E" w14:textId="77777777" w:rsidR="004F7E54" w:rsidRPr="00392EA0" w:rsidRDefault="004F7E54" w:rsidP="00BE2895">
            <w:pPr>
              <w:spacing w:before="20" w:after="2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392EA0">
              <w:rPr>
                <w:rFonts w:ascii="Calibri" w:hAnsi="Calibri" w:cs="Calibri"/>
                <w:color w:val="000000"/>
                <w:sz w:val="20"/>
              </w:rPr>
              <w:t> </w:t>
            </w:r>
          </w:p>
        </w:tc>
        <w:tc>
          <w:tcPr>
            <w:tcW w:w="1271" w:type="dxa"/>
            <w:vAlign w:val="center"/>
          </w:tcPr>
          <w:p w14:paraId="4A75FCD2" w14:textId="72F760BB" w:rsidR="004F7E54" w:rsidRPr="00BE2895" w:rsidRDefault="001034F8" w:rsidP="00BE2895">
            <w:pPr>
              <w:spacing w:before="20" w:after="2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20"/>
              </w:rPr>
            </w:pPr>
            <w:r w:rsidRPr="00BE2895">
              <w:rPr>
                <w:rFonts w:ascii="Calibri" w:hAnsi="Calibri" w:cs="Calibri"/>
                <w:b/>
                <w:color w:val="000000"/>
                <w:sz w:val="20"/>
              </w:rPr>
              <w:t>$B</w:t>
            </w:r>
          </w:p>
        </w:tc>
        <w:tc>
          <w:tcPr>
            <w:tcW w:w="1083" w:type="dxa"/>
            <w:vAlign w:val="center"/>
          </w:tcPr>
          <w:p w14:paraId="2B70E386" w14:textId="77777777" w:rsidR="004F7E54" w:rsidRPr="00995976" w:rsidRDefault="004F7E54" w:rsidP="00BE2895">
            <w:pPr>
              <w:spacing w:before="20" w:after="2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995976">
              <w:rPr>
                <w:rFonts w:ascii="Calibri" w:hAnsi="Calibri" w:cs="Calibri"/>
                <w:color w:val="000000"/>
                <w:sz w:val="20"/>
              </w:rPr>
              <w:t> </w:t>
            </w:r>
          </w:p>
        </w:tc>
        <w:tc>
          <w:tcPr>
            <w:tcW w:w="1076" w:type="dxa"/>
            <w:vAlign w:val="center"/>
          </w:tcPr>
          <w:p w14:paraId="24D5605A" w14:textId="77777777" w:rsidR="004F7E54" w:rsidRPr="00392EA0" w:rsidRDefault="004F7E54" w:rsidP="00BE2895">
            <w:pPr>
              <w:spacing w:before="20" w:after="2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392EA0">
              <w:rPr>
                <w:rFonts w:ascii="Calibri" w:hAnsi="Calibri" w:cs="Calibri"/>
                <w:color w:val="000000"/>
                <w:sz w:val="20"/>
              </w:rPr>
              <w:t> </w:t>
            </w:r>
          </w:p>
        </w:tc>
        <w:tc>
          <w:tcPr>
            <w:tcW w:w="1055" w:type="dxa"/>
            <w:vAlign w:val="center"/>
          </w:tcPr>
          <w:p w14:paraId="28DE19EA" w14:textId="77777777" w:rsidR="004F7E54" w:rsidRPr="000A24B2" w:rsidRDefault="004F7E54" w:rsidP="00BE2895">
            <w:pPr>
              <w:spacing w:before="20" w:after="2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0A24B2">
              <w:rPr>
                <w:rFonts w:ascii="Calibri" w:hAnsi="Calibri" w:cs="Calibri"/>
                <w:color w:val="000000"/>
                <w:sz w:val="20"/>
              </w:rPr>
              <w:t> </w:t>
            </w:r>
          </w:p>
        </w:tc>
        <w:tc>
          <w:tcPr>
            <w:tcW w:w="1435" w:type="dxa"/>
            <w:vAlign w:val="center"/>
          </w:tcPr>
          <w:p w14:paraId="6B94E8D7" w14:textId="77777777" w:rsidR="004F7E54" w:rsidRPr="00797CA2" w:rsidRDefault="004F7E54" w:rsidP="00BE2895">
            <w:pPr>
              <w:spacing w:before="20" w:after="2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 </w:t>
            </w:r>
          </w:p>
        </w:tc>
      </w:tr>
      <w:tr w:rsidR="00B243D8" w:rsidRPr="00797CA2" w14:paraId="30F57EF8"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302AA6E5" w14:textId="77777777" w:rsidR="00D76F16" w:rsidRPr="00420059" w:rsidRDefault="00D76F16" w:rsidP="00D76F16">
            <w:pPr>
              <w:spacing w:before="0" w:after="0"/>
              <w:ind w:firstLineChars="200" w:firstLine="400"/>
              <w:rPr>
                <w:rFonts w:ascii="Calibri" w:hAnsi="Calibri" w:cs="Calibri"/>
                <w:iCs/>
                <w:color w:val="000000"/>
                <w:sz w:val="20"/>
              </w:rPr>
            </w:pPr>
            <w:r w:rsidRPr="00420059">
              <w:rPr>
                <w:rFonts w:ascii="Calibri" w:hAnsi="Calibri" w:cs="Calibri"/>
                <w:iCs/>
                <w:color w:val="000000"/>
                <w:sz w:val="20"/>
              </w:rPr>
              <w:t>Nominal retail sales (NT) (</w:t>
            </w:r>
            <w:proofErr w:type="spellStart"/>
            <w:r w:rsidRPr="00420059">
              <w:rPr>
                <w:rFonts w:ascii="Calibri" w:hAnsi="Calibri" w:cs="Calibri"/>
                <w:iCs/>
                <w:color w:val="000000"/>
                <w:sz w:val="20"/>
              </w:rPr>
              <w:t>sa</w:t>
            </w:r>
            <w:proofErr w:type="spellEnd"/>
            <w:r w:rsidRPr="00420059">
              <w:rPr>
                <w:rFonts w:ascii="Calibri" w:hAnsi="Calibri" w:cs="Calibri"/>
                <w:iCs/>
                <w:color w:val="000000"/>
                <w:sz w:val="20"/>
              </w:rPr>
              <w:t>)</w:t>
            </w:r>
          </w:p>
        </w:tc>
        <w:tc>
          <w:tcPr>
            <w:tcW w:w="938" w:type="dxa"/>
            <w:vAlign w:val="center"/>
          </w:tcPr>
          <w:p w14:paraId="6F517475" w14:textId="255A6074" w:rsidR="00D76F16" w:rsidRPr="00420059" w:rsidRDefault="00CF1103" w:rsidP="00D76F16">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Jul-23</w:t>
            </w:r>
          </w:p>
        </w:tc>
        <w:tc>
          <w:tcPr>
            <w:tcW w:w="1271" w:type="dxa"/>
            <w:vAlign w:val="center"/>
          </w:tcPr>
          <w:p w14:paraId="22EDA178" w14:textId="5ABC4798" w:rsidR="00D76F16" w:rsidRPr="00420059" w:rsidRDefault="00CF1103" w:rsidP="00420059">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0.321</w:t>
            </w:r>
          </w:p>
        </w:tc>
        <w:tc>
          <w:tcPr>
            <w:tcW w:w="1083" w:type="dxa"/>
            <w:vAlign w:val="center"/>
          </w:tcPr>
          <w:p w14:paraId="115840E7" w14:textId="471405E9" w:rsidR="00D76F16" w:rsidRPr="00420059" w:rsidRDefault="00CF1103" w:rsidP="00CB1326">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-0.2%</w:t>
            </w:r>
          </w:p>
        </w:tc>
        <w:tc>
          <w:tcPr>
            <w:tcW w:w="1076" w:type="dxa"/>
            <w:vAlign w:val="center"/>
          </w:tcPr>
          <w:p w14:paraId="01BE9C43" w14:textId="4D549428" w:rsidR="00D76F16" w:rsidRPr="00420059" w:rsidRDefault="00CF1103"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3.6%</w:t>
            </w:r>
          </w:p>
        </w:tc>
        <w:tc>
          <w:tcPr>
            <w:tcW w:w="1055" w:type="dxa"/>
            <w:vAlign w:val="center"/>
          </w:tcPr>
          <w:p w14:paraId="087D6E9D" w14:textId="2EFF9646" w:rsidR="00D76F16" w:rsidRPr="00671F95" w:rsidRDefault="00D2496C"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4.1</w:t>
            </w:r>
            <w:r w:rsidR="00CF1103">
              <w:rPr>
                <w:rFonts w:ascii="Calibri" w:hAnsi="Calibri" w:cs="Calibri"/>
                <w:color w:val="000000"/>
                <w:sz w:val="20"/>
              </w:rPr>
              <w:t>%</w:t>
            </w:r>
          </w:p>
        </w:tc>
        <w:tc>
          <w:tcPr>
            <w:tcW w:w="1435" w:type="dxa"/>
            <w:vAlign w:val="center"/>
          </w:tcPr>
          <w:p w14:paraId="4F094053" w14:textId="4E2CD023" w:rsidR="00D76F16" w:rsidRPr="00420059" w:rsidRDefault="00CF1103" w:rsidP="000C344D">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w:t>
            </w:r>
            <w:r w:rsidR="000C344D">
              <w:rPr>
                <w:rFonts w:ascii="Calibri" w:hAnsi="Calibri" w:cs="Calibri"/>
                <w:color w:val="000000"/>
                <w:sz w:val="20"/>
              </w:rPr>
              <w:t>1</w:t>
            </w:r>
            <w:r>
              <w:rPr>
                <w:rFonts w:ascii="Calibri" w:hAnsi="Calibri" w:cs="Calibri"/>
                <w:color w:val="000000"/>
                <w:sz w:val="20"/>
              </w:rPr>
              <w:t>.3%</w:t>
            </w:r>
          </w:p>
        </w:tc>
      </w:tr>
      <w:tr w:rsidR="00B243D8" w:rsidRPr="00797CA2" w14:paraId="13AF2B0F" w14:textId="77777777" w:rsidTr="00BF26A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5514BDF1" w14:textId="7D181709" w:rsidR="00D76F16" w:rsidRPr="00420059" w:rsidRDefault="00D76F16" w:rsidP="00720F41">
            <w:pPr>
              <w:spacing w:before="0" w:after="0"/>
              <w:ind w:firstLineChars="200" w:firstLine="400"/>
              <w:rPr>
                <w:rFonts w:ascii="Calibri" w:hAnsi="Calibri" w:cs="Calibri"/>
                <w:iCs/>
                <w:color w:val="000000"/>
                <w:sz w:val="20"/>
              </w:rPr>
            </w:pPr>
            <w:r w:rsidRPr="00420059">
              <w:rPr>
                <w:rFonts w:ascii="Calibri" w:hAnsi="Calibri" w:cs="Calibri"/>
                <w:iCs/>
                <w:color w:val="000000"/>
                <w:sz w:val="20"/>
              </w:rPr>
              <w:t>Nominal retail sales (</w:t>
            </w:r>
            <w:proofErr w:type="spellStart"/>
            <w:r w:rsidRPr="00420059">
              <w:rPr>
                <w:rFonts w:ascii="Calibri" w:hAnsi="Calibri" w:cs="Calibri"/>
                <w:iCs/>
                <w:color w:val="000000"/>
                <w:sz w:val="20"/>
              </w:rPr>
              <w:t>Aus</w:t>
            </w:r>
            <w:proofErr w:type="spellEnd"/>
            <w:r w:rsidRPr="00420059">
              <w:rPr>
                <w:rFonts w:ascii="Calibri" w:hAnsi="Calibri" w:cs="Calibri"/>
                <w:iCs/>
                <w:color w:val="000000"/>
                <w:sz w:val="20"/>
              </w:rPr>
              <w:t>) (</w:t>
            </w:r>
            <w:proofErr w:type="spellStart"/>
            <w:r w:rsidRPr="00420059">
              <w:rPr>
                <w:rFonts w:ascii="Calibri" w:hAnsi="Calibri" w:cs="Calibri"/>
                <w:iCs/>
                <w:color w:val="000000"/>
                <w:sz w:val="20"/>
              </w:rPr>
              <w:t>sa</w:t>
            </w:r>
            <w:proofErr w:type="spellEnd"/>
            <w:r w:rsidRPr="00420059">
              <w:rPr>
                <w:rFonts w:ascii="Calibri" w:hAnsi="Calibri" w:cs="Calibri"/>
                <w:iCs/>
                <w:color w:val="000000"/>
                <w:sz w:val="20"/>
              </w:rPr>
              <w:t>)</w:t>
            </w:r>
          </w:p>
        </w:tc>
        <w:tc>
          <w:tcPr>
            <w:tcW w:w="938" w:type="dxa"/>
            <w:shd w:val="clear" w:color="auto" w:fill="auto"/>
            <w:vAlign w:val="center"/>
          </w:tcPr>
          <w:p w14:paraId="17C7BC31" w14:textId="5B6FCFE4" w:rsidR="00D76F16" w:rsidRPr="00420059" w:rsidRDefault="00CF1103" w:rsidP="00D76F16">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Jul-23</w:t>
            </w:r>
          </w:p>
        </w:tc>
        <w:tc>
          <w:tcPr>
            <w:tcW w:w="1271" w:type="dxa"/>
            <w:shd w:val="clear" w:color="auto" w:fill="auto"/>
            <w:vAlign w:val="center"/>
          </w:tcPr>
          <w:p w14:paraId="648B5E05" w14:textId="1AB91354" w:rsidR="00D76F16" w:rsidRPr="00420059" w:rsidRDefault="00CF1103" w:rsidP="00420059">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35.383</w:t>
            </w:r>
          </w:p>
        </w:tc>
        <w:tc>
          <w:tcPr>
            <w:tcW w:w="1083" w:type="dxa"/>
            <w:shd w:val="clear" w:color="auto" w:fill="auto"/>
            <w:vAlign w:val="center"/>
          </w:tcPr>
          <w:p w14:paraId="51A2C4D3" w14:textId="7B9C1FE8" w:rsidR="00D76F16" w:rsidRPr="00671F95" w:rsidRDefault="00CF1103"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0.5%</w:t>
            </w:r>
          </w:p>
        </w:tc>
        <w:tc>
          <w:tcPr>
            <w:tcW w:w="1076" w:type="dxa"/>
            <w:shd w:val="clear" w:color="auto" w:fill="auto"/>
            <w:vAlign w:val="center"/>
          </w:tcPr>
          <w:p w14:paraId="6C65B8C7" w14:textId="39E6774C" w:rsidR="00D76F16" w:rsidRPr="00671F95" w:rsidRDefault="00CF1103"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2.1%</w:t>
            </w:r>
          </w:p>
        </w:tc>
        <w:tc>
          <w:tcPr>
            <w:tcW w:w="1055" w:type="dxa"/>
            <w:shd w:val="clear" w:color="auto" w:fill="auto"/>
            <w:vAlign w:val="center"/>
          </w:tcPr>
          <w:p w14:paraId="156E9A3D" w14:textId="462035F0" w:rsidR="00D76F16" w:rsidRPr="00420059" w:rsidRDefault="00CF1103" w:rsidP="00CB132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7.8%</w:t>
            </w:r>
          </w:p>
        </w:tc>
        <w:tc>
          <w:tcPr>
            <w:tcW w:w="1435" w:type="dxa"/>
            <w:shd w:val="clear" w:color="auto" w:fill="auto"/>
            <w:vAlign w:val="center"/>
          </w:tcPr>
          <w:p w14:paraId="4F1FD806" w14:textId="7A5A1E65" w:rsidR="00D76F16" w:rsidRPr="00420059" w:rsidRDefault="00CF1103" w:rsidP="000C344D">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w:t>
            </w:r>
            <w:r w:rsidR="000C344D">
              <w:rPr>
                <w:rFonts w:ascii="Calibri" w:hAnsi="Calibri" w:cs="Calibri"/>
                <w:color w:val="000000"/>
                <w:sz w:val="20"/>
              </w:rPr>
              <w:t>8.0</w:t>
            </w:r>
            <w:r>
              <w:rPr>
                <w:rFonts w:ascii="Calibri" w:hAnsi="Calibri" w:cs="Calibri"/>
                <w:color w:val="000000"/>
                <w:sz w:val="20"/>
              </w:rPr>
              <w:t>%</w:t>
            </w:r>
          </w:p>
        </w:tc>
      </w:tr>
      <w:tr w:rsidR="00B243D8" w:rsidRPr="00797CA2" w14:paraId="4476EC8B"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42139FDD" w14:textId="77777777" w:rsidR="003763FC" w:rsidRPr="00995976" w:rsidRDefault="003763FC" w:rsidP="003763FC">
            <w:pPr>
              <w:spacing w:before="0" w:after="0"/>
              <w:ind w:firstLineChars="200" w:firstLine="160"/>
              <w:rPr>
                <w:rFonts w:ascii="Calibri" w:hAnsi="Calibri" w:cs="Calibri"/>
                <w:iCs/>
                <w:color w:val="000000"/>
                <w:sz w:val="8"/>
                <w:szCs w:val="8"/>
              </w:rPr>
            </w:pPr>
            <w:r w:rsidRPr="00B243D8">
              <w:rPr>
                <w:rFonts w:ascii="Calibri" w:hAnsi="Calibri" w:cs="Calibri"/>
                <w:iCs/>
                <w:color w:val="000000"/>
                <w:sz w:val="8"/>
                <w:szCs w:val="8"/>
              </w:rPr>
              <w:t> </w:t>
            </w:r>
          </w:p>
        </w:tc>
        <w:tc>
          <w:tcPr>
            <w:tcW w:w="938" w:type="dxa"/>
            <w:vAlign w:val="center"/>
          </w:tcPr>
          <w:p w14:paraId="05E8AAB8" w14:textId="2E01F320" w:rsidR="003763FC" w:rsidRPr="00392EA0"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p>
        </w:tc>
        <w:tc>
          <w:tcPr>
            <w:tcW w:w="1271" w:type="dxa"/>
            <w:vAlign w:val="center"/>
          </w:tcPr>
          <w:p w14:paraId="49EA089E" w14:textId="42B828CC" w:rsidR="003763FC" w:rsidRPr="000A24B2" w:rsidRDefault="003763FC" w:rsidP="00720F41">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p>
        </w:tc>
        <w:tc>
          <w:tcPr>
            <w:tcW w:w="1083" w:type="dxa"/>
            <w:vAlign w:val="center"/>
          </w:tcPr>
          <w:p w14:paraId="325982F2" w14:textId="247F4CF5" w:rsidR="003763FC" w:rsidRPr="00797CA2" w:rsidRDefault="003763FC"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p>
        </w:tc>
        <w:tc>
          <w:tcPr>
            <w:tcW w:w="1076" w:type="dxa"/>
            <w:vAlign w:val="center"/>
          </w:tcPr>
          <w:p w14:paraId="2F0146D2" w14:textId="4D49D50E" w:rsidR="003763FC" w:rsidRPr="00797CA2" w:rsidRDefault="003763FC"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p>
        </w:tc>
        <w:tc>
          <w:tcPr>
            <w:tcW w:w="1055" w:type="dxa"/>
            <w:vAlign w:val="center"/>
          </w:tcPr>
          <w:p w14:paraId="5F06B603" w14:textId="0C30F594" w:rsidR="003763FC" w:rsidRPr="00797CA2" w:rsidRDefault="003763FC"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p>
        </w:tc>
        <w:tc>
          <w:tcPr>
            <w:tcW w:w="1435" w:type="dxa"/>
            <w:vAlign w:val="center"/>
          </w:tcPr>
          <w:p w14:paraId="1F81751F" w14:textId="13C1C861" w:rsidR="003763FC" w:rsidRPr="00797CA2" w:rsidRDefault="003763FC" w:rsidP="00720F41">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p>
        </w:tc>
      </w:tr>
      <w:tr w:rsidR="00B243D8" w:rsidRPr="00797CA2" w14:paraId="3D4B7B8B" w14:textId="77777777" w:rsidTr="00BF26A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215D78E0" w14:textId="77777777" w:rsidR="00C54EB6" w:rsidRPr="00995976" w:rsidRDefault="00C54EB6" w:rsidP="00C54EB6">
            <w:pPr>
              <w:spacing w:before="0" w:after="0"/>
              <w:ind w:firstLineChars="200" w:firstLine="400"/>
              <w:rPr>
                <w:rFonts w:ascii="Calibri" w:hAnsi="Calibri" w:cs="Calibri"/>
                <w:iCs/>
                <w:color w:val="000000"/>
                <w:sz w:val="20"/>
              </w:rPr>
            </w:pPr>
            <w:r w:rsidRPr="00B243D8">
              <w:rPr>
                <w:rFonts w:ascii="Calibri" w:hAnsi="Calibri" w:cs="Calibri"/>
                <w:iCs/>
                <w:color w:val="000000"/>
                <w:sz w:val="20"/>
              </w:rPr>
              <w:t>Construction work done (NT) (</w:t>
            </w:r>
            <w:proofErr w:type="spellStart"/>
            <w:r w:rsidRPr="00B243D8">
              <w:rPr>
                <w:rFonts w:ascii="Calibri" w:hAnsi="Calibri" w:cs="Calibri"/>
                <w:iCs/>
                <w:color w:val="000000"/>
                <w:sz w:val="20"/>
              </w:rPr>
              <w:t>sa</w:t>
            </w:r>
            <w:proofErr w:type="spellEnd"/>
            <w:r w:rsidRPr="00B243D8">
              <w:rPr>
                <w:rFonts w:ascii="Calibri" w:hAnsi="Calibri" w:cs="Calibri"/>
                <w:iCs/>
                <w:color w:val="000000"/>
                <w:sz w:val="20"/>
              </w:rPr>
              <w:t>)</w:t>
            </w:r>
          </w:p>
        </w:tc>
        <w:tc>
          <w:tcPr>
            <w:tcW w:w="938" w:type="dxa"/>
            <w:shd w:val="clear" w:color="auto" w:fill="auto"/>
            <w:vAlign w:val="center"/>
          </w:tcPr>
          <w:p w14:paraId="19F2DDD4" w14:textId="74098D3D" w:rsidR="00C54EB6" w:rsidRPr="00392EA0" w:rsidRDefault="00CF1103" w:rsidP="00CF1103">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Jun-23</w:t>
            </w:r>
          </w:p>
        </w:tc>
        <w:tc>
          <w:tcPr>
            <w:tcW w:w="1271" w:type="dxa"/>
            <w:shd w:val="clear" w:color="auto" w:fill="auto"/>
            <w:vAlign w:val="center"/>
          </w:tcPr>
          <w:p w14:paraId="1534C730" w14:textId="740ADF4B" w:rsidR="00C54EB6" w:rsidRPr="00995976" w:rsidRDefault="00CF1103" w:rsidP="00CB1326">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0.755</w:t>
            </w:r>
          </w:p>
        </w:tc>
        <w:tc>
          <w:tcPr>
            <w:tcW w:w="1083" w:type="dxa"/>
            <w:shd w:val="clear" w:color="auto" w:fill="auto"/>
            <w:vAlign w:val="center"/>
          </w:tcPr>
          <w:p w14:paraId="24CA469E" w14:textId="74643965" w:rsidR="00C54EB6" w:rsidRPr="00392EA0" w:rsidRDefault="001C0CA4" w:rsidP="00CB132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5.0%</w:t>
            </w:r>
          </w:p>
        </w:tc>
        <w:tc>
          <w:tcPr>
            <w:tcW w:w="1076" w:type="dxa"/>
            <w:shd w:val="clear" w:color="auto" w:fill="auto"/>
            <w:vAlign w:val="center"/>
          </w:tcPr>
          <w:p w14:paraId="7F03EE7E" w14:textId="57E3F0DB" w:rsidR="00C54EB6" w:rsidRPr="000A24B2" w:rsidRDefault="001C0CA4"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6.6%</w:t>
            </w:r>
          </w:p>
        </w:tc>
        <w:tc>
          <w:tcPr>
            <w:tcW w:w="1055" w:type="dxa"/>
            <w:shd w:val="clear" w:color="auto" w:fill="auto"/>
            <w:vAlign w:val="center"/>
          </w:tcPr>
          <w:p w14:paraId="54E14278" w14:textId="39B0F8D0" w:rsidR="00C54EB6" w:rsidRPr="00995976" w:rsidRDefault="00D2496C" w:rsidP="00CB132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2.1</w:t>
            </w:r>
            <w:r w:rsidR="001C0CA4">
              <w:rPr>
                <w:rFonts w:ascii="Calibri" w:hAnsi="Calibri" w:cs="Calibri"/>
                <w:color w:val="000000"/>
                <w:sz w:val="20"/>
              </w:rPr>
              <w:t>%</w:t>
            </w:r>
          </w:p>
        </w:tc>
        <w:tc>
          <w:tcPr>
            <w:tcW w:w="1435" w:type="dxa"/>
            <w:shd w:val="clear" w:color="auto" w:fill="auto"/>
            <w:vAlign w:val="center"/>
          </w:tcPr>
          <w:p w14:paraId="60BFE89B" w14:textId="06F89050" w:rsidR="00C54EB6" w:rsidRPr="00392EA0" w:rsidRDefault="000C344D" w:rsidP="00720F41">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3</w:t>
            </w:r>
            <w:r w:rsidR="001C0CA4">
              <w:rPr>
                <w:rFonts w:ascii="Calibri" w:hAnsi="Calibri" w:cs="Calibri"/>
                <w:color w:val="000000"/>
                <w:sz w:val="20"/>
              </w:rPr>
              <w:t>7.4%</w:t>
            </w:r>
          </w:p>
        </w:tc>
      </w:tr>
      <w:tr w:rsidR="00B243D8" w:rsidRPr="00797CA2" w14:paraId="01B84F82"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13CF594B" w14:textId="5FB0FD5F" w:rsidR="00C54EB6" w:rsidRPr="00995976" w:rsidRDefault="00720F41" w:rsidP="00C54EB6">
            <w:pPr>
              <w:spacing w:before="0" w:after="0"/>
              <w:ind w:firstLineChars="200" w:firstLine="400"/>
              <w:rPr>
                <w:rFonts w:ascii="Calibri" w:hAnsi="Calibri" w:cs="Calibri"/>
                <w:iCs/>
                <w:color w:val="000000"/>
                <w:sz w:val="20"/>
              </w:rPr>
            </w:pPr>
            <w:r w:rsidRPr="00B243D8">
              <w:rPr>
                <w:rFonts w:ascii="Calibri" w:hAnsi="Calibri" w:cs="Calibri"/>
                <w:iCs/>
                <w:color w:val="000000"/>
                <w:sz w:val="20"/>
              </w:rPr>
              <w:t>Construction work done (</w:t>
            </w:r>
            <w:proofErr w:type="spellStart"/>
            <w:r w:rsidRPr="00B243D8">
              <w:rPr>
                <w:rFonts w:ascii="Calibri" w:hAnsi="Calibri" w:cs="Calibri"/>
                <w:iCs/>
                <w:color w:val="000000"/>
                <w:sz w:val="20"/>
              </w:rPr>
              <w:t>Aus</w:t>
            </w:r>
            <w:proofErr w:type="spellEnd"/>
            <w:r w:rsidR="00C54EB6" w:rsidRPr="00995976">
              <w:rPr>
                <w:rFonts w:ascii="Calibri" w:hAnsi="Calibri" w:cs="Calibri"/>
                <w:iCs/>
                <w:color w:val="000000"/>
                <w:sz w:val="20"/>
              </w:rPr>
              <w:t>) (</w:t>
            </w:r>
            <w:proofErr w:type="spellStart"/>
            <w:r w:rsidR="00C54EB6" w:rsidRPr="00995976">
              <w:rPr>
                <w:rFonts w:ascii="Calibri" w:hAnsi="Calibri" w:cs="Calibri"/>
                <w:iCs/>
                <w:color w:val="000000"/>
                <w:sz w:val="20"/>
              </w:rPr>
              <w:t>sa</w:t>
            </w:r>
            <w:proofErr w:type="spellEnd"/>
            <w:r w:rsidR="00C54EB6" w:rsidRPr="00995976">
              <w:rPr>
                <w:rFonts w:ascii="Calibri" w:hAnsi="Calibri" w:cs="Calibri"/>
                <w:iCs/>
                <w:color w:val="000000"/>
                <w:sz w:val="20"/>
              </w:rPr>
              <w:t>)</w:t>
            </w:r>
          </w:p>
        </w:tc>
        <w:tc>
          <w:tcPr>
            <w:tcW w:w="938" w:type="dxa"/>
            <w:vAlign w:val="center"/>
          </w:tcPr>
          <w:p w14:paraId="14A144E7" w14:textId="52541A02" w:rsidR="00C54EB6" w:rsidRPr="00392EA0" w:rsidRDefault="001C0CA4" w:rsidP="006536A6">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Jun-23</w:t>
            </w:r>
          </w:p>
        </w:tc>
        <w:tc>
          <w:tcPr>
            <w:tcW w:w="1271" w:type="dxa"/>
            <w:vAlign w:val="center"/>
          </w:tcPr>
          <w:p w14:paraId="09DCFD4E" w14:textId="0AA7D0D2" w:rsidR="00C54EB6" w:rsidRPr="00392EA0" w:rsidRDefault="001C0CA4" w:rsidP="006E31A4">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59.011</w:t>
            </w:r>
          </w:p>
        </w:tc>
        <w:tc>
          <w:tcPr>
            <w:tcW w:w="1083" w:type="dxa"/>
            <w:vAlign w:val="center"/>
          </w:tcPr>
          <w:p w14:paraId="7DEE5354" w14:textId="084B8A35" w:rsidR="00C54EB6" w:rsidRPr="000A24B2" w:rsidRDefault="001C0CA4"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0.4%</w:t>
            </w:r>
          </w:p>
        </w:tc>
        <w:tc>
          <w:tcPr>
            <w:tcW w:w="1076" w:type="dxa"/>
            <w:vAlign w:val="center"/>
          </w:tcPr>
          <w:p w14:paraId="3AFFADFC" w14:textId="7227DFB2" w:rsidR="00C54EB6" w:rsidRPr="00797CA2" w:rsidRDefault="001C0CA4"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9.3%</w:t>
            </w:r>
          </w:p>
        </w:tc>
        <w:tc>
          <w:tcPr>
            <w:tcW w:w="1055" w:type="dxa"/>
            <w:vAlign w:val="center"/>
          </w:tcPr>
          <w:p w14:paraId="7DC268BF" w14:textId="05C0BCF9" w:rsidR="00C54EB6" w:rsidRPr="00797CA2" w:rsidRDefault="001C0CA4"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5.7%</w:t>
            </w:r>
          </w:p>
        </w:tc>
        <w:tc>
          <w:tcPr>
            <w:tcW w:w="1435" w:type="dxa"/>
            <w:vAlign w:val="center"/>
          </w:tcPr>
          <w:p w14:paraId="26395D2D" w14:textId="7529D1BA" w:rsidR="00C54EB6" w:rsidRPr="00797CA2" w:rsidRDefault="000C344D" w:rsidP="00720F41">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6.1</w:t>
            </w:r>
            <w:r w:rsidR="001C0CA4">
              <w:rPr>
                <w:rFonts w:ascii="Calibri" w:hAnsi="Calibri" w:cs="Calibri"/>
                <w:color w:val="000000"/>
                <w:sz w:val="20"/>
              </w:rPr>
              <w:t>%</w:t>
            </w:r>
          </w:p>
        </w:tc>
      </w:tr>
      <w:tr w:rsidR="00B243D8" w:rsidRPr="00797CA2" w14:paraId="0BAEC79B" w14:textId="77777777" w:rsidTr="00BF26A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16CEDEA2" w14:textId="77777777" w:rsidR="003763FC" w:rsidRPr="00995976" w:rsidRDefault="003763FC" w:rsidP="003763FC">
            <w:pPr>
              <w:spacing w:before="0" w:after="0"/>
              <w:ind w:firstLineChars="200" w:firstLine="160"/>
              <w:rPr>
                <w:rFonts w:ascii="Calibri" w:hAnsi="Calibri" w:cs="Calibri"/>
                <w:iCs/>
                <w:color w:val="000000"/>
                <w:sz w:val="8"/>
                <w:szCs w:val="8"/>
              </w:rPr>
            </w:pPr>
            <w:r w:rsidRPr="00B243D8">
              <w:rPr>
                <w:rFonts w:ascii="Calibri" w:hAnsi="Calibri" w:cs="Calibri"/>
                <w:iCs/>
                <w:color w:val="000000"/>
                <w:sz w:val="8"/>
                <w:szCs w:val="8"/>
              </w:rPr>
              <w:t> </w:t>
            </w:r>
          </w:p>
        </w:tc>
        <w:tc>
          <w:tcPr>
            <w:tcW w:w="938" w:type="dxa"/>
            <w:shd w:val="clear" w:color="auto" w:fill="auto"/>
            <w:vAlign w:val="center"/>
          </w:tcPr>
          <w:p w14:paraId="193FAD5F" w14:textId="05701760" w:rsidR="003763FC" w:rsidRPr="00392EA0"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p>
        </w:tc>
        <w:tc>
          <w:tcPr>
            <w:tcW w:w="1271" w:type="dxa"/>
            <w:shd w:val="clear" w:color="auto" w:fill="auto"/>
            <w:vAlign w:val="center"/>
          </w:tcPr>
          <w:p w14:paraId="3AEAC8B0" w14:textId="34A6FE21" w:rsidR="003763FC" w:rsidRPr="000A24B2" w:rsidRDefault="003763FC" w:rsidP="00720F41">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p>
        </w:tc>
        <w:tc>
          <w:tcPr>
            <w:tcW w:w="1083" w:type="dxa"/>
            <w:shd w:val="clear" w:color="auto" w:fill="auto"/>
            <w:vAlign w:val="center"/>
          </w:tcPr>
          <w:p w14:paraId="5C21E419" w14:textId="17DDD7A8" w:rsidR="003763FC" w:rsidRPr="00797CA2" w:rsidRDefault="003763FC"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p>
        </w:tc>
        <w:tc>
          <w:tcPr>
            <w:tcW w:w="1076" w:type="dxa"/>
            <w:shd w:val="clear" w:color="auto" w:fill="auto"/>
            <w:vAlign w:val="center"/>
          </w:tcPr>
          <w:p w14:paraId="1B387CF5" w14:textId="2A86FE7D" w:rsidR="003763FC" w:rsidRPr="00797CA2" w:rsidRDefault="003763FC"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p>
        </w:tc>
        <w:tc>
          <w:tcPr>
            <w:tcW w:w="1055" w:type="dxa"/>
            <w:shd w:val="clear" w:color="auto" w:fill="auto"/>
            <w:vAlign w:val="center"/>
          </w:tcPr>
          <w:p w14:paraId="611E8FBB" w14:textId="2A6CC9D0" w:rsidR="003763FC" w:rsidRPr="00797CA2" w:rsidRDefault="003763FC"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p>
        </w:tc>
        <w:tc>
          <w:tcPr>
            <w:tcW w:w="1435" w:type="dxa"/>
            <w:shd w:val="clear" w:color="auto" w:fill="auto"/>
            <w:vAlign w:val="center"/>
          </w:tcPr>
          <w:p w14:paraId="6C7CD2C5" w14:textId="4FA28FA0" w:rsidR="003763FC" w:rsidRPr="00797CA2" w:rsidRDefault="003763FC" w:rsidP="00720F41">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p>
        </w:tc>
      </w:tr>
      <w:tr w:rsidR="00B243D8" w:rsidRPr="00797CA2" w14:paraId="19F90093"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4B2C387C" w14:textId="77777777" w:rsidR="00C54EB6" w:rsidRPr="00995976" w:rsidRDefault="00C54EB6" w:rsidP="00C54EB6">
            <w:pPr>
              <w:spacing w:before="0" w:after="0"/>
              <w:ind w:firstLineChars="200" w:firstLine="400"/>
              <w:rPr>
                <w:rFonts w:ascii="Calibri" w:hAnsi="Calibri" w:cs="Calibri"/>
                <w:iCs/>
                <w:color w:val="000000"/>
                <w:sz w:val="20"/>
              </w:rPr>
            </w:pPr>
            <w:r w:rsidRPr="00B243D8">
              <w:rPr>
                <w:rFonts w:ascii="Calibri" w:hAnsi="Calibri" w:cs="Calibri"/>
                <w:iCs/>
                <w:color w:val="000000"/>
                <w:sz w:val="20"/>
              </w:rPr>
              <w:t>Residential building activity (NT)</w:t>
            </w:r>
          </w:p>
        </w:tc>
        <w:tc>
          <w:tcPr>
            <w:tcW w:w="938" w:type="dxa"/>
            <w:vAlign w:val="center"/>
          </w:tcPr>
          <w:p w14:paraId="7A7FC935" w14:textId="615C1DC2" w:rsidR="00C54EB6" w:rsidRPr="00392EA0" w:rsidRDefault="001C0CA4" w:rsidP="00C54EB6">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Mar-23</w:t>
            </w:r>
          </w:p>
        </w:tc>
        <w:tc>
          <w:tcPr>
            <w:tcW w:w="1271" w:type="dxa"/>
            <w:vAlign w:val="center"/>
          </w:tcPr>
          <w:p w14:paraId="1356E021" w14:textId="495A4C3B" w:rsidR="00C54EB6" w:rsidRPr="00995976" w:rsidRDefault="001C0CA4" w:rsidP="006536A6">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0.075</w:t>
            </w:r>
          </w:p>
        </w:tc>
        <w:tc>
          <w:tcPr>
            <w:tcW w:w="1083" w:type="dxa"/>
            <w:vAlign w:val="center"/>
          </w:tcPr>
          <w:p w14:paraId="06E11ECB" w14:textId="76B55907" w:rsidR="00C54EB6" w:rsidRPr="00392EA0" w:rsidRDefault="001C0CA4"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-8.2%</w:t>
            </w:r>
          </w:p>
        </w:tc>
        <w:tc>
          <w:tcPr>
            <w:tcW w:w="1076" w:type="dxa"/>
            <w:vAlign w:val="center"/>
          </w:tcPr>
          <w:p w14:paraId="05670C32" w14:textId="53D5F5EA" w:rsidR="00C54EB6" w:rsidRPr="00797CA2" w:rsidRDefault="001C0CA4"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15.1%</w:t>
            </w:r>
          </w:p>
        </w:tc>
        <w:tc>
          <w:tcPr>
            <w:tcW w:w="1055" w:type="dxa"/>
            <w:vAlign w:val="center"/>
          </w:tcPr>
          <w:p w14:paraId="5D4B815A" w14:textId="60D9BB3E" w:rsidR="00C54EB6" w:rsidRPr="00797CA2" w:rsidRDefault="001C0CA4" w:rsidP="006536A6">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1.0%</w:t>
            </w:r>
          </w:p>
        </w:tc>
        <w:tc>
          <w:tcPr>
            <w:tcW w:w="1435" w:type="dxa"/>
            <w:vAlign w:val="center"/>
          </w:tcPr>
          <w:p w14:paraId="34AE3376" w14:textId="215A6D84" w:rsidR="00C54EB6" w:rsidRPr="00797CA2" w:rsidRDefault="000C344D" w:rsidP="00720F41">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1.2</w:t>
            </w:r>
            <w:r w:rsidR="001C0CA4">
              <w:rPr>
                <w:rFonts w:ascii="Calibri" w:hAnsi="Calibri" w:cs="Calibri"/>
                <w:color w:val="000000"/>
                <w:sz w:val="20"/>
              </w:rPr>
              <w:t>%</w:t>
            </w:r>
          </w:p>
        </w:tc>
      </w:tr>
      <w:tr w:rsidR="00B243D8" w:rsidRPr="00797CA2" w14:paraId="06AEC18E" w14:textId="77777777" w:rsidTr="00BF26A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0097BE8E" w14:textId="7A03675B" w:rsidR="00C54EB6" w:rsidRPr="00995976" w:rsidRDefault="00C54EB6" w:rsidP="00C54EB6">
            <w:pPr>
              <w:spacing w:before="0" w:after="0"/>
              <w:ind w:firstLineChars="200" w:firstLine="400"/>
              <w:rPr>
                <w:rFonts w:ascii="Calibri" w:hAnsi="Calibri" w:cs="Calibri"/>
                <w:iCs/>
                <w:color w:val="000000"/>
                <w:sz w:val="20"/>
              </w:rPr>
            </w:pPr>
            <w:r w:rsidRPr="00B243D8">
              <w:rPr>
                <w:rFonts w:ascii="Calibri" w:hAnsi="Calibri" w:cs="Calibri"/>
                <w:iCs/>
                <w:color w:val="000000"/>
                <w:sz w:val="20"/>
              </w:rPr>
              <w:t>Res</w:t>
            </w:r>
            <w:r w:rsidR="00720F41" w:rsidRPr="00995976">
              <w:rPr>
                <w:rFonts w:ascii="Calibri" w:hAnsi="Calibri" w:cs="Calibri"/>
                <w:iCs/>
                <w:color w:val="000000"/>
                <w:sz w:val="20"/>
              </w:rPr>
              <w:t>idential building activity (</w:t>
            </w:r>
            <w:proofErr w:type="spellStart"/>
            <w:r w:rsidR="00720F41" w:rsidRPr="00995976">
              <w:rPr>
                <w:rFonts w:ascii="Calibri" w:hAnsi="Calibri" w:cs="Calibri"/>
                <w:iCs/>
                <w:color w:val="000000"/>
                <w:sz w:val="20"/>
              </w:rPr>
              <w:t>Aus</w:t>
            </w:r>
            <w:proofErr w:type="spellEnd"/>
            <w:r w:rsidRPr="00995976">
              <w:rPr>
                <w:rFonts w:ascii="Calibri" w:hAnsi="Calibri" w:cs="Calibri"/>
                <w:iCs/>
                <w:color w:val="000000"/>
                <w:sz w:val="20"/>
              </w:rPr>
              <w:t>)</w:t>
            </w:r>
          </w:p>
        </w:tc>
        <w:tc>
          <w:tcPr>
            <w:tcW w:w="938" w:type="dxa"/>
            <w:shd w:val="clear" w:color="auto" w:fill="auto"/>
            <w:vAlign w:val="center"/>
          </w:tcPr>
          <w:p w14:paraId="5875F512" w14:textId="1E9F5B19" w:rsidR="00C54EB6" w:rsidRPr="00392EA0" w:rsidRDefault="001C0CA4" w:rsidP="00C54EB6">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Mar-23</w:t>
            </w:r>
          </w:p>
        </w:tc>
        <w:tc>
          <w:tcPr>
            <w:tcW w:w="1271" w:type="dxa"/>
            <w:shd w:val="clear" w:color="auto" w:fill="auto"/>
            <w:vAlign w:val="center"/>
          </w:tcPr>
          <w:p w14:paraId="4047A92E" w14:textId="5F3F2ABD" w:rsidR="00C54EB6" w:rsidRPr="00995976" w:rsidRDefault="001C0CA4" w:rsidP="006536A6">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17.089</w:t>
            </w:r>
          </w:p>
        </w:tc>
        <w:tc>
          <w:tcPr>
            <w:tcW w:w="1083" w:type="dxa"/>
            <w:shd w:val="clear" w:color="auto" w:fill="auto"/>
            <w:vAlign w:val="center"/>
          </w:tcPr>
          <w:p w14:paraId="18320F66" w14:textId="66543C15" w:rsidR="00C54EB6" w:rsidRPr="00392EA0" w:rsidRDefault="001C0CA4"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-7.4%</w:t>
            </w:r>
          </w:p>
        </w:tc>
        <w:tc>
          <w:tcPr>
            <w:tcW w:w="1076" w:type="dxa"/>
            <w:shd w:val="clear" w:color="auto" w:fill="auto"/>
            <w:vAlign w:val="center"/>
          </w:tcPr>
          <w:p w14:paraId="53856CAF" w14:textId="3CA0F345" w:rsidR="00C54EB6" w:rsidRPr="00797CA2" w:rsidRDefault="001C0CA4" w:rsidP="006536A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-4.8%</w:t>
            </w:r>
          </w:p>
        </w:tc>
        <w:tc>
          <w:tcPr>
            <w:tcW w:w="1055" w:type="dxa"/>
            <w:shd w:val="clear" w:color="auto" w:fill="auto"/>
            <w:vAlign w:val="center"/>
          </w:tcPr>
          <w:p w14:paraId="40A74AFE" w14:textId="4F5F4B33" w:rsidR="00C54EB6" w:rsidRPr="00797CA2" w:rsidRDefault="001C0CA4" w:rsidP="006536A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-4.7%</w:t>
            </w:r>
          </w:p>
        </w:tc>
        <w:tc>
          <w:tcPr>
            <w:tcW w:w="1435" w:type="dxa"/>
            <w:shd w:val="clear" w:color="auto" w:fill="auto"/>
            <w:vAlign w:val="center"/>
          </w:tcPr>
          <w:p w14:paraId="6CF4CECF" w14:textId="7394D6DF" w:rsidR="00C54EB6" w:rsidRPr="00797CA2" w:rsidRDefault="000C344D" w:rsidP="006536A6">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-6.6</w:t>
            </w:r>
            <w:r w:rsidR="001C0CA4">
              <w:rPr>
                <w:rFonts w:ascii="Calibri" w:hAnsi="Calibri" w:cs="Calibri"/>
                <w:color w:val="000000"/>
                <w:sz w:val="20"/>
              </w:rPr>
              <w:t>%</w:t>
            </w:r>
          </w:p>
        </w:tc>
      </w:tr>
      <w:tr w:rsidR="00B243D8" w:rsidRPr="00797CA2" w14:paraId="3CAAD79C"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79441CDB" w14:textId="77777777" w:rsidR="003763FC" w:rsidRPr="00995976" w:rsidRDefault="003763FC" w:rsidP="003763FC">
            <w:pPr>
              <w:spacing w:before="0" w:after="0"/>
              <w:ind w:firstLineChars="200" w:firstLine="160"/>
              <w:rPr>
                <w:rFonts w:ascii="Calibri" w:hAnsi="Calibri" w:cs="Calibri"/>
                <w:iCs/>
                <w:color w:val="000000"/>
                <w:sz w:val="8"/>
                <w:szCs w:val="8"/>
              </w:rPr>
            </w:pPr>
            <w:r w:rsidRPr="00B243D8">
              <w:rPr>
                <w:rFonts w:ascii="Calibri" w:hAnsi="Calibri" w:cs="Calibri"/>
                <w:iCs/>
                <w:color w:val="000000"/>
                <w:sz w:val="8"/>
                <w:szCs w:val="8"/>
              </w:rPr>
              <w:t> </w:t>
            </w:r>
          </w:p>
        </w:tc>
        <w:tc>
          <w:tcPr>
            <w:tcW w:w="938" w:type="dxa"/>
            <w:vAlign w:val="center"/>
          </w:tcPr>
          <w:p w14:paraId="4513E735" w14:textId="15FA87CC" w:rsidR="003763FC" w:rsidRPr="00392EA0"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p>
        </w:tc>
        <w:tc>
          <w:tcPr>
            <w:tcW w:w="1271" w:type="dxa"/>
            <w:vAlign w:val="center"/>
          </w:tcPr>
          <w:p w14:paraId="2799BA97" w14:textId="3EC13AD3" w:rsidR="003763FC" w:rsidRPr="000A24B2" w:rsidRDefault="003763FC" w:rsidP="00720F41">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p>
        </w:tc>
        <w:tc>
          <w:tcPr>
            <w:tcW w:w="1083" w:type="dxa"/>
            <w:vAlign w:val="center"/>
          </w:tcPr>
          <w:p w14:paraId="4F9800A1" w14:textId="5BCC1151" w:rsidR="003763FC" w:rsidRPr="00797CA2" w:rsidRDefault="003763FC"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p>
        </w:tc>
        <w:tc>
          <w:tcPr>
            <w:tcW w:w="1076" w:type="dxa"/>
            <w:vAlign w:val="center"/>
          </w:tcPr>
          <w:p w14:paraId="155D0F29" w14:textId="2E2EFDD1" w:rsidR="003763FC" w:rsidRPr="00797CA2" w:rsidRDefault="003763FC"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p>
        </w:tc>
        <w:tc>
          <w:tcPr>
            <w:tcW w:w="1055" w:type="dxa"/>
            <w:vAlign w:val="center"/>
          </w:tcPr>
          <w:p w14:paraId="2E1B563C" w14:textId="1CC78B12" w:rsidR="003763FC" w:rsidRPr="00797CA2" w:rsidRDefault="003763FC"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p>
        </w:tc>
        <w:tc>
          <w:tcPr>
            <w:tcW w:w="1435" w:type="dxa"/>
            <w:vAlign w:val="center"/>
          </w:tcPr>
          <w:p w14:paraId="69C81A6E" w14:textId="54BAC940" w:rsidR="003763FC" w:rsidRPr="00797CA2" w:rsidRDefault="003763FC" w:rsidP="00720F41">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p>
        </w:tc>
      </w:tr>
      <w:tr w:rsidR="00B243D8" w:rsidRPr="00797CA2" w14:paraId="4C360432" w14:textId="77777777" w:rsidTr="00BF26A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011E59DC" w14:textId="5CF5EFE2" w:rsidR="00937C11" w:rsidRPr="00671F95" w:rsidRDefault="00937C11" w:rsidP="00937C11">
            <w:pPr>
              <w:spacing w:before="0" w:after="0"/>
              <w:ind w:firstLineChars="200" w:firstLine="400"/>
              <w:rPr>
                <w:rFonts w:ascii="Calibri" w:hAnsi="Calibri" w:cs="Calibri"/>
                <w:iCs/>
                <w:color w:val="000000"/>
                <w:sz w:val="20"/>
              </w:rPr>
            </w:pPr>
            <w:r w:rsidRPr="00671F95">
              <w:rPr>
                <w:rFonts w:ascii="Calibri" w:hAnsi="Calibri" w:cs="Calibri"/>
                <w:iCs/>
                <w:color w:val="000000"/>
                <w:sz w:val="20"/>
              </w:rPr>
              <w:t>Nominal goods exports (NT)</w:t>
            </w:r>
          </w:p>
        </w:tc>
        <w:tc>
          <w:tcPr>
            <w:tcW w:w="938" w:type="dxa"/>
            <w:shd w:val="clear" w:color="auto" w:fill="auto"/>
            <w:vAlign w:val="center"/>
          </w:tcPr>
          <w:p w14:paraId="046A0CC4" w14:textId="76DBAE45" w:rsidR="00937C11" w:rsidRPr="00671F95" w:rsidRDefault="00D2496C" w:rsidP="00937C11">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Jul</w:t>
            </w:r>
            <w:r w:rsidR="001C0CA4">
              <w:rPr>
                <w:rFonts w:ascii="Calibri" w:hAnsi="Calibri" w:cs="Calibri"/>
                <w:color w:val="000000"/>
                <w:sz w:val="20"/>
              </w:rPr>
              <w:t>-23</w:t>
            </w:r>
          </w:p>
        </w:tc>
        <w:tc>
          <w:tcPr>
            <w:tcW w:w="1271" w:type="dxa"/>
            <w:shd w:val="clear" w:color="auto" w:fill="auto"/>
            <w:vAlign w:val="center"/>
          </w:tcPr>
          <w:p w14:paraId="73786563" w14:textId="275E6869" w:rsidR="00937C11" w:rsidRPr="00671F95" w:rsidRDefault="00D2496C" w:rsidP="00895561">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1.004</w:t>
            </w:r>
          </w:p>
        </w:tc>
        <w:tc>
          <w:tcPr>
            <w:tcW w:w="1083" w:type="dxa"/>
            <w:shd w:val="clear" w:color="auto" w:fill="auto"/>
            <w:vAlign w:val="center"/>
          </w:tcPr>
          <w:p w14:paraId="6CD6766A" w14:textId="2ABDF828" w:rsidR="00937C11" w:rsidRPr="00671F95" w:rsidRDefault="001C0CA4" w:rsidP="00D2496C">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w:t>
            </w:r>
            <w:r w:rsidR="00D2496C">
              <w:rPr>
                <w:rFonts w:ascii="Calibri" w:hAnsi="Calibri" w:cs="Calibri"/>
                <w:color w:val="000000"/>
                <w:sz w:val="20"/>
              </w:rPr>
              <w:t>25.7</w:t>
            </w:r>
            <w:r>
              <w:rPr>
                <w:rFonts w:ascii="Calibri" w:hAnsi="Calibri" w:cs="Calibri"/>
                <w:color w:val="000000"/>
                <w:sz w:val="20"/>
              </w:rPr>
              <w:t>%</w:t>
            </w:r>
          </w:p>
        </w:tc>
        <w:tc>
          <w:tcPr>
            <w:tcW w:w="1076" w:type="dxa"/>
            <w:shd w:val="clear" w:color="auto" w:fill="auto"/>
            <w:vAlign w:val="center"/>
          </w:tcPr>
          <w:p w14:paraId="7A89AD3A" w14:textId="1714BBD1" w:rsidR="00937C11" w:rsidRPr="00671F95" w:rsidRDefault="00D2496C" w:rsidP="00420059">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130.3</w:t>
            </w:r>
            <w:r w:rsidR="001C0CA4">
              <w:rPr>
                <w:rFonts w:ascii="Calibri" w:hAnsi="Calibri" w:cs="Calibri"/>
                <w:color w:val="000000"/>
                <w:sz w:val="20"/>
              </w:rPr>
              <w:t>%</w:t>
            </w:r>
          </w:p>
        </w:tc>
        <w:tc>
          <w:tcPr>
            <w:tcW w:w="1055" w:type="dxa"/>
            <w:shd w:val="clear" w:color="auto" w:fill="auto"/>
            <w:vAlign w:val="center"/>
          </w:tcPr>
          <w:p w14:paraId="0EC7797E" w14:textId="61E74B69" w:rsidR="00937C11" w:rsidRPr="00671F95" w:rsidRDefault="00D2496C"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2.2</w:t>
            </w:r>
            <w:r w:rsidR="001C0CA4">
              <w:rPr>
                <w:rFonts w:ascii="Calibri" w:hAnsi="Calibri" w:cs="Calibri"/>
                <w:color w:val="000000"/>
                <w:sz w:val="20"/>
              </w:rPr>
              <w:t>%</w:t>
            </w:r>
          </w:p>
        </w:tc>
        <w:tc>
          <w:tcPr>
            <w:tcW w:w="1435" w:type="dxa"/>
            <w:shd w:val="clear" w:color="auto" w:fill="auto"/>
            <w:vAlign w:val="center"/>
          </w:tcPr>
          <w:p w14:paraId="158C8E26" w14:textId="45D3CEC2" w:rsidR="00937C11" w:rsidRPr="00671F95" w:rsidRDefault="000C344D" w:rsidP="00720F41">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40.7</w:t>
            </w:r>
            <w:r w:rsidR="001C0CA4">
              <w:rPr>
                <w:rFonts w:ascii="Calibri" w:hAnsi="Calibri" w:cs="Calibri"/>
                <w:color w:val="000000"/>
                <w:sz w:val="20"/>
              </w:rPr>
              <w:t>%</w:t>
            </w:r>
          </w:p>
        </w:tc>
      </w:tr>
      <w:tr w:rsidR="00B243D8" w:rsidRPr="00797CA2" w14:paraId="3D7FC88A"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4F4BDB70" w14:textId="0871BD09" w:rsidR="00937C11" w:rsidRPr="00671F95" w:rsidRDefault="00937C11" w:rsidP="00937C11">
            <w:pPr>
              <w:spacing w:before="0" w:after="0"/>
              <w:ind w:firstLineChars="200" w:firstLine="400"/>
              <w:rPr>
                <w:rFonts w:ascii="Calibri" w:hAnsi="Calibri" w:cs="Calibri"/>
                <w:iCs/>
                <w:color w:val="000000"/>
                <w:sz w:val="20"/>
                <w:highlight w:val="yellow"/>
              </w:rPr>
            </w:pPr>
            <w:r w:rsidRPr="00420059">
              <w:rPr>
                <w:rFonts w:ascii="Calibri" w:hAnsi="Calibri" w:cs="Calibri"/>
                <w:iCs/>
                <w:color w:val="000000"/>
                <w:sz w:val="20"/>
              </w:rPr>
              <w:t xml:space="preserve">Nominal goods </w:t>
            </w:r>
            <w:r w:rsidR="00720F41" w:rsidRPr="00420059">
              <w:rPr>
                <w:rFonts w:ascii="Calibri" w:hAnsi="Calibri" w:cs="Calibri"/>
                <w:iCs/>
                <w:color w:val="000000"/>
                <w:sz w:val="20"/>
              </w:rPr>
              <w:t>exports (</w:t>
            </w:r>
            <w:proofErr w:type="spellStart"/>
            <w:r w:rsidR="00720F41" w:rsidRPr="00420059">
              <w:rPr>
                <w:rFonts w:ascii="Calibri" w:hAnsi="Calibri" w:cs="Calibri"/>
                <w:iCs/>
                <w:color w:val="000000"/>
                <w:sz w:val="20"/>
              </w:rPr>
              <w:t>Aus</w:t>
            </w:r>
            <w:proofErr w:type="spellEnd"/>
            <w:r w:rsidRPr="00671F95">
              <w:rPr>
                <w:rFonts w:ascii="Calibri" w:hAnsi="Calibri" w:cs="Calibri"/>
                <w:iCs/>
                <w:color w:val="000000"/>
                <w:sz w:val="20"/>
              </w:rPr>
              <w:t>) (</w:t>
            </w:r>
            <w:proofErr w:type="spellStart"/>
            <w:r w:rsidRPr="00671F95">
              <w:rPr>
                <w:rFonts w:ascii="Calibri" w:hAnsi="Calibri" w:cs="Calibri"/>
                <w:iCs/>
                <w:color w:val="000000"/>
                <w:sz w:val="20"/>
              </w:rPr>
              <w:t>sa</w:t>
            </w:r>
            <w:proofErr w:type="spellEnd"/>
            <w:r w:rsidRPr="00671F95">
              <w:rPr>
                <w:rFonts w:ascii="Calibri" w:hAnsi="Calibri" w:cs="Calibri"/>
                <w:iCs/>
                <w:color w:val="000000"/>
                <w:sz w:val="20"/>
              </w:rPr>
              <w:t>)</w:t>
            </w:r>
          </w:p>
        </w:tc>
        <w:tc>
          <w:tcPr>
            <w:tcW w:w="938" w:type="dxa"/>
            <w:vAlign w:val="center"/>
          </w:tcPr>
          <w:p w14:paraId="2C2E3965" w14:textId="4E6B4D7D" w:rsidR="00937C11" w:rsidRPr="00420059" w:rsidRDefault="00D2496C" w:rsidP="00937C11">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Jul</w:t>
            </w:r>
            <w:r w:rsidR="001C0CA4">
              <w:rPr>
                <w:rFonts w:ascii="Calibri" w:hAnsi="Calibri" w:cs="Calibri"/>
                <w:color w:val="000000"/>
                <w:sz w:val="20"/>
              </w:rPr>
              <w:t>-23</w:t>
            </w:r>
          </w:p>
        </w:tc>
        <w:tc>
          <w:tcPr>
            <w:tcW w:w="1271" w:type="dxa"/>
            <w:vAlign w:val="center"/>
          </w:tcPr>
          <w:p w14:paraId="045CAC24" w14:textId="35FEEDD4" w:rsidR="00937C11" w:rsidRPr="00292F85" w:rsidRDefault="00D2496C" w:rsidP="00292F8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highlight w:val="yellow"/>
              </w:rPr>
            </w:pPr>
            <w:r>
              <w:rPr>
                <w:rFonts w:ascii="Calibri" w:hAnsi="Calibri" w:cs="Calibri"/>
                <w:color w:val="000000"/>
                <w:sz w:val="20"/>
              </w:rPr>
              <w:t>44.590</w:t>
            </w:r>
          </w:p>
        </w:tc>
        <w:tc>
          <w:tcPr>
            <w:tcW w:w="1083" w:type="dxa"/>
            <w:vAlign w:val="center"/>
          </w:tcPr>
          <w:p w14:paraId="72448963" w14:textId="2F11BC05" w:rsidR="00937C11" w:rsidRPr="001C0CA4" w:rsidRDefault="001C0CA4" w:rsidP="00D2496C">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1C0CA4">
              <w:rPr>
                <w:rFonts w:ascii="Calibri" w:hAnsi="Calibri" w:cs="Calibri"/>
                <w:color w:val="000000"/>
                <w:sz w:val="20"/>
              </w:rPr>
              <w:t>-2.</w:t>
            </w:r>
            <w:r w:rsidR="00D2496C">
              <w:rPr>
                <w:rFonts w:ascii="Calibri" w:hAnsi="Calibri" w:cs="Calibri"/>
                <w:color w:val="000000"/>
                <w:sz w:val="20"/>
              </w:rPr>
              <w:t>2</w:t>
            </w:r>
            <w:r w:rsidRPr="001C0CA4">
              <w:rPr>
                <w:rFonts w:ascii="Calibri" w:hAnsi="Calibri" w:cs="Calibri"/>
                <w:color w:val="000000"/>
                <w:sz w:val="20"/>
              </w:rPr>
              <w:t>%</w:t>
            </w:r>
          </w:p>
        </w:tc>
        <w:tc>
          <w:tcPr>
            <w:tcW w:w="1076" w:type="dxa"/>
            <w:vAlign w:val="center"/>
          </w:tcPr>
          <w:p w14:paraId="4A579087" w14:textId="73E4349B" w:rsidR="00937C11" w:rsidRPr="001C0CA4" w:rsidRDefault="001C0CA4" w:rsidP="00D2496C">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1C0CA4">
              <w:rPr>
                <w:rFonts w:ascii="Calibri" w:hAnsi="Calibri" w:cs="Calibri"/>
                <w:color w:val="000000"/>
                <w:sz w:val="20"/>
              </w:rPr>
              <w:t>-</w:t>
            </w:r>
            <w:r w:rsidR="00D2496C">
              <w:rPr>
                <w:rFonts w:ascii="Calibri" w:hAnsi="Calibri" w:cs="Calibri"/>
                <w:color w:val="000000"/>
                <w:sz w:val="20"/>
              </w:rPr>
              <w:t>9.1</w:t>
            </w:r>
            <w:r w:rsidRPr="001C0CA4">
              <w:rPr>
                <w:rFonts w:ascii="Calibri" w:hAnsi="Calibri" w:cs="Calibri"/>
                <w:color w:val="000000"/>
                <w:sz w:val="20"/>
              </w:rPr>
              <w:t>%</w:t>
            </w:r>
          </w:p>
        </w:tc>
        <w:tc>
          <w:tcPr>
            <w:tcW w:w="1055" w:type="dxa"/>
            <w:vAlign w:val="center"/>
          </w:tcPr>
          <w:p w14:paraId="1C5064BC" w14:textId="27255D02" w:rsidR="00937C11" w:rsidRPr="001C0CA4" w:rsidRDefault="0083751D" w:rsidP="00D2496C">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9.1%</w:t>
            </w:r>
          </w:p>
        </w:tc>
        <w:tc>
          <w:tcPr>
            <w:tcW w:w="1435" w:type="dxa"/>
            <w:vAlign w:val="center"/>
          </w:tcPr>
          <w:p w14:paraId="53354408" w14:textId="5CCFD24F" w:rsidR="00937C11" w:rsidRPr="001C0CA4" w:rsidRDefault="000C344D" w:rsidP="006536A6">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50.6</w:t>
            </w:r>
            <w:r w:rsidR="001C0CA4" w:rsidRPr="001C0CA4">
              <w:rPr>
                <w:rFonts w:ascii="Calibri" w:hAnsi="Calibri" w:cs="Calibri"/>
                <w:color w:val="000000"/>
                <w:sz w:val="20"/>
              </w:rPr>
              <w:t>%</w:t>
            </w:r>
          </w:p>
        </w:tc>
      </w:tr>
      <w:tr w:rsidR="00B243D8" w:rsidRPr="00797CA2" w14:paraId="573DC8CA" w14:textId="77777777" w:rsidTr="00BE289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6A3D239B" w14:textId="77777777" w:rsidR="004F7E54" w:rsidRPr="00995976" w:rsidRDefault="004F7E54" w:rsidP="00BE2895">
            <w:pPr>
              <w:spacing w:before="20" w:after="20"/>
              <w:rPr>
                <w:rFonts w:ascii="Calibri" w:hAnsi="Calibri" w:cs="Calibri"/>
                <w:b/>
                <w:bCs/>
                <w:color w:val="000000"/>
                <w:sz w:val="20"/>
              </w:rPr>
            </w:pPr>
            <w:r w:rsidRPr="00B243D8">
              <w:rPr>
                <w:rFonts w:ascii="Calibri" w:hAnsi="Calibri" w:cs="Calibri"/>
                <w:b/>
                <w:bCs/>
                <w:color w:val="000000"/>
                <w:sz w:val="20"/>
              </w:rPr>
              <w:t>Prices</w:t>
            </w:r>
          </w:p>
        </w:tc>
        <w:tc>
          <w:tcPr>
            <w:tcW w:w="938" w:type="dxa"/>
            <w:vAlign w:val="center"/>
          </w:tcPr>
          <w:p w14:paraId="468BEA78" w14:textId="77777777" w:rsidR="004F7E54" w:rsidRPr="00995976" w:rsidRDefault="004F7E54" w:rsidP="00BE2895">
            <w:pPr>
              <w:spacing w:before="20" w:after="2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995976">
              <w:rPr>
                <w:rFonts w:ascii="Calibri" w:hAnsi="Calibri" w:cs="Calibri"/>
                <w:color w:val="000000"/>
                <w:sz w:val="20"/>
              </w:rPr>
              <w:t> </w:t>
            </w:r>
          </w:p>
        </w:tc>
        <w:tc>
          <w:tcPr>
            <w:tcW w:w="1271" w:type="dxa"/>
            <w:vAlign w:val="center"/>
          </w:tcPr>
          <w:p w14:paraId="00AECC6C" w14:textId="2A9B9DD4" w:rsidR="004F7E54" w:rsidRPr="00BE2895" w:rsidRDefault="00995976" w:rsidP="005A0B99">
            <w:pPr>
              <w:spacing w:before="20" w:after="2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20"/>
              </w:rPr>
            </w:pPr>
            <w:r w:rsidRPr="00392EA0">
              <w:rPr>
                <w:rFonts w:ascii="Calibri" w:hAnsi="Calibri" w:cs="Calibri"/>
                <w:b/>
                <w:color w:val="000000"/>
                <w:sz w:val="20"/>
              </w:rPr>
              <w:t xml:space="preserve">Annual </w:t>
            </w:r>
            <w:r w:rsidR="005A0B99">
              <w:rPr>
                <w:rFonts w:ascii="Calibri" w:hAnsi="Calibri" w:cs="Calibri"/>
                <w:b/>
                <w:color w:val="000000"/>
                <w:sz w:val="20"/>
              </w:rPr>
              <w:t>Δ</w:t>
            </w:r>
            <w:r w:rsidR="00BF26A2">
              <w:rPr>
                <w:rFonts w:ascii="Calibri" w:hAnsi="Calibri" w:cs="Calibri"/>
                <w:b/>
                <w:color w:val="000000"/>
                <w:sz w:val="20"/>
                <w:vertAlign w:val="superscript"/>
              </w:rPr>
              <w:t>2</w:t>
            </w:r>
          </w:p>
        </w:tc>
        <w:tc>
          <w:tcPr>
            <w:tcW w:w="1083" w:type="dxa"/>
            <w:vAlign w:val="center"/>
          </w:tcPr>
          <w:p w14:paraId="4CE50202" w14:textId="77777777" w:rsidR="004F7E54" w:rsidRPr="00392EA0" w:rsidRDefault="004F7E54" w:rsidP="00BE2895">
            <w:pPr>
              <w:spacing w:before="20" w:after="2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392EA0">
              <w:rPr>
                <w:rFonts w:ascii="Calibri" w:hAnsi="Calibri" w:cs="Calibri"/>
                <w:color w:val="000000"/>
                <w:sz w:val="20"/>
              </w:rPr>
              <w:t> </w:t>
            </w:r>
          </w:p>
        </w:tc>
        <w:tc>
          <w:tcPr>
            <w:tcW w:w="1076" w:type="dxa"/>
            <w:vAlign w:val="center"/>
          </w:tcPr>
          <w:p w14:paraId="088AD81B" w14:textId="77777777" w:rsidR="004F7E54" w:rsidRPr="000A24B2" w:rsidRDefault="004F7E54" w:rsidP="00BE2895">
            <w:pPr>
              <w:spacing w:before="20" w:after="2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0A24B2">
              <w:rPr>
                <w:rFonts w:ascii="Calibri" w:hAnsi="Calibri" w:cs="Calibri"/>
                <w:color w:val="000000"/>
                <w:sz w:val="20"/>
              </w:rPr>
              <w:t> </w:t>
            </w:r>
          </w:p>
        </w:tc>
        <w:tc>
          <w:tcPr>
            <w:tcW w:w="1055" w:type="dxa"/>
            <w:vAlign w:val="center"/>
          </w:tcPr>
          <w:p w14:paraId="5191266D" w14:textId="77777777" w:rsidR="004F7E54" w:rsidRPr="00797CA2" w:rsidRDefault="004F7E54" w:rsidP="00BE2895">
            <w:pPr>
              <w:spacing w:before="20" w:after="2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 </w:t>
            </w:r>
          </w:p>
        </w:tc>
        <w:tc>
          <w:tcPr>
            <w:tcW w:w="1435" w:type="dxa"/>
            <w:vAlign w:val="center"/>
          </w:tcPr>
          <w:p w14:paraId="487BFA4A" w14:textId="77777777" w:rsidR="004F7E54" w:rsidRPr="00797CA2" w:rsidRDefault="004F7E54" w:rsidP="00BE2895">
            <w:pPr>
              <w:spacing w:before="20" w:after="2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 </w:t>
            </w:r>
          </w:p>
        </w:tc>
      </w:tr>
      <w:tr w:rsidR="00B243D8" w:rsidRPr="00797CA2" w14:paraId="7C7FF94A"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784CDA66" w14:textId="77777777" w:rsidR="00937C11" w:rsidRPr="00B243D8" w:rsidRDefault="00937C11" w:rsidP="00937C11">
            <w:pPr>
              <w:spacing w:before="0" w:after="0"/>
              <w:ind w:firstLineChars="200" w:firstLine="400"/>
              <w:rPr>
                <w:rFonts w:ascii="Calibri" w:hAnsi="Calibri" w:cs="Calibri"/>
                <w:iCs/>
                <w:color w:val="000000"/>
                <w:sz w:val="20"/>
              </w:rPr>
            </w:pPr>
            <w:r w:rsidRPr="00B243D8">
              <w:rPr>
                <w:rFonts w:ascii="Calibri" w:hAnsi="Calibri" w:cs="Calibri"/>
                <w:iCs/>
                <w:color w:val="000000"/>
                <w:sz w:val="20"/>
              </w:rPr>
              <w:t>Inflation (Darwin)</w:t>
            </w:r>
          </w:p>
        </w:tc>
        <w:tc>
          <w:tcPr>
            <w:tcW w:w="938" w:type="dxa"/>
            <w:vAlign w:val="center"/>
          </w:tcPr>
          <w:p w14:paraId="37638646" w14:textId="61B23BED" w:rsidR="00937C11" w:rsidRPr="00995976" w:rsidRDefault="001C0CA4" w:rsidP="006536A6">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Jun-23</w:t>
            </w:r>
          </w:p>
        </w:tc>
        <w:tc>
          <w:tcPr>
            <w:tcW w:w="1271" w:type="dxa"/>
            <w:vAlign w:val="center"/>
          </w:tcPr>
          <w:p w14:paraId="0022F1CB" w14:textId="0C6FD8CC" w:rsidR="00937C11" w:rsidRPr="00392EA0" w:rsidRDefault="001C0CA4" w:rsidP="00720F41">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5.3%</w:t>
            </w:r>
          </w:p>
        </w:tc>
        <w:tc>
          <w:tcPr>
            <w:tcW w:w="1083" w:type="dxa"/>
            <w:vAlign w:val="center"/>
          </w:tcPr>
          <w:p w14:paraId="57A29B5D" w14:textId="3F11F4CF" w:rsidR="00937C11" w:rsidRPr="000A24B2" w:rsidRDefault="001C0CA4" w:rsidP="006536A6">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-0.9 </w:t>
            </w:r>
            <w:proofErr w:type="spellStart"/>
            <w:r>
              <w:rPr>
                <w:rFonts w:ascii="Calibri" w:hAnsi="Calibri" w:cs="Calibri"/>
                <w:color w:val="000000"/>
                <w:sz w:val="20"/>
              </w:rPr>
              <w:t>ppt</w:t>
            </w:r>
            <w:proofErr w:type="spellEnd"/>
          </w:p>
        </w:tc>
        <w:tc>
          <w:tcPr>
            <w:tcW w:w="1076" w:type="dxa"/>
            <w:vAlign w:val="center"/>
          </w:tcPr>
          <w:p w14:paraId="142F157B" w14:textId="582F2AE4" w:rsidR="00937C11" w:rsidRPr="00797CA2" w:rsidRDefault="001C0CA4" w:rsidP="00051BFD">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-1.3 </w:t>
            </w:r>
            <w:proofErr w:type="spellStart"/>
            <w:r>
              <w:rPr>
                <w:rFonts w:ascii="Calibri" w:hAnsi="Calibri" w:cs="Calibri"/>
                <w:color w:val="000000"/>
                <w:sz w:val="20"/>
              </w:rPr>
              <w:t>ppt</w:t>
            </w:r>
            <w:proofErr w:type="spellEnd"/>
          </w:p>
        </w:tc>
        <w:tc>
          <w:tcPr>
            <w:tcW w:w="1055" w:type="dxa"/>
            <w:vAlign w:val="center"/>
          </w:tcPr>
          <w:p w14:paraId="6D57D79D" w14:textId="410A750A" w:rsidR="00937C11" w:rsidRPr="00797CA2" w:rsidRDefault="001C0CA4" w:rsidP="00085B4D">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roofErr w:type="spellStart"/>
            <w:r>
              <w:rPr>
                <w:rFonts w:ascii="Calibri" w:hAnsi="Calibri" w:cs="Calibri"/>
                <w:color w:val="000000"/>
                <w:sz w:val="20"/>
              </w:rPr>
              <w:t>na</w:t>
            </w:r>
            <w:proofErr w:type="spellEnd"/>
            <w:r>
              <w:rPr>
                <w:rFonts w:ascii="Calibri" w:hAnsi="Calibri" w:cs="Calibri"/>
                <w:color w:val="000000"/>
                <w:sz w:val="20"/>
              </w:rPr>
              <w:t xml:space="preserve"> </w:t>
            </w:r>
          </w:p>
        </w:tc>
        <w:tc>
          <w:tcPr>
            <w:tcW w:w="1435" w:type="dxa"/>
            <w:vAlign w:val="center"/>
          </w:tcPr>
          <w:p w14:paraId="5DF78A42" w14:textId="355DB7A2" w:rsidR="00937C11" w:rsidRPr="00797CA2" w:rsidRDefault="000C344D" w:rsidP="00720F41">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5.9</w:t>
            </w:r>
            <w:r w:rsidR="001C0CA4">
              <w:rPr>
                <w:rFonts w:ascii="Calibri" w:hAnsi="Calibri" w:cs="Calibri"/>
                <w:color w:val="000000"/>
                <w:sz w:val="20"/>
              </w:rPr>
              <w:t xml:space="preserve"> </w:t>
            </w:r>
            <w:proofErr w:type="spellStart"/>
            <w:r w:rsidR="001C0CA4">
              <w:rPr>
                <w:rFonts w:ascii="Calibri" w:hAnsi="Calibri" w:cs="Calibri"/>
                <w:color w:val="000000"/>
                <w:sz w:val="20"/>
              </w:rPr>
              <w:t>ppt</w:t>
            </w:r>
            <w:proofErr w:type="spellEnd"/>
          </w:p>
        </w:tc>
      </w:tr>
      <w:tr w:rsidR="00B243D8" w:rsidRPr="00797CA2" w14:paraId="0F829271" w14:textId="77777777" w:rsidTr="00BF26A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548B7AA0" w14:textId="77777777" w:rsidR="00937C11" w:rsidRPr="00B243D8" w:rsidRDefault="00937C11" w:rsidP="00937C11">
            <w:pPr>
              <w:spacing w:before="0" w:after="0"/>
              <w:ind w:firstLineChars="200" w:firstLine="400"/>
              <w:rPr>
                <w:rFonts w:ascii="Calibri" w:hAnsi="Calibri" w:cs="Calibri"/>
                <w:iCs/>
                <w:color w:val="000000"/>
                <w:sz w:val="20"/>
              </w:rPr>
            </w:pPr>
            <w:r w:rsidRPr="00B243D8">
              <w:rPr>
                <w:rFonts w:ascii="Calibri" w:hAnsi="Calibri" w:cs="Calibri"/>
                <w:iCs/>
                <w:color w:val="000000"/>
                <w:sz w:val="20"/>
              </w:rPr>
              <w:t>Inflation (8 Capitals)</w:t>
            </w:r>
          </w:p>
        </w:tc>
        <w:tc>
          <w:tcPr>
            <w:tcW w:w="938" w:type="dxa"/>
            <w:shd w:val="clear" w:color="auto" w:fill="auto"/>
            <w:vAlign w:val="center"/>
          </w:tcPr>
          <w:p w14:paraId="05EC37F3" w14:textId="25A0902A" w:rsidR="00937C11" w:rsidRPr="00995976" w:rsidRDefault="001C0CA4" w:rsidP="006536A6">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Jun-23</w:t>
            </w:r>
          </w:p>
        </w:tc>
        <w:tc>
          <w:tcPr>
            <w:tcW w:w="1271" w:type="dxa"/>
            <w:shd w:val="clear" w:color="auto" w:fill="auto"/>
            <w:vAlign w:val="center"/>
          </w:tcPr>
          <w:p w14:paraId="522B275D" w14:textId="138A4B06" w:rsidR="00937C11" w:rsidRPr="00392EA0" w:rsidRDefault="001C0CA4" w:rsidP="006536A6">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6.0%</w:t>
            </w:r>
          </w:p>
        </w:tc>
        <w:tc>
          <w:tcPr>
            <w:tcW w:w="1083" w:type="dxa"/>
            <w:shd w:val="clear" w:color="auto" w:fill="auto"/>
            <w:vAlign w:val="center"/>
          </w:tcPr>
          <w:p w14:paraId="5C91FC91" w14:textId="77C8F50C" w:rsidR="00937C11" w:rsidRPr="000A24B2" w:rsidRDefault="001C0CA4"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-1.0 </w:t>
            </w:r>
            <w:proofErr w:type="spellStart"/>
            <w:r>
              <w:rPr>
                <w:rFonts w:ascii="Calibri" w:hAnsi="Calibri" w:cs="Calibri"/>
                <w:color w:val="000000"/>
                <w:sz w:val="20"/>
              </w:rPr>
              <w:t>ppt</w:t>
            </w:r>
            <w:proofErr w:type="spellEnd"/>
          </w:p>
        </w:tc>
        <w:tc>
          <w:tcPr>
            <w:tcW w:w="1076" w:type="dxa"/>
            <w:shd w:val="clear" w:color="auto" w:fill="auto"/>
            <w:vAlign w:val="center"/>
          </w:tcPr>
          <w:p w14:paraId="67932216" w14:textId="22C59D6E" w:rsidR="00937C11" w:rsidRPr="00797CA2" w:rsidRDefault="001C0CA4"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-0.1 </w:t>
            </w:r>
            <w:proofErr w:type="spellStart"/>
            <w:r>
              <w:rPr>
                <w:rFonts w:ascii="Calibri" w:hAnsi="Calibri" w:cs="Calibri"/>
                <w:color w:val="000000"/>
                <w:sz w:val="20"/>
              </w:rPr>
              <w:t>ppt</w:t>
            </w:r>
            <w:proofErr w:type="spellEnd"/>
          </w:p>
        </w:tc>
        <w:tc>
          <w:tcPr>
            <w:tcW w:w="1055" w:type="dxa"/>
            <w:shd w:val="clear" w:color="auto" w:fill="auto"/>
            <w:vAlign w:val="center"/>
          </w:tcPr>
          <w:p w14:paraId="128F96EA" w14:textId="56A893E4" w:rsidR="00937C11" w:rsidRPr="00797CA2" w:rsidRDefault="001C0CA4" w:rsidP="00085B4D">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proofErr w:type="spellStart"/>
            <w:r>
              <w:rPr>
                <w:rFonts w:ascii="Calibri" w:hAnsi="Calibri" w:cs="Calibri"/>
                <w:color w:val="000000"/>
                <w:sz w:val="20"/>
              </w:rPr>
              <w:t>na</w:t>
            </w:r>
            <w:proofErr w:type="spellEnd"/>
          </w:p>
        </w:tc>
        <w:tc>
          <w:tcPr>
            <w:tcW w:w="1435" w:type="dxa"/>
            <w:shd w:val="clear" w:color="auto" w:fill="auto"/>
            <w:vAlign w:val="center"/>
          </w:tcPr>
          <w:p w14:paraId="299D3838" w14:textId="4D959F20" w:rsidR="00937C11" w:rsidRPr="00797CA2" w:rsidRDefault="000C344D" w:rsidP="00720F41">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5.4</w:t>
            </w:r>
            <w:r w:rsidR="001C0CA4">
              <w:rPr>
                <w:rFonts w:ascii="Calibri" w:hAnsi="Calibri" w:cs="Calibri"/>
                <w:color w:val="000000"/>
                <w:sz w:val="20"/>
              </w:rPr>
              <w:t xml:space="preserve"> </w:t>
            </w:r>
            <w:proofErr w:type="spellStart"/>
            <w:r w:rsidR="001C0CA4">
              <w:rPr>
                <w:rFonts w:ascii="Calibri" w:hAnsi="Calibri" w:cs="Calibri"/>
                <w:color w:val="000000"/>
                <w:sz w:val="20"/>
              </w:rPr>
              <w:t>ppt</w:t>
            </w:r>
            <w:proofErr w:type="spellEnd"/>
          </w:p>
        </w:tc>
      </w:tr>
      <w:tr w:rsidR="00B243D8" w:rsidRPr="00797CA2" w14:paraId="6B2A475C"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1F38A137" w14:textId="77777777" w:rsidR="003763FC" w:rsidRPr="00B243D8" w:rsidRDefault="003763FC" w:rsidP="003763FC">
            <w:pPr>
              <w:spacing w:before="0" w:after="0"/>
              <w:ind w:firstLineChars="200" w:firstLine="160"/>
              <w:rPr>
                <w:rFonts w:ascii="Calibri" w:hAnsi="Calibri" w:cs="Calibri"/>
                <w:color w:val="000000"/>
                <w:sz w:val="8"/>
                <w:szCs w:val="8"/>
              </w:rPr>
            </w:pPr>
            <w:r w:rsidRPr="00B243D8">
              <w:rPr>
                <w:rFonts w:ascii="Calibri" w:hAnsi="Calibri" w:cs="Calibri"/>
                <w:color w:val="000000"/>
                <w:sz w:val="8"/>
                <w:szCs w:val="8"/>
              </w:rPr>
              <w:t> </w:t>
            </w:r>
          </w:p>
        </w:tc>
        <w:tc>
          <w:tcPr>
            <w:tcW w:w="938" w:type="dxa"/>
            <w:vAlign w:val="center"/>
          </w:tcPr>
          <w:p w14:paraId="5A8D7C3E" w14:textId="37261A5B" w:rsidR="003763FC" w:rsidRPr="00995976"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p>
        </w:tc>
        <w:tc>
          <w:tcPr>
            <w:tcW w:w="1271" w:type="dxa"/>
            <w:vAlign w:val="center"/>
          </w:tcPr>
          <w:p w14:paraId="00E43862" w14:textId="45D929D1" w:rsidR="003763FC" w:rsidRPr="00392EA0" w:rsidRDefault="003763FC" w:rsidP="00720F41">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p>
        </w:tc>
        <w:tc>
          <w:tcPr>
            <w:tcW w:w="1083" w:type="dxa"/>
            <w:vAlign w:val="center"/>
          </w:tcPr>
          <w:p w14:paraId="4E53C39E" w14:textId="76CD87A1" w:rsidR="003763FC" w:rsidRPr="000A24B2" w:rsidRDefault="003763FC"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p>
        </w:tc>
        <w:tc>
          <w:tcPr>
            <w:tcW w:w="1076" w:type="dxa"/>
            <w:vAlign w:val="center"/>
          </w:tcPr>
          <w:p w14:paraId="7E847131" w14:textId="3F9CA0B1" w:rsidR="003763FC" w:rsidRPr="00797CA2" w:rsidRDefault="003763FC"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p>
        </w:tc>
        <w:tc>
          <w:tcPr>
            <w:tcW w:w="1055" w:type="dxa"/>
            <w:vAlign w:val="center"/>
          </w:tcPr>
          <w:p w14:paraId="39F76694" w14:textId="7EC751DE" w:rsidR="003763FC" w:rsidRPr="00797CA2" w:rsidRDefault="003763FC"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p>
        </w:tc>
        <w:tc>
          <w:tcPr>
            <w:tcW w:w="1435" w:type="dxa"/>
            <w:vAlign w:val="center"/>
          </w:tcPr>
          <w:p w14:paraId="63270651" w14:textId="0672D7A4" w:rsidR="003763FC" w:rsidRPr="00797CA2" w:rsidRDefault="003763FC" w:rsidP="00720F41">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p>
        </w:tc>
      </w:tr>
      <w:tr w:rsidR="00B243D8" w:rsidRPr="00797CA2" w14:paraId="59DEB887" w14:textId="77777777" w:rsidTr="00BF26A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500090E1" w14:textId="77777777" w:rsidR="00937C11" w:rsidRPr="00B243D8" w:rsidRDefault="00937C11" w:rsidP="00937C11">
            <w:pPr>
              <w:spacing w:before="0" w:after="0"/>
              <w:ind w:firstLineChars="200" w:firstLine="400"/>
              <w:rPr>
                <w:rFonts w:ascii="Calibri" w:hAnsi="Calibri" w:cs="Calibri"/>
                <w:iCs/>
                <w:color w:val="000000"/>
                <w:sz w:val="20"/>
              </w:rPr>
            </w:pPr>
            <w:r w:rsidRPr="00B243D8">
              <w:rPr>
                <w:rFonts w:ascii="Calibri" w:hAnsi="Calibri" w:cs="Calibri"/>
                <w:iCs/>
                <w:color w:val="000000"/>
                <w:sz w:val="20"/>
              </w:rPr>
              <w:t>WPI growth (NT)</w:t>
            </w:r>
          </w:p>
        </w:tc>
        <w:tc>
          <w:tcPr>
            <w:tcW w:w="938" w:type="dxa"/>
            <w:shd w:val="clear" w:color="auto" w:fill="auto"/>
            <w:vAlign w:val="center"/>
          </w:tcPr>
          <w:p w14:paraId="40C2D657" w14:textId="0B4CCA2E" w:rsidR="00937C11" w:rsidRPr="00995976" w:rsidRDefault="001C0CA4" w:rsidP="006536A6">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Jun-23</w:t>
            </w:r>
          </w:p>
        </w:tc>
        <w:tc>
          <w:tcPr>
            <w:tcW w:w="1271" w:type="dxa"/>
            <w:shd w:val="clear" w:color="auto" w:fill="auto"/>
            <w:vAlign w:val="center"/>
          </w:tcPr>
          <w:p w14:paraId="0DA58FD7" w14:textId="2DCBED9E" w:rsidR="00937C11" w:rsidRPr="00392EA0" w:rsidRDefault="001C0CA4" w:rsidP="006536A6">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3.3%</w:t>
            </w:r>
          </w:p>
        </w:tc>
        <w:tc>
          <w:tcPr>
            <w:tcW w:w="1083" w:type="dxa"/>
            <w:shd w:val="clear" w:color="auto" w:fill="auto"/>
            <w:vAlign w:val="center"/>
          </w:tcPr>
          <w:p w14:paraId="238BE27B" w14:textId="162C3940" w:rsidR="00937C11" w:rsidRPr="000A24B2" w:rsidRDefault="001C0CA4" w:rsidP="006536A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0.3 </w:t>
            </w:r>
            <w:proofErr w:type="spellStart"/>
            <w:r>
              <w:rPr>
                <w:rFonts w:ascii="Calibri" w:hAnsi="Calibri" w:cs="Calibri"/>
                <w:color w:val="000000"/>
                <w:sz w:val="20"/>
              </w:rPr>
              <w:t>ppt</w:t>
            </w:r>
            <w:proofErr w:type="spellEnd"/>
          </w:p>
        </w:tc>
        <w:tc>
          <w:tcPr>
            <w:tcW w:w="1076" w:type="dxa"/>
            <w:shd w:val="clear" w:color="auto" w:fill="auto"/>
            <w:vAlign w:val="center"/>
          </w:tcPr>
          <w:p w14:paraId="487C4513" w14:textId="08D5CC39" w:rsidR="00937C11" w:rsidRPr="00797CA2" w:rsidRDefault="001C0CA4"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1.2 </w:t>
            </w:r>
            <w:proofErr w:type="spellStart"/>
            <w:r>
              <w:rPr>
                <w:rFonts w:ascii="Calibri" w:hAnsi="Calibri" w:cs="Calibri"/>
                <w:color w:val="000000"/>
                <w:sz w:val="20"/>
              </w:rPr>
              <w:t>ppt</w:t>
            </w:r>
            <w:proofErr w:type="spellEnd"/>
          </w:p>
        </w:tc>
        <w:tc>
          <w:tcPr>
            <w:tcW w:w="1055" w:type="dxa"/>
            <w:shd w:val="clear" w:color="auto" w:fill="auto"/>
            <w:vAlign w:val="center"/>
          </w:tcPr>
          <w:p w14:paraId="6272D32D" w14:textId="3678A964" w:rsidR="00937C11" w:rsidRPr="00797CA2" w:rsidRDefault="001C0CA4" w:rsidP="00720F41">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proofErr w:type="spellStart"/>
            <w:r>
              <w:rPr>
                <w:rFonts w:ascii="Calibri" w:hAnsi="Calibri" w:cs="Calibri"/>
                <w:color w:val="000000"/>
                <w:sz w:val="20"/>
              </w:rPr>
              <w:t>na</w:t>
            </w:r>
            <w:proofErr w:type="spellEnd"/>
          </w:p>
        </w:tc>
        <w:tc>
          <w:tcPr>
            <w:tcW w:w="1435" w:type="dxa"/>
            <w:shd w:val="clear" w:color="auto" w:fill="auto"/>
            <w:vAlign w:val="center"/>
          </w:tcPr>
          <w:p w14:paraId="6A1C470D" w14:textId="05483F96" w:rsidR="00937C11" w:rsidRPr="00797CA2" w:rsidRDefault="000C344D" w:rsidP="006536A6">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0.5</w:t>
            </w:r>
            <w:r w:rsidR="001C0CA4">
              <w:rPr>
                <w:rFonts w:ascii="Calibri" w:hAnsi="Calibri" w:cs="Calibri"/>
                <w:color w:val="000000"/>
                <w:sz w:val="20"/>
              </w:rPr>
              <w:t xml:space="preserve"> </w:t>
            </w:r>
            <w:proofErr w:type="spellStart"/>
            <w:r w:rsidR="001C0CA4">
              <w:rPr>
                <w:rFonts w:ascii="Calibri" w:hAnsi="Calibri" w:cs="Calibri"/>
                <w:color w:val="000000"/>
                <w:sz w:val="20"/>
              </w:rPr>
              <w:t>ppt</w:t>
            </w:r>
            <w:proofErr w:type="spellEnd"/>
          </w:p>
        </w:tc>
      </w:tr>
      <w:tr w:rsidR="00B243D8" w:rsidRPr="00797CA2" w14:paraId="43A48D08"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505A0815" w14:textId="346990B8" w:rsidR="00937C11" w:rsidRPr="00995976" w:rsidRDefault="00720F41" w:rsidP="00937C11">
            <w:pPr>
              <w:spacing w:before="0" w:after="0"/>
              <w:ind w:firstLineChars="200" w:firstLine="400"/>
              <w:rPr>
                <w:rFonts w:ascii="Calibri" w:hAnsi="Calibri" w:cs="Calibri"/>
                <w:iCs/>
                <w:color w:val="000000"/>
                <w:sz w:val="20"/>
              </w:rPr>
            </w:pPr>
            <w:r w:rsidRPr="00B243D8">
              <w:rPr>
                <w:rFonts w:ascii="Calibri" w:hAnsi="Calibri" w:cs="Calibri"/>
                <w:iCs/>
                <w:color w:val="000000"/>
                <w:sz w:val="20"/>
              </w:rPr>
              <w:t>WPI growth (</w:t>
            </w:r>
            <w:proofErr w:type="spellStart"/>
            <w:r w:rsidRPr="00B243D8">
              <w:rPr>
                <w:rFonts w:ascii="Calibri" w:hAnsi="Calibri" w:cs="Calibri"/>
                <w:iCs/>
                <w:color w:val="000000"/>
                <w:sz w:val="20"/>
              </w:rPr>
              <w:t>Aus</w:t>
            </w:r>
            <w:proofErr w:type="spellEnd"/>
            <w:r w:rsidR="00937C11" w:rsidRPr="00B243D8">
              <w:rPr>
                <w:rFonts w:ascii="Calibri" w:hAnsi="Calibri" w:cs="Calibri"/>
                <w:iCs/>
                <w:color w:val="000000"/>
                <w:sz w:val="20"/>
              </w:rPr>
              <w:t>)</w:t>
            </w:r>
          </w:p>
        </w:tc>
        <w:tc>
          <w:tcPr>
            <w:tcW w:w="938" w:type="dxa"/>
            <w:vAlign w:val="center"/>
          </w:tcPr>
          <w:p w14:paraId="28F4DCD4" w14:textId="219A38BB" w:rsidR="00937C11" w:rsidRPr="00392EA0" w:rsidRDefault="001C0CA4" w:rsidP="006536A6">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Jun-23</w:t>
            </w:r>
          </w:p>
        </w:tc>
        <w:tc>
          <w:tcPr>
            <w:tcW w:w="1271" w:type="dxa"/>
            <w:vAlign w:val="center"/>
          </w:tcPr>
          <w:p w14:paraId="54C88AA1" w14:textId="59379E94" w:rsidR="00937C11" w:rsidRPr="000A24B2" w:rsidRDefault="001C0CA4" w:rsidP="006536A6">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3.6%</w:t>
            </w:r>
          </w:p>
        </w:tc>
        <w:tc>
          <w:tcPr>
            <w:tcW w:w="1083" w:type="dxa"/>
            <w:vAlign w:val="center"/>
          </w:tcPr>
          <w:p w14:paraId="2C7B259F" w14:textId="162FE145" w:rsidR="00937C11" w:rsidRPr="00797CA2" w:rsidRDefault="001C0CA4"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0.1 </w:t>
            </w:r>
            <w:proofErr w:type="spellStart"/>
            <w:r>
              <w:rPr>
                <w:rFonts w:ascii="Calibri" w:hAnsi="Calibri" w:cs="Calibri"/>
                <w:color w:val="000000"/>
                <w:sz w:val="20"/>
              </w:rPr>
              <w:t>ppt</w:t>
            </w:r>
            <w:proofErr w:type="spellEnd"/>
          </w:p>
        </w:tc>
        <w:tc>
          <w:tcPr>
            <w:tcW w:w="1076" w:type="dxa"/>
            <w:vAlign w:val="center"/>
          </w:tcPr>
          <w:p w14:paraId="0B5F0428" w14:textId="037B75D5" w:rsidR="00937C11" w:rsidRPr="00797CA2" w:rsidRDefault="001C0CA4" w:rsidP="006536A6">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1.0 </w:t>
            </w:r>
            <w:proofErr w:type="spellStart"/>
            <w:r>
              <w:rPr>
                <w:rFonts w:ascii="Calibri" w:hAnsi="Calibri" w:cs="Calibri"/>
                <w:color w:val="000000"/>
                <w:sz w:val="20"/>
              </w:rPr>
              <w:t>ppt</w:t>
            </w:r>
            <w:proofErr w:type="spellEnd"/>
          </w:p>
        </w:tc>
        <w:tc>
          <w:tcPr>
            <w:tcW w:w="1055" w:type="dxa"/>
            <w:vAlign w:val="center"/>
          </w:tcPr>
          <w:p w14:paraId="572F1945" w14:textId="6B4BA140" w:rsidR="00937C11" w:rsidRPr="00797CA2" w:rsidRDefault="001C0CA4" w:rsidP="00720F41">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roofErr w:type="spellStart"/>
            <w:r>
              <w:rPr>
                <w:rFonts w:ascii="Calibri" w:hAnsi="Calibri" w:cs="Calibri"/>
                <w:color w:val="000000"/>
                <w:sz w:val="20"/>
              </w:rPr>
              <w:t>na</w:t>
            </w:r>
            <w:proofErr w:type="spellEnd"/>
          </w:p>
        </w:tc>
        <w:tc>
          <w:tcPr>
            <w:tcW w:w="1435" w:type="dxa"/>
            <w:vAlign w:val="center"/>
          </w:tcPr>
          <w:p w14:paraId="44E94262" w14:textId="5DD9FB85" w:rsidR="00937C11" w:rsidRPr="00797CA2" w:rsidRDefault="000C344D" w:rsidP="006536A6">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1.2</w:t>
            </w:r>
            <w:r w:rsidR="001C0CA4">
              <w:rPr>
                <w:rFonts w:ascii="Calibri" w:hAnsi="Calibri" w:cs="Calibri"/>
                <w:color w:val="000000"/>
                <w:sz w:val="20"/>
              </w:rPr>
              <w:t xml:space="preserve"> </w:t>
            </w:r>
            <w:proofErr w:type="spellStart"/>
            <w:r w:rsidR="001C0CA4">
              <w:rPr>
                <w:rFonts w:ascii="Calibri" w:hAnsi="Calibri" w:cs="Calibri"/>
                <w:color w:val="000000"/>
                <w:sz w:val="20"/>
              </w:rPr>
              <w:t>ppt</w:t>
            </w:r>
            <w:proofErr w:type="spellEnd"/>
          </w:p>
        </w:tc>
      </w:tr>
      <w:tr w:rsidR="00B243D8" w:rsidRPr="00797CA2" w14:paraId="5A70FCD0" w14:textId="77777777" w:rsidTr="00BE289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1AC3472C" w14:textId="72F82852" w:rsidR="004F7E54" w:rsidRPr="00B243D8" w:rsidRDefault="00995976" w:rsidP="00BE2895">
            <w:pPr>
              <w:spacing w:before="20" w:after="20"/>
              <w:rPr>
                <w:rFonts w:ascii="Calibri" w:hAnsi="Calibri" w:cs="Calibri"/>
                <w:b/>
                <w:bCs/>
                <w:color w:val="000000"/>
                <w:sz w:val="20"/>
              </w:rPr>
            </w:pPr>
            <w:r>
              <w:rPr>
                <w:rFonts w:ascii="Calibri" w:hAnsi="Calibri" w:cs="Calibri"/>
                <w:b/>
                <w:bCs/>
                <w:color w:val="000000"/>
                <w:sz w:val="20"/>
              </w:rPr>
              <w:t>Employment</w:t>
            </w:r>
          </w:p>
        </w:tc>
        <w:tc>
          <w:tcPr>
            <w:tcW w:w="938" w:type="dxa"/>
            <w:vAlign w:val="center"/>
          </w:tcPr>
          <w:p w14:paraId="508E1F9A" w14:textId="77777777" w:rsidR="004F7E54" w:rsidRPr="00995976" w:rsidRDefault="004F7E54" w:rsidP="00BE2895">
            <w:pPr>
              <w:spacing w:before="20" w:after="2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995976">
              <w:rPr>
                <w:rFonts w:ascii="Calibri" w:hAnsi="Calibri" w:cs="Calibri"/>
                <w:color w:val="000000"/>
                <w:sz w:val="20"/>
              </w:rPr>
              <w:t> </w:t>
            </w:r>
          </w:p>
        </w:tc>
        <w:tc>
          <w:tcPr>
            <w:tcW w:w="1271" w:type="dxa"/>
            <w:vAlign w:val="center"/>
          </w:tcPr>
          <w:p w14:paraId="775F2EC2" w14:textId="2F028850" w:rsidR="004F7E54" w:rsidRPr="00BE2895" w:rsidRDefault="00461158" w:rsidP="00BE2895">
            <w:pPr>
              <w:spacing w:before="20" w:after="2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20"/>
              </w:rPr>
            </w:pPr>
            <w:r w:rsidRPr="00392EA0">
              <w:rPr>
                <w:rFonts w:ascii="Calibri" w:hAnsi="Calibri" w:cs="Calibri"/>
                <w:b/>
                <w:color w:val="000000"/>
                <w:sz w:val="20"/>
              </w:rPr>
              <w:t>#M</w:t>
            </w:r>
          </w:p>
        </w:tc>
        <w:tc>
          <w:tcPr>
            <w:tcW w:w="1083" w:type="dxa"/>
            <w:vAlign w:val="center"/>
          </w:tcPr>
          <w:p w14:paraId="1991C430" w14:textId="77777777" w:rsidR="004F7E54" w:rsidRPr="00392EA0" w:rsidRDefault="004F7E54" w:rsidP="00BE2895">
            <w:pPr>
              <w:spacing w:before="20" w:after="2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392EA0">
              <w:rPr>
                <w:rFonts w:ascii="Calibri" w:hAnsi="Calibri" w:cs="Calibri"/>
                <w:color w:val="000000"/>
                <w:sz w:val="20"/>
              </w:rPr>
              <w:t> </w:t>
            </w:r>
          </w:p>
        </w:tc>
        <w:tc>
          <w:tcPr>
            <w:tcW w:w="1076" w:type="dxa"/>
            <w:vAlign w:val="center"/>
          </w:tcPr>
          <w:p w14:paraId="082014B9" w14:textId="77777777" w:rsidR="004F7E54" w:rsidRPr="000A24B2" w:rsidRDefault="004F7E54" w:rsidP="00BE2895">
            <w:pPr>
              <w:spacing w:before="20" w:after="2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0A24B2">
              <w:rPr>
                <w:rFonts w:ascii="Calibri" w:hAnsi="Calibri" w:cs="Calibri"/>
                <w:color w:val="000000"/>
                <w:sz w:val="20"/>
              </w:rPr>
              <w:t> </w:t>
            </w:r>
          </w:p>
        </w:tc>
        <w:tc>
          <w:tcPr>
            <w:tcW w:w="1055" w:type="dxa"/>
            <w:vAlign w:val="center"/>
          </w:tcPr>
          <w:p w14:paraId="51C7A1EC" w14:textId="77777777" w:rsidR="004F7E54" w:rsidRPr="00797CA2" w:rsidRDefault="004F7E54" w:rsidP="00BE2895">
            <w:pPr>
              <w:spacing w:before="20" w:after="2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 </w:t>
            </w:r>
          </w:p>
        </w:tc>
        <w:tc>
          <w:tcPr>
            <w:tcW w:w="1435" w:type="dxa"/>
            <w:vAlign w:val="center"/>
          </w:tcPr>
          <w:p w14:paraId="729BB4B8" w14:textId="77777777" w:rsidR="004F7E54" w:rsidRPr="00797CA2" w:rsidRDefault="004F7E54" w:rsidP="00BE2895">
            <w:pPr>
              <w:spacing w:before="20" w:after="2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 </w:t>
            </w:r>
          </w:p>
        </w:tc>
      </w:tr>
      <w:tr w:rsidR="00B243D8" w:rsidRPr="00797CA2" w14:paraId="514638C6"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3B9FAF13" w14:textId="77777777" w:rsidR="00937C11" w:rsidRPr="00B243D8" w:rsidRDefault="00937C11" w:rsidP="00937C11">
            <w:pPr>
              <w:spacing w:before="0" w:after="0"/>
              <w:ind w:firstLineChars="200" w:firstLine="400"/>
              <w:rPr>
                <w:rFonts w:ascii="Calibri" w:hAnsi="Calibri" w:cs="Calibri"/>
                <w:iCs/>
                <w:color w:val="000000"/>
                <w:sz w:val="20"/>
              </w:rPr>
            </w:pPr>
            <w:r w:rsidRPr="00B243D8">
              <w:rPr>
                <w:rFonts w:ascii="Calibri" w:hAnsi="Calibri" w:cs="Calibri"/>
                <w:iCs/>
                <w:color w:val="000000"/>
                <w:sz w:val="20"/>
              </w:rPr>
              <w:t>Employment (NT) (</w:t>
            </w:r>
            <w:proofErr w:type="spellStart"/>
            <w:r w:rsidRPr="00B243D8">
              <w:rPr>
                <w:rFonts w:ascii="Calibri" w:hAnsi="Calibri" w:cs="Calibri"/>
                <w:iCs/>
                <w:color w:val="000000"/>
                <w:sz w:val="20"/>
              </w:rPr>
              <w:t>sa</w:t>
            </w:r>
            <w:proofErr w:type="spellEnd"/>
            <w:r w:rsidRPr="00B243D8">
              <w:rPr>
                <w:rFonts w:ascii="Calibri" w:hAnsi="Calibri" w:cs="Calibri"/>
                <w:iCs/>
                <w:color w:val="000000"/>
                <w:sz w:val="20"/>
              </w:rPr>
              <w:t>)</w:t>
            </w:r>
          </w:p>
        </w:tc>
        <w:tc>
          <w:tcPr>
            <w:tcW w:w="938" w:type="dxa"/>
            <w:vAlign w:val="center"/>
          </w:tcPr>
          <w:p w14:paraId="780C3AE0" w14:textId="7A3CA70B" w:rsidR="00937C11" w:rsidRPr="00995976" w:rsidRDefault="009B48D2" w:rsidP="00937C11">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Aug</w:t>
            </w:r>
            <w:r w:rsidR="001C0CA4">
              <w:rPr>
                <w:rFonts w:ascii="Calibri" w:hAnsi="Calibri" w:cs="Calibri"/>
                <w:color w:val="000000"/>
                <w:sz w:val="20"/>
              </w:rPr>
              <w:t>-23</w:t>
            </w:r>
          </w:p>
        </w:tc>
        <w:tc>
          <w:tcPr>
            <w:tcW w:w="1271" w:type="dxa"/>
            <w:vAlign w:val="center"/>
          </w:tcPr>
          <w:p w14:paraId="083B8E74" w14:textId="2553E9D8" w:rsidR="00937C11" w:rsidRPr="00392EA0" w:rsidRDefault="001C0CA4" w:rsidP="00BF4957">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0.138</w:t>
            </w:r>
          </w:p>
        </w:tc>
        <w:tc>
          <w:tcPr>
            <w:tcW w:w="1083" w:type="dxa"/>
            <w:vAlign w:val="center"/>
          </w:tcPr>
          <w:p w14:paraId="6FD49AFB" w14:textId="03E148F6" w:rsidR="00937C11" w:rsidRPr="000A24B2" w:rsidRDefault="009B48D2" w:rsidP="00BF4957">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0.1</w:t>
            </w:r>
            <w:r w:rsidR="001C0CA4">
              <w:rPr>
                <w:rFonts w:ascii="Calibri" w:hAnsi="Calibri" w:cs="Calibri"/>
                <w:color w:val="000000"/>
                <w:sz w:val="20"/>
              </w:rPr>
              <w:t>%</w:t>
            </w:r>
          </w:p>
        </w:tc>
        <w:tc>
          <w:tcPr>
            <w:tcW w:w="1076" w:type="dxa"/>
            <w:vAlign w:val="center"/>
          </w:tcPr>
          <w:p w14:paraId="4A4A7AC8" w14:textId="74B8B17F" w:rsidR="00937C11" w:rsidRPr="00797CA2" w:rsidRDefault="009B48D2" w:rsidP="00FF2916">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0.5</w:t>
            </w:r>
            <w:r w:rsidR="001C0CA4">
              <w:rPr>
                <w:rFonts w:ascii="Calibri" w:hAnsi="Calibri" w:cs="Calibri"/>
                <w:color w:val="000000"/>
                <w:sz w:val="20"/>
              </w:rPr>
              <w:t>%</w:t>
            </w:r>
          </w:p>
        </w:tc>
        <w:tc>
          <w:tcPr>
            <w:tcW w:w="1055" w:type="dxa"/>
            <w:vAlign w:val="center"/>
          </w:tcPr>
          <w:p w14:paraId="26551E34" w14:textId="6C7E54D0" w:rsidR="00937C11" w:rsidRPr="00797CA2" w:rsidRDefault="001C0CA4">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w:t>
            </w:r>
            <w:r w:rsidR="009B48D2">
              <w:rPr>
                <w:rFonts w:ascii="Calibri" w:hAnsi="Calibri" w:cs="Calibri"/>
                <w:color w:val="000000"/>
                <w:sz w:val="20"/>
              </w:rPr>
              <w:t>6</w:t>
            </w:r>
            <w:r>
              <w:rPr>
                <w:rFonts w:ascii="Calibri" w:hAnsi="Calibri" w:cs="Calibri"/>
                <w:color w:val="000000"/>
                <w:sz w:val="20"/>
              </w:rPr>
              <w:t>%</w:t>
            </w:r>
          </w:p>
        </w:tc>
        <w:tc>
          <w:tcPr>
            <w:tcW w:w="1435" w:type="dxa"/>
            <w:vAlign w:val="center"/>
          </w:tcPr>
          <w:p w14:paraId="2A7478AC" w14:textId="5283B984" w:rsidR="00937C11" w:rsidRPr="00797CA2" w:rsidRDefault="000C344D" w:rsidP="00FF2916">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5.7</w:t>
            </w:r>
            <w:r w:rsidR="001C0CA4">
              <w:rPr>
                <w:rFonts w:ascii="Calibri" w:hAnsi="Calibri" w:cs="Calibri"/>
                <w:color w:val="000000"/>
                <w:sz w:val="20"/>
              </w:rPr>
              <w:t>%</w:t>
            </w:r>
          </w:p>
        </w:tc>
      </w:tr>
      <w:tr w:rsidR="00B243D8" w:rsidRPr="00797CA2" w14:paraId="7EC29B8F" w14:textId="77777777" w:rsidTr="00BF26A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0DFCD90D" w14:textId="77777777" w:rsidR="00937C11" w:rsidRPr="00B243D8" w:rsidRDefault="00937C11" w:rsidP="00937C11">
            <w:pPr>
              <w:spacing w:before="0" w:after="0"/>
              <w:ind w:firstLineChars="200" w:firstLine="400"/>
              <w:rPr>
                <w:rFonts w:ascii="Calibri" w:hAnsi="Calibri" w:cs="Calibri"/>
                <w:iCs/>
                <w:color w:val="000000"/>
                <w:sz w:val="20"/>
              </w:rPr>
            </w:pPr>
            <w:r w:rsidRPr="00B243D8">
              <w:rPr>
                <w:rFonts w:ascii="Calibri" w:hAnsi="Calibri" w:cs="Calibri"/>
                <w:iCs/>
                <w:color w:val="000000"/>
                <w:sz w:val="20"/>
              </w:rPr>
              <w:t>Employment (</w:t>
            </w:r>
            <w:proofErr w:type="spellStart"/>
            <w:r w:rsidRPr="00B243D8">
              <w:rPr>
                <w:rFonts w:ascii="Calibri" w:hAnsi="Calibri" w:cs="Calibri"/>
                <w:iCs/>
                <w:color w:val="000000"/>
                <w:sz w:val="20"/>
              </w:rPr>
              <w:t>Aus</w:t>
            </w:r>
            <w:proofErr w:type="spellEnd"/>
            <w:r w:rsidRPr="00B243D8">
              <w:rPr>
                <w:rFonts w:ascii="Calibri" w:hAnsi="Calibri" w:cs="Calibri"/>
                <w:iCs/>
                <w:color w:val="000000"/>
                <w:sz w:val="20"/>
              </w:rPr>
              <w:t>) (</w:t>
            </w:r>
            <w:proofErr w:type="spellStart"/>
            <w:r w:rsidRPr="00B243D8">
              <w:rPr>
                <w:rFonts w:ascii="Calibri" w:hAnsi="Calibri" w:cs="Calibri"/>
                <w:iCs/>
                <w:color w:val="000000"/>
                <w:sz w:val="20"/>
              </w:rPr>
              <w:t>sa</w:t>
            </w:r>
            <w:proofErr w:type="spellEnd"/>
            <w:r w:rsidRPr="00B243D8">
              <w:rPr>
                <w:rFonts w:ascii="Calibri" w:hAnsi="Calibri" w:cs="Calibri"/>
                <w:iCs/>
                <w:color w:val="000000"/>
                <w:sz w:val="20"/>
              </w:rPr>
              <w:t>)</w:t>
            </w:r>
          </w:p>
        </w:tc>
        <w:tc>
          <w:tcPr>
            <w:tcW w:w="938" w:type="dxa"/>
            <w:shd w:val="clear" w:color="auto" w:fill="auto"/>
            <w:vAlign w:val="center"/>
          </w:tcPr>
          <w:p w14:paraId="381F8863" w14:textId="45889D2F" w:rsidR="00937C11" w:rsidRPr="00995976" w:rsidRDefault="009B48D2" w:rsidP="00937C11">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Aug</w:t>
            </w:r>
            <w:r w:rsidR="001C0CA4">
              <w:rPr>
                <w:rFonts w:ascii="Calibri" w:hAnsi="Calibri" w:cs="Calibri"/>
                <w:color w:val="000000"/>
                <w:sz w:val="20"/>
              </w:rPr>
              <w:t>-23</w:t>
            </w:r>
          </w:p>
        </w:tc>
        <w:tc>
          <w:tcPr>
            <w:tcW w:w="1271" w:type="dxa"/>
            <w:shd w:val="clear" w:color="auto" w:fill="auto"/>
            <w:vAlign w:val="center"/>
          </w:tcPr>
          <w:p w14:paraId="2CC00E70" w14:textId="2502E406" w:rsidR="00937C11" w:rsidRPr="00995976" w:rsidRDefault="001C0CA4">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14.</w:t>
            </w:r>
            <w:r w:rsidR="009B48D2">
              <w:rPr>
                <w:rFonts w:ascii="Calibri" w:hAnsi="Calibri" w:cs="Calibri"/>
                <w:color w:val="000000"/>
                <w:sz w:val="20"/>
              </w:rPr>
              <w:t>108</w:t>
            </w:r>
          </w:p>
        </w:tc>
        <w:tc>
          <w:tcPr>
            <w:tcW w:w="1083" w:type="dxa"/>
            <w:shd w:val="clear" w:color="auto" w:fill="auto"/>
            <w:vAlign w:val="center"/>
          </w:tcPr>
          <w:p w14:paraId="5EF6BBAC" w14:textId="7AF28CBF" w:rsidR="00937C11" w:rsidRPr="00392EA0" w:rsidRDefault="009B48D2" w:rsidP="00BF4957">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0.5</w:t>
            </w:r>
            <w:r w:rsidR="001C0CA4">
              <w:rPr>
                <w:rFonts w:ascii="Calibri" w:hAnsi="Calibri" w:cs="Calibri"/>
                <w:color w:val="000000"/>
                <w:sz w:val="20"/>
              </w:rPr>
              <w:t>%</w:t>
            </w:r>
          </w:p>
        </w:tc>
        <w:tc>
          <w:tcPr>
            <w:tcW w:w="1076" w:type="dxa"/>
            <w:shd w:val="clear" w:color="auto" w:fill="auto"/>
            <w:vAlign w:val="center"/>
          </w:tcPr>
          <w:p w14:paraId="3A8A9F49" w14:textId="460E8208" w:rsidR="00937C11" w:rsidRPr="00797CA2" w:rsidRDefault="009B48D2" w:rsidP="00FF291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3.0</w:t>
            </w:r>
            <w:r w:rsidR="001C0CA4">
              <w:rPr>
                <w:rFonts w:ascii="Calibri" w:hAnsi="Calibri" w:cs="Calibri"/>
                <w:color w:val="000000"/>
                <w:sz w:val="20"/>
              </w:rPr>
              <w:t>%</w:t>
            </w:r>
          </w:p>
        </w:tc>
        <w:tc>
          <w:tcPr>
            <w:tcW w:w="1055" w:type="dxa"/>
            <w:shd w:val="clear" w:color="auto" w:fill="auto"/>
            <w:vAlign w:val="center"/>
          </w:tcPr>
          <w:p w14:paraId="730D7946" w14:textId="359F567B" w:rsidR="00937C11" w:rsidRPr="00797CA2" w:rsidRDefault="001C0CA4">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4.</w:t>
            </w:r>
            <w:r w:rsidR="009B48D2">
              <w:rPr>
                <w:rFonts w:ascii="Calibri" w:hAnsi="Calibri" w:cs="Calibri"/>
                <w:color w:val="000000"/>
                <w:sz w:val="20"/>
              </w:rPr>
              <w:t>0</w:t>
            </w:r>
            <w:r>
              <w:rPr>
                <w:rFonts w:ascii="Calibri" w:hAnsi="Calibri" w:cs="Calibri"/>
                <w:color w:val="000000"/>
                <w:sz w:val="20"/>
              </w:rPr>
              <w:t>%</w:t>
            </w:r>
          </w:p>
        </w:tc>
        <w:tc>
          <w:tcPr>
            <w:tcW w:w="1435" w:type="dxa"/>
            <w:shd w:val="clear" w:color="auto" w:fill="auto"/>
            <w:vAlign w:val="center"/>
          </w:tcPr>
          <w:p w14:paraId="66F276C0" w14:textId="7485FDE3" w:rsidR="00937C11" w:rsidRPr="00797CA2" w:rsidRDefault="001C0CA4" w:rsidP="000C344D">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8.</w:t>
            </w:r>
            <w:r w:rsidR="000C344D">
              <w:rPr>
                <w:rFonts w:ascii="Calibri" w:hAnsi="Calibri" w:cs="Calibri"/>
                <w:color w:val="000000"/>
                <w:sz w:val="20"/>
              </w:rPr>
              <w:t>1</w:t>
            </w:r>
            <w:r>
              <w:rPr>
                <w:rFonts w:ascii="Calibri" w:hAnsi="Calibri" w:cs="Calibri"/>
                <w:color w:val="000000"/>
                <w:sz w:val="20"/>
              </w:rPr>
              <w:t>%</w:t>
            </w:r>
          </w:p>
        </w:tc>
      </w:tr>
      <w:tr w:rsidR="00995976" w:rsidRPr="004C3D2F" w14:paraId="1081F6C8" w14:textId="77777777" w:rsidTr="00BF26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D9D9D9" w:themeFill="background1" w:themeFillShade="D9"/>
            <w:vAlign w:val="center"/>
          </w:tcPr>
          <w:p w14:paraId="41D3E135" w14:textId="5EDBAC24" w:rsidR="00995976" w:rsidRPr="00B243D8" w:rsidRDefault="00995976" w:rsidP="00BE2895">
            <w:pPr>
              <w:spacing w:before="20" w:after="20"/>
              <w:rPr>
                <w:rFonts w:ascii="Calibri" w:hAnsi="Calibri" w:cs="Calibri"/>
                <w:b/>
                <w:bCs/>
                <w:color w:val="000000"/>
                <w:sz w:val="20"/>
              </w:rPr>
            </w:pPr>
            <w:r>
              <w:rPr>
                <w:rFonts w:ascii="Calibri" w:hAnsi="Calibri" w:cs="Calibri"/>
                <w:b/>
                <w:bCs/>
                <w:color w:val="000000"/>
                <w:sz w:val="20"/>
              </w:rPr>
              <w:t>Unemployment</w:t>
            </w:r>
          </w:p>
        </w:tc>
        <w:tc>
          <w:tcPr>
            <w:tcW w:w="938" w:type="dxa"/>
            <w:shd w:val="clear" w:color="auto" w:fill="D9D9D9" w:themeFill="background1" w:themeFillShade="D9"/>
            <w:vAlign w:val="center"/>
          </w:tcPr>
          <w:p w14:paraId="78738E4F" w14:textId="77777777" w:rsidR="00995976" w:rsidRPr="00BF26A2" w:rsidRDefault="00995976" w:rsidP="00BE2895">
            <w:pPr>
              <w:spacing w:before="20" w:after="2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rPr>
            </w:pPr>
            <w:r w:rsidRPr="00BF26A2">
              <w:rPr>
                <w:rFonts w:ascii="Calibri" w:hAnsi="Calibri" w:cs="Calibri"/>
                <w:b/>
                <w:bCs/>
                <w:color w:val="000000"/>
                <w:sz w:val="20"/>
              </w:rPr>
              <w:t> </w:t>
            </w:r>
          </w:p>
        </w:tc>
        <w:tc>
          <w:tcPr>
            <w:tcW w:w="1271" w:type="dxa"/>
            <w:shd w:val="clear" w:color="auto" w:fill="D9D9D9" w:themeFill="background1" w:themeFillShade="D9"/>
            <w:vAlign w:val="center"/>
          </w:tcPr>
          <w:p w14:paraId="042767A9" w14:textId="638F3BC7" w:rsidR="00995976" w:rsidRPr="00BF26A2" w:rsidRDefault="00995976" w:rsidP="00BE2895">
            <w:pPr>
              <w:spacing w:before="20" w:after="2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rPr>
            </w:pPr>
            <w:r w:rsidRPr="00BF26A2">
              <w:rPr>
                <w:rFonts w:ascii="Calibri" w:hAnsi="Calibri" w:cs="Calibri"/>
                <w:b/>
                <w:bCs/>
                <w:color w:val="000000"/>
                <w:sz w:val="20"/>
              </w:rPr>
              <w:t>Rate</w:t>
            </w:r>
          </w:p>
        </w:tc>
        <w:tc>
          <w:tcPr>
            <w:tcW w:w="1083" w:type="dxa"/>
            <w:shd w:val="clear" w:color="auto" w:fill="D9D9D9" w:themeFill="background1" w:themeFillShade="D9"/>
            <w:vAlign w:val="center"/>
          </w:tcPr>
          <w:p w14:paraId="76C074B7" w14:textId="77777777" w:rsidR="00995976" w:rsidRPr="00BF26A2" w:rsidRDefault="00995976" w:rsidP="00BE2895">
            <w:pPr>
              <w:spacing w:before="20" w:after="2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rPr>
            </w:pPr>
            <w:r w:rsidRPr="00BF26A2">
              <w:rPr>
                <w:rFonts w:ascii="Calibri" w:hAnsi="Calibri" w:cs="Calibri"/>
                <w:b/>
                <w:bCs/>
                <w:color w:val="000000"/>
                <w:sz w:val="20"/>
              </w:rPr>
              <w:t> </w:t>
            </w:r>
          </w:p>
        </w:tc>
        <w:tc>
          <w:tcPr>
            <w:tcW w:w="1076" w:type="dxa"/>
            <w:shd w:val="clear" w:color="auto" w:fill="D9D9D9" w:themeFill="background1" w:themeFillShade="D9"/>
            <w:vAlign w:val="center"/>
          </w:tcPr>
          <w:p w14:paraId="504A84C5" w14:textId="77777777" w:rsidR="00995976" w:rsidRPr="00BF26A2" w:rsidRDefault="00995976" w:rsidP="00BE2895">
            <w:pPr>
              <w:spacing w:before="20" w:after="2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rPr>
            </w:pPr>
            <w:r w:rsidRPr="00BF26A2">
              <w:rPr>
                <w:rFonts w:ascii="Calibri" w:hAnsi="Calibri" w:cs="Calibri"/>
                <w:b/>
                <w:bCs/>
                <w:color w:val="000000"/>
                <w:sz w:val="20"/>
              </w:rPr>
              <w:t> </w:t>
            </w:r>
          </w:p>
        </w:tc>
        <w:tc>
          <w:tcPr>
            <w:tcW w:w="1055" w:type="dxa"/>
            <w:shd w:val="clear" w:color="auto" w:fill="D9D9D9" w:themeFill="background1" w:themeFillShade="D9"/>
            <w:vAlign w:val="center"/>
          </w:tcPr>
          <w:p w14:paraId="55D44FCF" w14:textId="77777777" w:rsidR="00995976" w:rsidRPr="00BF26A2" w:rsidRDefault="00995976" w:rsidP="00BE2895">
            <w:pPr>
              <w:spacing w:before="20" w:after="2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rPr>
            </w:pPr>
            <w:r w:rsidRPr="00BF26A2">
              <w:rPr>
                <w:rFonts w:ascii="Calibri" w:hAnsi="Calibri" w:cs="Calibri"/>
                <w:b/>
                <w:bCs/>
                <w:color w:val="000000"/>
                <w:sz w:val="20"/>
              </w:rPr>
              <w:t> </w:t>
            </w:r>
          </w:p>
        </w:tc>
        <w:tc>
          <w:tcPr>
            <w:tcW w:w="1435" w:type="dxa"/>
            <w:shd w:val="clear" w:color="auto" w:fill="D9D9D9" w:themeFill="background1" w:themeFillShade="D9"/>
            <w:vAlign w:val="center"/>
          </w:tcPr>
          <w:p w14:paraId="4D0694A9" w14:textId="77777777" w:rsidR="00995976" w:rsidRPr="00BF26A2" w:rsidRDefault="00995976" w:rsidP="00BE2895">
            <w:pPr>
              <w:spacing w:before="20" w:after="2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rPr>
            </w:pPr>
            <w:r w:rsidRPr="00BF26A2">
              <w:rPr>
                <w:rFonts w:ascii="Calibri" w:hAnsi="Calibri" w:cs="Calibri"/>
                <w:b/>
                <w:bCs/>
                <w:color w:val="000000"/>
                <w:sz w:val="20"/>
              </w:rPr>
              <w:t> </w:t>
            </w:r>
          </w:p>
        </w:tc>
      </w:tr>
      <w:tr w:rsidR="00B243D8" w:rsidRPr="00797CA2" w14:paraId="53215664" w14:textId="77777777" w:rsidTr="00BE289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598F1670" w14:textId="77777777" w:rsidR="00937C11" w:rsidRPr="00B243D8" w:rsidRDefault="00937C11" w:rsidP="00937C11">
            <w:pPr>
              <w:spacing w:before="0" w:after="0"/>
              <w:ind w:firstLineChars="200" w:firstLine="400"/>
              <w:rPr>
                <w:rFonts w:ascii="Calibri" w:hAnsi="Calibri" w:cs="Calibri"/>
                <w:iCs/>
                <w:color w:val="000000"/>
                <w:sz w:val="20"/>
              </w:rPr>
            </w:pPr>
            <w:r w:rsidRPr="00B243D8">
              <w:rPr>
                <w:rFonts w:ascii="Calibri" w:hAnsi="Calibri" w:cs="Calibri"/>
                <w:iCs/>
                <w:color w:val="000000"/>
                <w:sz w:val="20"/>
              </w:rPr>
              <w:t>Unemployment rate (NT) (</w:t>
            </w:r>
            <w:proofErr w:type="spellStart"/>
            <w:r w:rsidRPr="00B243D8">
              <w:rPr>
                <w:rFonts w:ascii="Calibri" w:hAnsi="Calibri" w:cs="Calibri"/>
                <w:iCs/>
                <w:color w:val="000000"/>
                <w:sz w:val="20"/>
              </w:rPr>
              <w:t>sa</w:t>
            </w:r>
            <w:proofErr w:type="spellEnd"/>
            <w:r w:rsidRPr="00B243D8">
              <w:rPr>
                <w:rFonts w:ascii="Calibri" w:hAnsi="Calibri" w:cs="Calibri"/>
                <w:iCs/>
                <w:color w:val="000000"/>
                <w:sz w:val="20"/>
              </w:rPr>
              <w:t>)</w:t>
            </w:r>
          </w:p>
        </w:tc>
        <w:tc>
          <w:tcPr>
            <w:tcW w:w="938" w:type="dxa"/>
            <w:shd w:val="clear" w:color="auto" w:fill="auto"/>
            <w:vAlign w:val="center"/>
          </w:tcPr>
          <w:p w14:paraId="615CB847" w14:textId="0061F8E2" w:rsidR="00937C11" w:rsidRPr="00995976" w:rsidRDefault="009B48D2" w:rsidP="001C0CA4">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Aug</w:t>
            </w:r>
            <w:r w:rsidR="001C0CA4">
              <w:rPr>
                <w:rFonts w:ascii="Calibri" w:hAnsi="Calibri" w:cs="Calibri"/>
                <w:color w:val="000000"/>
                <w:sz w:val="20"/>
              </w:rPr>
              <w:t>-23</w:t>
            </w:r>
          </w:p>
        </w:tc>
        <w:tc>
          <w:tcPr>
            <w:tcW w:w="1271" w:type="dxa"/>
            <w:shd w:val="clear" w:color="auto" w:fill="auto"/>
            <w:vAlign w:val="center"/>
          </w:tcPr>
          <w:p w14:paraId="3D1663B8" w14:textId="49959FE9" w:rsidR="00937C11" w:rsidRPr="00392EA0" w:rsidRDefault="009B48D2" w:rsidP="00BF4957">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4.3</w:t>
            </w:r>
            <w:r w:rsidR="001C0CA4">
              <w:rPr>
                <w:rFonts w:ascii="Calibri" w:hAnsi="Calibri" w:cs="Calibri"/>
                <w:color w:val="000000"/>
                <w:sz w:val="20"/>
              </w:rPr>
              <w:t>%</w:t>
            </w:r>
          </w:p>
        </w:tc>
        <w:tc>
          <w:tcPr>
            <w:tcW w:w="1083" w:type="dxa"/>
            <w:shd w:val="clear" w:color="auto" w:fill="auto"/>
            <w:vAlign w:val="center"/>
          </w:tcPr>
          <w:p w14:paraId="1EFC6136" w14:textId="6F30A9C2" w:rsidR="00937C11" w:rsidRPr="00392EA0" w:rsidRDefault="001C0CA4" w:rsidP="00BF4957">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0.5 </w:t>
            </w:r>
            <w:proofErr w:type="spellStart"/>
            <w:r>
              <w:rPr>
                <w:rFonts w:ascii="Calibri" w:hAnsi="Calibri" w:cs="Calibri"/>
                <w:color w:val="000000"/>
                <w:sz w:val="20"/>
              </w:rPr>
              <w:t>ppt</w:t>
            </w:r>
            <w:proofErr w:type="spellEnd"/>
          </w:p>
        </w:tc>
        <w:tc>
          <w:tcPr>
            <w:tcW w:w="1076" w:type="dxa"/>
            <w:shd w:val="clear" w:color="auto" w:fill="auto"/>
            <w:vAlign w:val="center"/>
          </w:tcPr>
          <w:p w14:paraId="532A2683" w14:textId="0C249520" w:rsidR="00937C11" w:rsidRPr="000A24B2" w:rsidRDefault="001C0CA4">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0.</w:t>
            </w:r>
            <w:r w:rsidR="009B48D2">
              <w:rPr>
                <w:rFonts w:ascii="Calibri" w:hAnsi="Calibri" w:cs="Calibri"/>
                <w:color w:val="000000"/>
                <w:sz w:val="20"/>
              </w:rPr>
              <w:t xml:space="preserve">1 </w:t>
            </w:r>
            <w:proofErr w:type="spellStart"/>
            <w:r>
              <w:rPr>
                <w:rFonts w:ascii="Calibri" w:hAnsi="Calibri" w:cs="Calibri"/>
                <w:color w:val="000000"/>
                <w:sz w:val="20"/>
              </w:rPr>
              <w:t>ppt</w:t>
            </w:r>
            <w:proofErr w:type="spellEnd"/>
          </w:p>
        </w:tc>
        <w:tc>
          <w:tcPr>
            <w:tcW w:w="1055" w:type="dxa"/>
            <w:shd w:val="clear" w:color="auto" w:fill="auto"/>
            <w:vAlign w:val="center"/>
          </w:tcPr>
          <w:p w14:paraId="13145DE3" w14:textId="562BF2FE" w:rsidR="00937C11" w:rsidRPr="00392EA0" w:rsidRDefault="001C0CA4" w:rsidP="00FF2916">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proofErr w:type="spellStart"/>
            <w:r>
              <w:rPr>
                <w:rFonts w:ascii="Calibri" w:hAnsi="Calibri" w:cs="Calibri"/>
                <w:color w:val="000000"/>
                <w:sz w:val="20"/>
              </w:rPr>
              <w:t>na</w:t>
            </w:r>
            <w:proofErr w:type="spellEnd"/>
          </w:p>
        </w:tc>
        <w:tc>
          <w:tcPr>
            <w:tcW w:w="1435" w:type="dxa"/>
            <w:shd w:val="clear" w:color="auto" w:fill="auto"/>
            <w:vAlign w:val="center"/>
          </w:tcPr>
          <w:p w14:paraId="0F628F55" w14:textId="448786C7" w:rsidR="00937C11" w:rsidRPr="000A24B2" w:rsidRDefault="001C0CA4" w:rsidP="000C344D">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w:t>
            </w:r>
            <w:r w:rsidR="000C344D">
              <w:rPr>
                <w:rFonts w:ascii="Calibri" w:hAnsi="Calibri" w:cs="Calibri"/>
                <w:color w:val="000000"/>
                <w:sz w:val="20"/>
              </w:rPr>
              <w:t>1.3</w:t>
            </w:r>
            <w:r>
              <w:rPr>
                <w:rFonts w:ascii="Calibri" w:hAnsi="Calibri" w:cs="Calibri"/>
                <w:color w:val="000000"/>
                <w:sz w:val="20"/>
              </w:rPr>
              <w:t xml:space="preserve"> </w:t>
            </w:r>
            <w:proofErr w:type="spellStart"/>
            <w:r>
              <w:rPr>
                <w:rFonts w:ascii="Calibri" w:hAnsi="Calibri" w:cs="Calibri"/>
                <w:color w:val="000000"/>
                <w:sz w:val="20"/>
              </w:rPr>
              <w:t>ppt</w:t>
            </w:r>
            <w:proofErr w:type="spellEnd"/>
          </w:p>
        </w:tc>
      </w:tr>
      <w:tr w:rsidR="00B243D8" w:rsidRPr="00797CA2" w14:paraId="01535E0A"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40FC221B" w14:textId="0D3F8616" w:rsidR="00937C11" w:rsidRPr="00995976" w:rsidRDefault="00720F41" w:rsidP="00937C11">
            <w:pPr>
              <w:spacing w:before="0" w:after="0"/>
              <w:ind w:firstLineChars="200" w:firstLine="400"/>
              <w:rPr>
                <w:rFonts w:ascii="Calibri" w:hAnsi="Calibri" w:cs="Calibri"/>
                <w:iCs/>
                <w:color w:val="000000"/>
                <w:sz w:val="20"/>
              </w:rPr>
            </w:pPr>
            <w:r w:rsidRPr="00B243D8">
              <w:rPr>
                <w:rFonts w:ascii="Calibri" w:hAnsi="Calibri" w:cs="Calibri"/>
                <w:iCs/>
                <w:color w:val="000000"/>
                <w:sz w:val="20"/>
              </w:rPr>
              <w:t>Unemployment rate (</w:t>
            </w:r>
            <w:proofErr w:type="spellStart"/>
            <w:r w:rsidRPr="00B243D8">
              <w:rPr>
                <w:rFonts w:ascii="Calibri" w:hAnsi="Calibri" w:cs="Calibri"/>
                <w:iCs/>
                <w:color w:val="000000"/>
                <w:sz w:val="20"/>
              </w:rPr>
              <w:t>Aus</w:t>
            </w:r>
            <w:proofErr w:type="spellEnd"/>
            <w:r w:rsidR="00937C11" w:rsidRPr="00B243D8">
              <w:rPr>
                <w:rFonts w:ascii="Calibri" w:hAnsi="Calibri" w:cs="Calibri"/>
                <w:iCs/>
                <w:color w:val="000000"/>
                <w:sz w:val="20"/>
              </w:rPr>
              <w:t>) (</w:t>
            </w:r>
            <w:proofErr w:type="spellStart"/>
            <w:r w:rsidR="00937C11" w:rsidRPr="00B243D8">
              <w:rPr>
                <w:rFonts w:ascii="Calibri" w:hAnsi="Calibri" w:cs="Calibri"/>
                <w:iCs/>
                <w:color w:val="000000"/>
                <w:sz w:val="20"/>
              </w:rPr>
              <w:t>sa</w:t>
            </w:r>
            <w:proofErr w:type="spellEnd"/>
            <w:r w:rsidR="00937C11" w:rsidRPr="00B243D8">
              <w:rPr>
                <w:rFonts w:ascii="Calibri" w:hAnsi="Calibri" w:cs="Calibri"/>
                <w:iCs/>
                <w:color w:val="000000"/>
                <w:sz w:val="20"/>
              </w:rPr>
              <w:t>)</w:t>
            </w:r>
          </w:p>
        </w:tc>
        <w:tc>
          <w:tcPr>
            <w:tcW w:w="938" w:type="dxa"/>
            <w:vAlign w:val="center"/>
          </w:tcPr>
          <w:p w14:paraId="23B52F3E" w14:textId="4044A881" w:rsidR="00937C11" w:rsidRPr="00995976" w:rsidRDefault="009B48D2" w:rsidP="00937C11">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Aug</w:t>
            </w:r>
            <w:r w:rsidR="001C0CA4">
              <w:rPr>
                <w:rFonts w:ascii="Calibri" w:hAnsi="Calibri" w:cs="Calibri"/>
                <w:color w:val="000000"/>
                <w:sz w:val="20"/>
              </w:rPr>
              <w:t>-23</w:t>
            </w:r>
          </w:p>
        </w:tc>
        <w:tc>
          <w:tcPr>
            <w:tcW w:w="1271" w:type="dxa"/>
            <w:vAlign w:val="center"/>
          </w:tcPr>
          <w:p w14:paraId="78E2114C" w14:textId="58DE726A" w:rsidR="00937C11" w:rsidRPr="00392EA0" w:rsidRDefault="001C0CA4" w:rsidP="00BF4957">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3.7%</w:t>
            </w:r>
          </w:p>
        </w:tc>
        <w:tc>
          <w:tcPr>
            <w:tcW w:w="1083" w:type="dxa"/>
            <w:vAlign w:val="center"/>
          </w:tcPr>
          <w:p w14:paraId="13BE7E28" w14:textId="25013102" w:rsidR="00937C11" w:rsidRPr="000A24B2" w:rsidRDefault="009B48D2">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0 </w:t>
            </w:r>
            <w:proofErr w:type="spellStart"/>
            <w:r w:rsidR="001C0CA4">
              <w:rPr>
                <w:rFonts w:ascii="Calibri" w:hAnsi="Calibri" w:cs="Calibri"/>
                <w:color w:val="000000"/>
                <w:sz w:val="20"/>
              </w:rPr>
              <w:t>ppt</w:t>
            </w:r>
            <w:proofErr w:type="spellEnd"/>
          </w:p>
        </w:tc>
        <w:tc>
          <w:tcPr>
            <w:tcW w:w="1076" w:type="dxa"/>
            <w:vAlign w:val="center"/>
          </w:tcPr>
          <w:p w14:paraId="0DFA8D97" w14:textId="39C1F2E4" w:rsidR="00937C11" w:rsidRPr="00797CA2" w:rsidRDefault="001C0CA4">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w:t>
            </w:r>
            <w:r w:rsidR="009B48D2">
              <w:rPr>
                <w:rFonts w:ascii="Calibri" w:hAnsi="Calibri" w:cs="Calibri"/>
                <w:color w:val="000000"/>
                <w:sz w:val="20"/>
              </w:rPr>
              <w:t xml:space="preserve">2 </w:t>
            </w:r>
            <w:proofErr w:type="spellStart"/>
            <w:r>
              <w:rPr>
                <w:rFonts w:ascii="Calibri" w:hAnsi="Calibri" w:cs="Calibri"/>
                <w:color w:val="000000"/>
                <w:sz w:val="20"/>
              </w:rPr>
              <w:t>ppt</w:t>
            </w:r>
            <w:proofErr w:type="spellEnd"/>
          </w:p>
        </w:tc>
        <w:tc>
          <w:tcPr>
            <w:tcW w:w="1055" w:type="dxa"/>
            <w:vAlign w:val="center"/>
          </w:tcPr>
          <w:p w14:paraId="60169127" w14:textId="04A238FD" w:rsidR="00937C11" w:rsidRPr="00392EA0" w:rsidRDefault="001C0CA4" w:rsidP="00FF2916">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roofErr w:type="spellStart"/>
            <w:r>
              <w:rPr>
                <w:rFonts w:ascii="Calibri" w:hAnsi="Calibri" w:cs="Calibri"/>
                <w:color w:val="000000"/>
                <w:sz w:val="20"/>
              </w:rPr>
              <w:t>na</w:t>
            </w:r>
            <w:proofErr w:type="spellEnd"/>
          </w:p>
        </w:tc>
        <w:tc>
          <w:tcPr>
            <w:tcW w:w="1435" w:type="dxa"/>
            <w:vAlign w:val="center"/>
          </w:tcPr>
          <w:p w14:paraId="5CCB60F4" w14:textId="39CFF66B" w:rsidR="00937C11" w:rsidRPr="000A24B2" w:rsidRDefault="001C0CA4" w:rsidP="000C344D">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w:t>
            </w:r>
            <w:r w:rsidR="000C344D">
              <w:rPr>
                <w:rFonts w:ascii="Calibri" w:hAnsi="Calibri" w:cs="Calibri"/>
                <w:color w:val="000000"/>
                <w:sz w:val="20"/>
              </w:rPr>
              <w:t>6</w:t>
            </w:r>
            <w:r>
              <w:rPr>
                <w:rFonts w:ascii="Calibri" w:hAnsi="Calibri" w:cs="Calibri"/>
                <w:color w:val="000000"/>
                <w:sz w:val="20"/>
              </w:rPr>
              <w:t xml:space="preserve"> </w:t>
            </w:r>
            <w:proofErr w:type="spellStart"/>
            <w:r>
              <w:rPr>
                <w:rFonts w:ascii="Calibri" w:hAnsi="Calibri" w:cs="Calibri"/>
                <w:color w:val="000000"/>
                <w:sz w:val="20"/>
              </w:rPr>
              <w:t>ppt</w:t>
            </w:r>
            <w:proofErr w:type="spellEnd"/>
          </w:p>
        </w:tc>
      </w:tr>
      <w:tr w:rsidR="00B243D8" w:rsidRPr="00797CA2" w14:paraId="3EDA8D03" w14:textId="77777777" w:rsidTr="00BE289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764B6099" w14:textId="77777777" w:rsidR="004F7E54" w:rsidRPr="00B243D8" w:rsidRDefault="004F7E54" w:rsidP="00BE2895">
            <w:pPr>
              <w:spacing w:before="20" w:after="20"/>
              <w:rPr>
                <w:rFonts w:ascii="Calibri" w:hAnsi="Calibri" w:cs="Calibri"/>
                <w:b/>
                <w:bCs/>
                <w:color w:val="000000"/>
                <w:sz w:val="20"/>
              </w:rPr>
            </w:pPr>
            <w:r w:rsidRPr="00B243D8">
              <w:rPr>
                <w:rFonts w:ascii="Calibri" w:hAnsi="Calibri" w:cs="Calibri"/>
                <w:b/>
                <w:bCs/>
                <w:color w:val="000000"/>
                <w:sz w:val="20"/>
              </w:rPr>
              <w:t>Population</w:t>
            </w:r>
          </w:p>
        </w:tc>
        <w:tc>
          <w:tcPr>
            <w:tcW w:w="938" w:type="dxa"/>
            <w:vAlign w:val="center"/>
          </w:tcPr>
          <w:p w14:paraId="44C5CBEA" w14:textId="77777777" w:rsidR="004F7E54" w:rsidRPr="00995976" w:rsidRDefault="004F7E54" w:rsidP="00BE2895">
            <w:pPr>
              <w:spacing w:before="20" w:after="2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995976">
              <w:rPr>
                <w:rFonts w:ascii="Calibri" w:hAnsi="Calibri" w:cs="Calibri"/>
                <w:color w:val="000000"/>
                <w:sz w:val="20"/>
              </w:rPr>
              <w:t> </w:t>
            </w:r>
          </w:p>
        </w:tc>
        <w:tc>
          <w:tcPr>
            <w:tcW w:w="1271" w:type="dxa"/>
            <w:vAlign w:val="center"/>
          </w:tcPr>
          <w:p w14:paraId="732C9876" w14:textId="01CC111F" w:rsidR="004F7E54" w:rsidRPr="00995976" w:rsidRDefault="00493695" w:rsidP="00BE2895">
            <w:pPr>
              <w:spacing w:before="20" w:after="2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b/>
                <w:color w:val="000000"/>
                <w:sz w:val="20"/>
              </w:rPr>
              <w:t>#M</w:t>
            </w:r>
          </w:p>
        </w:tc>
        <w:tc>
          <w:tcPr>
            <w:tcW w:w="1083" w:type="dxa"/>
            <w:vAlign w:val="center"/>
          </w:tcPr>
          <w:p w14:paraId="10E1D983" w14:textId="77777777" w:rsidR="004F7E54" w:rsidRPr="00392EA0" w:rsidRDefault="004F7E54" w:rsidP="00BE2895">
            <w:pPr>
              <w:spacing w:before="20" w:after="2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392EA0">
              <w:rPr>
                <w:rFonts w:ascii="Calibri" w:hAnsi="Calibri" w:cs="Calibri"/>
                <w:color w:val="000000"/>
                <w:sz w:val="20"/>
              </w:rPr>
              <w:t> </w:t>
            </w:r>
          </w:p>
        </w:tc>
        <w:tc>
          <w:tcPr>
            <w:tcW w:w="1076" w:type="dxa"/>
            <w:vAlign w:val="center"/>
          </w:tcPr>
          <w:p w14:paraId="436226C5" w14:textId="77777777" w:rsidR="004F7E54" w:rsidRPr="000A24B2" w:rsidRDefault="004F7E54" w:rsidP="00BE2895">
            <w:pPr>
              <w:spacing w:before="20" w:after="2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0A24B2">
              <w:rPr>
                <w:rFonts w:ascii="Calibri" w:hAnsi="Calibri" w:cs="Calibri"/>
                <w:color w:val="000000"/>
                <w:sz w:val="20"/>
              </w:rPr>
              <w:t> </w:t>
            </w:r>
          </w:p>
        </w:tc>
        <w:tc>
          <w:tcPr>
            <w:tcW w:w="1055" w:type="dxa"/>
            <w:vAlign w:val="center"/>
          </w:tcPr>
          <w:p w14:paraId="2776258A" w14:textId="77777777" w:rsidR="004F7E54" w:rsidRPr="00797CA2" w:rsidRDefault="004F7E54" w:rsidP="00BE2895">
            <w:pPr>
              <w:spacing w:before="20" w:after="2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 </w:t>
            </w:r>
          </w:p>
        </w:tc>
        <w:tc>
          <w:tcPr>
            <w:tcW w:w="1435" w:type="dxa"/>
            <w:vAlign w:val="center"/>
          </w:tcPr>
          <w:p w14:paraId="7A8AEE07" w14:textId="77777777" w:rsidR="004F7E54" w:rsidRPr="00797CA2" w:rsidRDefault="004F7E54" w:rsidP="00BE2895">
            <w:pPr>
              <w:spacing w:before="20" w:after="2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797CA2">
              <w:rPr>
                <w:rFonts w:ascii="Calibri" w:hAnsi="Calibri" w:cs="Calibri"/>
                <w:color w:val="000000"/>
                <w:sz w:val="20"/>
              </w:rPr>
              <w:t> </w:t>
            </w:r>
          </w:p>
        </w:tc>
      </w:tr>
      <w:tr w:rsidR="00B243D8" w:rsidRPr="00797CA2" w14:paraId="72E620D8" w14:textId="77777777" w:rsidTr="00BE28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61607957" w14:textId="77777777" w:rsidR="00937C11" w:rsidRPr="00B243D8" w:rsidRDefault="00937C11" w:rsidP="00937C11">
            <w:pPr>
              <w:spacing w:before="0" w:after="0"/>
              <w:ind w:firstLineChars="200" w:firstLine="400"/>
              <w:rPr>
                <w:rFonts w:ascii="Calibri" w:hAnsi="Calibri" w:cs="Calibri"/>
                <w:iCs/>
                <w:color w:val="000000"/>
                <w:sz w:val="20"/>
              </w:rPr>
            </w:pPr>
            <w:r w:rsidRPr="00B243D8">
              <w:rPr>
                <w:rFonts w:ascii="Calibri" w:hAnsi="Calibri" w:cs="Calibri"/>
                <w:iCs/>
                <w:color w:val="000000"/>
                <w:sz w:val="20"/>
              </w:rPr>
              <w:t>Population (NT)</w:t>
            </w:r>
          </w:p>
        </w:tc>
        <w:tc>
          <w:tcPr>
            <w:tcW w:w="938" w:type="dxa"/>
            <w:vAlign w:val="center"/>
          </w:tcPr>
          <w:p w14:paraId="4D1BE2DC" w14:textId="608FF483" w:rsidR="00937C11" w:rsidRPr="00995976" w:rsidRDefault="009B48D2">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Mar</w:t>
            </w:r>
            <w:r w:rsidR="00937C11" w:rsidRPr="00995976">
              <w:rPr>
                <w:rFonts w:ascii="Calibri" w:hAnsi="Calibri" w:cs="Calibri"/>
                <w:color w:val="000000"/>
                <w:sz w:val="20"/>
              </w:rPr>
              <w:t>-22</w:t>
            </w:r>
          </w:p>
        </w:tc>
        <w:tc>
          <w:tcPr>
            <w:tcW w:w="1271" w:type="dxa"/>
            <w:vAlign w:val="center"/>
          </w:tcPr>
          <w:p w14:paraId="41DAED1C" w14:textId="6C14739B" w:rsidR="00937C11" w:rsidRPr="00995976" w:rsidRDefault="00461158">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w:t>
            </w:r>
            <w:r w:rsidR="009B48D2">
              <w:rPr>
                <w:rFonts w:ascii="Calibri" w:hAnsi="Calibri" w:cs="Calibri"/>
                <w:color w:val="000000"/>
                <w:sz w:val="20"/>
              </w:rPr>
              <w:t>252</w:t>
            </w:r>
          </w:p>
        </w:tc>
        <w:tc>
          <w:tcPr>
            <w:tcW w:w="1083" w:type="dxa"/>
            <w:vAlign w:val="center"/>
          </w:tcPr>
          <w:p w14:paraId="06C72730" w14:textId="28499FC2" w:rsidR="00937C11" w:rsidRPr="00392EA0" w:rsidRDefault="009B48D2" w:rsidP="00BF4957">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0.4</w:t>
            </w:r>
            <w:r w:rsidR="00551BCC">
              <w:rPr>
                <w:rFonts w:ascii="Calibri" w:hAnsi="Calibri" w:cs="Calibri"/>
                <w:color w:val="000000"/>
                <w:sz w:val="20"/>
              </w:rPr>
              <w:t>%</w:t>
            </w:r>
          </w:p>
        </w:tc>
        <w:tc>
          <w:tcPr>
            <w:tcW w:w="1076" w:type="dxa"/>
            <w:vAlign w:val="center"/>
          </w:tcPr>
          <w:p w14:paraId="21371203" w14:textId="4E44D6D7" w:rsidR="00937C11" w:rsidRPr="000A24B2" w:rsidRDefault="009B48D2" w:rsidP="00BF4957">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0.9</w:t>
            </w:r>
            <w:r w:rsidR="00551BCC">
              <w:rPr>
                <w:rFonts w:ascii="Calibri" w:hAnsi="Calibri" w:cs="Calibri"/>
                <w:color w:val="000000"/>
                <w:sz w:val="20"/>
              </w:rPr>
              <w:t>%</w:t>
            </w:r>
          </w:p>
        </w:tc>
        <w:tc>
          <w:tcPr>
            <w:tcW w:w="1055" w:type="dxa"/>
            <w:vAlign w:val="center"/>
          </w:tcPr>
          <w:p w14:paraId="58BAD20F" w14:textId="43B6FC0F" w:rsidR="00937C11" w:rsidRPr="00392EA0" w:rsidRDefault="00CE0C8A" w:rsidP="00FF2916">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roofErr w:type="spellStart"/>
            <w:r>
              <w:rPr>
                <w:rFonts w:ascii="Calibri" w:hAnsi="Calibri" w:cs="Calibri"/>
                <w:color w:val="000000"/>
                <w:sz w:val="20"/>
              </w:rPr>
              <w:t>na</w:t>
            </w:r>
            <w:proofErr w:type="spellEnd"/>
          </w:p>
        </w:tc>
        <w:tc>
          <w:tcPr>
            <w:tcW w:w="1435" w:type="dxa"/>
            <w:vAlign w:val="center"/>
          </w:tcPr>
          <w:p w14:paraId="1219628B" w14:textId="1A7EB566" w:rsidR="00937C11" w:rsidRPr="000A24B2" w:rsidRDefault="000C344D" w:rsidP="00BF4957">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1.8</w:t>
            </w:r>
            <w:r w:rsidR="00937C11" w:rsidRPr="000A24B2">
              <w:rPr>
                <w:rFonts w:ascii="Calibri" w:hAnsi="Calibri" w:cs="Calibri"/>
                <w:color w:val="000000"/>
                <w:sz w:val="20"/>
              </w:rPr>
              <w:t>%</w:t>
            </w:r>
          </w:p>
        </w:tc>
      </w:tr>
      <w:tr w:rsidR="00B243D8" w:rsidRPr="00797CA2" w14:paraId="1CBBCE74" w14:textId="77777777" w:rsidTr="00BE289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01870113" w14:textId="74752514" w:rsidR="00937C11" w:rsidRPr="00995976" w:rsidRDefault="00720F41" w:rsidP="00937C11">
            <w:pPr>
              <w:spacing w:before="0" w:after="0"/>
              <w:ind w:firstLineChars="200" w:firstLine="400"/>
              <w:rPr>
                <w:rFonts w:ascii="Calibri" w:hAnsi="Calibri" w:cs="Calibri"/>
                <w:iCs/>
                <w:color w:val="000000"/>
                <w:sz w:val="20"/>
              </w:rPr>
            </w:pPr>
            <w:r w:rsidRPr="00B243D8">
              <w:rPr>
                <w:rFonts w:ascii="Calibri" w:hAnsi="Calibri" w:cs="Calibri"/>
                <w:iCs/>
                <w:color w:val="000000"/>
                <w:sz w:val="20"/>
              </w:rPr>
              <w:t>Population (</w:t>
            </w:r>
            <w:proofErr w:type="spellStart"/>
            <w:r w:rsidRPr="00B243D8">
              <w:rPr>
                <w:rFonts w:ascii="Calibri" w:hAnsi="Calibri" w:cs="Calibri"/>
                <w:iCs/>
                <w:color w:val="000000"/>
                <w:sz w:val="20"/>
              </w:rPr>
              <w:t>Aus</w:t>
            </w:r>
            <w:proofErr w:type="spellEnd"/>
            <w:r w:rsidR="00937C11" w:rsidRPr="00B243D8">
              <w:rPr>
                <w:rFonts w:ascii="Calibri" w:hAnsi="Calibri" w:cs="Calibri"/>
                <w:iCs/>
                <w:color w:val="000000"/>
                <w:sz w:val="20"/>
              </w:rPr>
              <w:t>)</w:t>
            </w:r>
          </w:p>
        </w:tc>
        <w:tc>
          <w:tcPr>
            <w:tcW w:w="938" w:type="dxa"/>
            <w:shd w:val="clear" w:color="auto" w:fill="auto"/>
            <w:vAlign w:val="center"/>
          </w:tcPr>
          <w:p w14:paraId="3340DA18" w14:textId="718F1EC2" w:rsidR="00937C11" w:rsidRPr="00995976" w:rsidRDefault="009B48D2" w:rsidP="00937C11">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Mar</w:t>
            </w:r>
            <w:r w:rsidR="00937C11" w:rsidRPr="00995976">
              <w:rPr>
                <w:rFonts w:ascii="Calibri" w:hAnsi="Calibri" w:cs="Calibri"/>
                <w:color w:val="000000"/>
                <w:sz w:val="20"/>
              </w:rPr>
              <w:t>-22</w:t>
            </w:r>
          </w:p>
        </w:tc>
        <w:tc>
          <w:tcPr>
            <w:tcW w:w="1271" w:type="dxa"/>
            <w:shd w:val="clear" w:color="auto" w:fill="auto"/>
            <w:vAlign w:val="center"/>
          </w:tcPr>
          <w:p w14:paraId="59FB9A4B" w14:textId="1A9BF3A9" w:rsidR="00937C11" w:rsidRPr="00392EA0" w:rsidRDefault="00461158">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w:t>
            </w:r>
            <w:r w:rsidR="00551BCC">
              <w:rPr>
                <w:rFonts w:ascii="Calibri" w:hAnsi="Calibri" w:cs="Calibri"/>
                <w:color w:val="000000"/>
                <w:sz w:val="20"/>
              </w:rPr>
              <w:t>6</w:t>
            </w:r>
            <w:r>
              <w:rPr>
                <w:rFonts w:ascii="Calibri" w:hAnsi="Calibri" w:cs="Calibri"/>
                <w:color w:val="000000"/>
                <w:sz w:val="20"/>
              </w:rPr>
              <w:t>.</w:t>
            </w:r>
            <w:r w:rsidR="009B48D2">
              <w:rPr>
                <w:rFonts w:ascii="Calibri" w:hAnsi="Calibri" w:cs="Calibri"/>
                <w:color w:val="000000"/>
                <w:sz w:val="20"/>
              </w:rPr>
              <w:t>473</w:t>
            </w:r>
          </w:p>
        </w:tc>
        <w:tc>
          <w:tcPr>
            <w:tcW w:w="1083" w:type="dxa"/>
            <w:shd w:val="clear" w:color="auto" w:fill="auto"/>
            <w:vAlign w:val="center"/>
          </w:tcPr>
          <w:p w14:paraId="245B10D8" w14:textId="6BDF658C" w:rsidR="00937C11" w:rsidRPr="000A24B2" w:rsidRDefault="009B48D2" w:rsidP="00FF291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0.7</w:t>
            </w:r>
            <w:r w:rsidR="00551BCC">
              <w:rPr>
                <w:rFonts w:ascii="Calibri" w:hAnsi="Calibri" w:cs="Calibri"/>
                <w:color w:val="000000"/>
                <w:sz w:val="20"/>
              </w:rPr>
              <w:t>%</w:t>
            </w:r>
          </w:p>
        </w:tc>
        <w:tc>
          <w:tcPr>
            <w:tcW w:w="1076" w:type="dxa"/>
            <w:shd w:val="clear" w:color="auto" w:fill="auto"/>
            <w:vAlign w:val="center"/>
          </w:tcPr>
          <w:p w14:paraId="54A1E551" w14:textId="77F2098F" w:rsidR="00937C11" w:rsidRPr="00797CA2" w:rsidRDefault="009B48D2" w:rsidP="00BF4957">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2.2</w:t>
            </w:r>
            <w:r w:rsidR="00551BCC">
              <w:rPr>
                <w:rFonts w:ascii="Calibri" w:hAnsi="Calibri" w:cs="Calibri"/>
                <w:color w:val="000000"/>
                <w:sz w:val="20"/>
              </w:rPr>
              <w:t>%</w:t>
            </w:r>
          </w:p>
        </w:tc>
        <w:tc>
          <w:tcPr>
            <w:tcW w:w="1055" w:type="dxa"/>
            <w:shd w:val="clear" w:color="auto" w:fill="auto"/>
            <w:vAlign w:val="center"/>
          </w:tcPr>
          <w:p w14:paraId="61E72CC4" w14:textId="75015208" w:rsidR="00937C11" w:rsidRPr="00392EA0" w:rsidRDefault="00CE0C8A" w:rsidP="00FF291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proofErr w:type="spellStart"/>
            <w:r>
              <w:rPr>
                <w:rFonts w:ascii="Calibri" w:hAnsi="Calibri" w:cs="Calibri"/>
                <w:color w:val="000000"/>
                <w:sz w:val="20"/>
              </w:rPr>
              <w:t>na</w:t>
            </w:r>
            <w:proofErr w:type="spellEnd"/>
          </w:p>
        </w:tc>
        <w:tc>
          <w:tcPr>
            <w:tcW w:w="1435" w:type="dxa"/>
            <w:shd w:val="clear" w:color="auto" w:fill="auto"/>
            <w:vAlign w:val="center"/>
          </w:tcPr>
          <w:p w14:paraId="7CAD3AF5" w14:textId="1170EAF5" w:rsidR="00937C11" w:rsidRPr="000A24B2" w:rsidRDefault="009B48D2" w:rsidP="000C344D">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3.</w:t>
            </w:r>
            <w:r w:rsidR="000C344D">
              <w:rPr>
                <w:rFonts w:ascii="Calibri" w:hAnsi="Calibri" w:cs="Calibri"/>
                <w:color w:val="000000"/>
                <w:sz w:val="20"/>
              </w:rPr>
              <w:t>3</w:t>
            </w:r>
            <w:r w:rsidR="00551BCC">
              <w:rPr>
                <w:rFonts w:ascii="Calibri" w:hAnsi="Calibri" w:cs="Calibri"/>
                <w:color w:val="000000"/>
                <w:sz w:val="20"/>
              </w:rPr>
              <w:t>%</w:t>
            </w:r>
          </w:p>
        </w:tc>
      </w:tr>
    </w:tbl>
    <w:p w14:paraId="57A07CB4" w14:textId="0CC43683" w:rsidR="004F7E54" w:rsidRPr="00EE4666" w:rsidRDefault="004F7E54" w:rsidP="004F7E54">
      <w:pPr>
        <w:spacing w:after="0"/>
        <w:rPr>
          <w:sz w:val="16"/>
          <w:szCs w:val="16"/>
        </w:rPr>
      </w:pPr>
      <w:r>
        <w:rPr>
          <w:sz w:val="16"/>
          <w:szCs w:val="16"/>
        </w:rPr>
        <w:t xml:space="preserve">1. Monthly change for retail sales, goods exports, </w:t>
      </w:r>
      <w:r w:rsidR="005D00F6">
        <w:rPr>
          <w:sz w:val="16"/>
          <w:szCs w:val="16"/>
        </w:rPr>
        <w:t xml:space="preserve">employment and </w:t>
      </w:r>
      <w:r>
        <w:rPr>
          <w:sz w:val="16"/>
          <w:szCs w:val="16"/>
        </w:rPr>
        <w:t>unemployment; quarterly change for all other variables.</w:t>
      </w:r>
    </w:p>
    <w:p w14:paraId="42DCE9B8" w14:textId="2642DB3E" w:rsidR="004F7E54" w:rsidRDefault="004F7E54" w:rsidP="004F7E54">
      <w:pPr>
        <w:spacing w:after="0"/>
        <w:rPr>
          <w:sz w:val="16"/>
          <w:szCs w:val="16"/>
        </w:rPr>
      </w:pPr>
      <w:r>
        <w:rPr>
          <w:sz w:val="16"/>
          <w:szCs w:val="16"/>
        </w:rPr>
        <w:t>2</w:t>
      </w:r>
      <w:r w:rsidRPr="00EE4666">
        <w:rPr>
          <w:sz w:val="16"/>
          <w:szCs w:val="16"/>
        </w:rPr>
        <w:t xml:space="preserve">. Compares the latest </w:t>
      </w:r>
      <w:r w:rsidR="00720F41">
        <w:rPr>
          <w:sz w:val="16"/>
          <w:szCs w:val="16"/>
        </w:rPr>
        <w:t>period</w:t>
      </w:r>
      <w:r w:rsidRPr="00EE4666">
        <w:rPr>
          <w:sz w:val="16"/>
          <w:szCs w:val="16"/>
        </w:rPr>
        <w:t xml:space="preserve"> w</w:t>
      </w:r>
      <w:r>
        <w:rPr>
          <w:sz w:val="16"/>
          <w:szCs w:val="16"/>
        </w:rPr>
        <w:t xml:space="preserve">ith the same </w:t>
      </w:r>
      <w:r w:rsidR="00720F41">
        <w:rPr>
          <w:sz w:val="16"/>
          <w:szCs w:val="16"/>
        </w:rPr>
        <w:t>period</w:t>
      </w:r>
      <w:r>
        <w:rPr>
          <w:sz w:val="16"/>
          <w:szCs w:val="16"/>
        </w:rPr>
        <w:t xml:space="preserve"> last year</w:t>
      </w:r>
      <w:r w:rsidR="00720F41">
        <w:rPr>
          <w:sz w:val="16"/>
          <w:szCs w:val="16"/>
        </w:rPr>
        <w:t>.</w:t>
      </w:r>
    </w:p>
    <w:p w14:paraId="2FFF1A00" w14:textId="5E6BECB2" w:rsidR="004F7E54" w:rsidRDefault="004F7E54" w:rsidP="004F7E54">
      <w:pPr>
        <w:spacing w:after="0"/>
        <w:rPr>
          <w:sz w:val="16"/>
          <w:szCs w:val="16"/>
        </w:rPr>
      </w:pPr>
      <w:r>
        <w:rPr>
          <w:sz w:val="16"/>
          <w:szCs w:val="16"/>
        </w:rPr>
        <w:t>3</w:t>
      </w:r>
      <w:r w:rsidRPr="00EE4666">
        <w:rPr>
          <w:sz w:val="16"/>
          <w:szCs w:val="16"/>
        </w:rPr>
        <w:t xml:space="preserve">. Compares the 12 months up to and including the latest </w:t>
      </w:r>
      <w:r w:rsidR="00720F41">
        <w:rPr>
          <w:sz w:val="16"/>
          <w:szCs w:val="16"/>
        </w:rPr>
        <w:t>period</w:t>
      </w:r>
      <w:r w:rsidRPr="00EE4666">
        <w:rPr>
          <w:sz w:val="16"/>
          <w:szCs w:val="16"/>
        </w:rPr>
        <w:t xml:space="preserve"> with the previous 12-month</w:t>
      </w:r>
      <w:r>
        <w:rPr>
          <w:sz w:val="16"/>
          <w:szCs w:val="16"/>
        </w:rPr>
        <w:t xml:space="preserve"> period</w:t>
      </w:r>
      <w:r w:rsidR="005E7A46">
        <w:rPr>
          <w:sz w:val="16"/>
          <w:szCs w:val="16"/>
        </w:rPr>
        <w:t xml:space="preserve"> using original data.</w:t>
      </w:r>
    </w:p>
    <w:p w14:paraId="689549E4" w14:textId="7F2C5AA2" w:rsidR="004F7E54" w:rsidRDefault="004F7E54" w:rsidP="004F7E54">
      <w:pPr>
        <w:spacing w:after="120"/>
        <w:jc w:val="both"/>
        <w:rPr>
          <w:sz w:val="21"/>
          <w:szCs w:val="21"/>
        </w:rPr>
      </w:pPr>
      <w:r>
        <w:rPr>
          <w:rFonts w:cstheme="minorHAnsi"/>
          <w:sz w:val="16"/>
          <w:szCs w:val="16"/>
        </w:rPr>
        <w:t xml:space="preserve">4. </w:t>
      </w:r>
      <w:r w:rsidR="0020517E">
        <w:rPr>
          <w:rFonts w:cstheme="minorHAnsi"/>
          <w:sz w:val="16"/>
          <w:szCs w:val="16"/>
        </w:rPr>
        <w:t xml:space="preserve">Compares the </w:t>
      </w:r>
      <w:r w:rsidR="004056AA">
        <w:rPr>
          <w:rFonts w:cstheme="minorHAnsi"/>
          <w:sz w:val="16"/>
          <w:szCs w:val="16"/>
        </w:rPr>
        <w:t>12 months</w:t>
      </w:r>
      <w:r w:rsidR="0020517E">
        <w:rPr>
          <w:rFonts w:cstheme="minorHAnsi"/>
          <w:sz w:val="16"/>
          <w:szCs w:val="16"/>
        </w:rPr>
        <w:t xml:space="preserve"> up to and including latest period with the year to December 2019 </w:t>
      </w:r>
      <w:r w:rsidR="004056AA">
        <w:rPr>
          <w:rFonts w:cstheme="minorHAnsi"/>
          <w:sz w:val="16"/>
          <w:szCs w:val="16"/>
        </w:rPr>
        <w:t xml:space="preserve">period </w:t>
      </w:r>
      <w:r w:rsidR="0020517E">
        <w:rPr>
          <w:rFonts w:cstheme="minorHAnsi"/>
          <w:sz w:val="16"/>
          <w:szCs w:val="16"/>
        </w:rPr>
        <w:t>using original data.</w:t>
      </w:r>
    </w:p>
    <w:tbl>
      <w:tblPr>
        <w:tblStyle w:val="PlainTable4"/>
        <w:tblW w:w="10428" w:type="dxa"/>
        <w:tblLook w:val="04A0" w:firstRow="1" w:lastRow="0" w:firstColumn="1" w:lastColumn="0" w:noHBand="0" w:noVBand="1"/>
      </w:tblPr>
      <w:tblGrid>
        <w:gridCol w:w="4962"/>
        <w:gridCol w:w="5466"/>
      </w:tblGrid>
      <w:tr w:rsidR="00482D19" w:rsidRPr="00B55F93" w14:paraId="6A9D9C39" w14:textId="77777777" w:rsidTr="000A12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shd w:val="clear" w:color="auto" w:fill="auto"/>
          </w:tcPr>
          <w:p w14:paraId="44CC8987" w14:textId="21B6E6B1" w:rsidR="0055662D" w:rsidRPr="00677FEA" w:rsidRDefault="00E24FCF" w:rsidP="00677FEA">
            <w:pPr>
              <w:spacing w:after="120"/>
              <w:jc w:val="both"/>
              <w:rPr>
                <w:b w:val="0"/>
                <w:bCs w:val="0"/>
                <w:noProof/>
                <w:spacing w:val="-2"/>
                <w:sz w:val="20"/>
                <w:szCs w:val="20"/>
                <w:lang w:eastAsia="en-AU"/>
              </w:rPr>
            </w:pPr>
            <w:r w:rsidRPr="00677FEA">
              <w:rPr>
                <w:bCs w:val="0"/>
                <w:noProof/>
                <w:spacing w:val="-2"/>
                <w:sz w:val="20"/>
                <w:szCs w:val="20"/>
                <w:lang w:eastAsia="en-AU"/>
              </w:rPr>
              <w:lastRenderedPageBreak/>
              <w:t>Chart</w:t>
            </w:r>
            <w:r w:rsidR="003B0FF0" w:rsidRPr="00677FEA">
              <w:rPr>
                <w:bCs w:val="0"/>
                <w:noProof/>
                <w:spacing w:val="-2"/>
                <w:sz w:val="20"/>
                <w:szCs w:val="20"/>
                <w:lang w:eastAsia="en-AU"/>
              </w:rPr>
              <w:t xml:space="preserve"> 1</w:t>
            </w:r>
            <w:r w:rsidR="001D13F9" w:rsidRPr="00677FEA">
              <w:rPr>
                <w:bCs w:val="0"/>
                <w:noProof/>
                <w:spacing w:val="-2"/>
                <w:sz w:val="20"/>
                <w:szCs w:val="20"/>
                <w:lang w:eastAsia="en-AU"/>
              </w:rPr>
              <w:t>:</w:t>
            </w:r>
            <w:r w:rsidR="001D13F9" w:rsidRPr="00677FEA">
              <w:rPr>
                <w:b w:val="0"/>
                <w:bCs w:val="0"/>
                <w:noProof/>
                <w:spacing w:val="-2"/>
                <w:sz w:val="20"/>
                <w:szCs w:val="20"/>
                <w:lang w:eastAsia="en-AU"/>
              </w:rPr>
              <w:t xml:space="preserve"> </w:t>
            </w:r>
            <w:r w:rsidR="006C5153" w:rsidRPr="00677FEA">
              <w:rPr>
                <w:b w:val="0"/>
                <w:bCs w:val="0"/>
                <w:noProof/>
                <w:spacing w:val="-2"/>
                <w:sz w:val="20"/>
                <w:szCs w:val="20"/>
                <w:lang w:eastAsia="en-AU"/>
              </w:rPr>
              <w:t xml:space="preserve">All </w:t>
            </w:r>
            <w:r w:rsidR="00AD7C7B" w:rsidRPr="00677FEA">
              <w:rPr>
                <w:b w:val="0"/>
                <w:bCs w:val="0"/>
                <w:noProof/>
                <w:spacing w:val="-2"/>
                <w:sz w:val="20"/>
                <w:szCs w:val="20"/>
                <w:lang w:eastAsia="en-AU"/>
              </w:rPr>
              <w:t xml:space="preserve">major </w:t>
            </w:r>
            <w:r w:rsidR="006C5153" w:rsidRPr="00677FEA">
              <w:rPr>
                <w:b w:val="0"/>
                <w:bCs w:val="0"/>
                <w:noProof/>
                <w:spacing w:val="-2"/>
                <w:sz w:val="20"/>
                <w:szCs w:val="20"/>
                <w:lang w:eastAsia="en-AU"/>
              </w:rPr>
              <w:t xml:space="preserve">components of SFD increased in </w:t>
            </w:r>
            <w:r w:rsidR="00DB1311" w:rsidRPr="00677FEA">
              <w:rPr>
                <w:b w:val="0"/>
                <w:bCs w:val="0"/>
                <w:noProof/>
                <w:spacing w:val="-2"/>
                <w:sz w:val="20"/>
                <w:szCs w:val="20"/>
                <w:lang w:eastAsia="en-AU"/>
              </w:rPr>
              <w:t>2022</w:t>
            </w:r>
            <w:r w:rsidR="00DB1311" w:rsidRPr="00677FEA">
              <w:rPr>
                <w:b w:val="0"/>
                <w:bCs w:val="0"/>
                <w:noProof/>
                <w:spacing w:val="-2"/>
                <w:sz w:val="20"/>
                <w:szCs w:val="20"/>
                <w:lang w:eastAsia="en-AU"/>
              </w:rPr>
              <w:noBreakHyphen/>
            </w:r>
            <w:r w:rsidR="00AD7C7B" w:rsidRPr="00677FEA">
              <w:rPr>
                <w:b w:val="0"/>
                <w:bCs w:val="0"/>
                <w:noProof/>
                <w:spacing w:val="-2"/>
                <w:sz w:val="20"/>
                <w:szCs w:val="20"/>
                <w:lang w:eastAsia="en-AU"/>
              </w:rPr>
              <w:t>23</w:t>
            </w:r>
            <w:r w:rsidR="00677FEA">
              <w:rPr>
                <w:b w:val="0"/>
                <w:bCs w:val="0"/>
                <w:noProof/>
                <w:spacing w:val="-2"/>
                <w:sz w:val="20"/>
                <w:szCs w:val="20"/>
                <w:lang w:eastAsia="en-AU"/>
              </w:rPr>
              <w:t>,</w:t>
            </w:r>
            <w:r w:rsidR="00AD7C7B" w:rsidRPr="00677FEA">
              <w:rPr>
                <w:b w:val="0"/>
                <w:bCs w:val="0"/>
                <w:noProof/>
                <w:spacing w:val="-2"/>
                <w:sz w:val="20"/>
                <w:szCs w:val="20"/>
                <w:lang w:eastAsia="en-AU"/>
              </w:rPr>
              <w:t xml:space="preserve"> with</w:t>
            </w:r>
            <w:r w:rsidR="006C5153" w:rsidRPr="00677FEA">
              <w:rPr>
                <w:b w:val="0"/>
                <w:bCs w:val="0"/>
                <w:noProof/>
                <w:spacing w:val="-2"/>
                <w:sz w:val="20"/>
                <w:szCs w:val="20"/>
                <w:lang w:eastAsia="en-AU"/>
              </w:rPr>
              <w:t xml:space="preserve"> </w:t>
            </w:r>
            <w:r w:rsidR="003D3136" w:rsidRPr="00677FEA">
              <w:rPr>
                <w:b w:val="0"/>
                <w:bCs w:val="0"/>
                <w:noProof/>
                <w:spacing w:val="-2"/>
                <w:sz w:val="20"/>
                <w:szCs w:val="20"/>
                <w:lang w:eastAsia="en-AU"/>
              </w:rPr>
              <w:t>5.3%</w:t>
            </w:r>
            <w:r w:rsidR="00454925" w:rsidRPr="00677FEA">
              <w:rPr>
                <w:b w:val="0"/>
                <w:bCs w:val="0"/>
                <w:noProof/>
                <w:spacing w:val="-2"/>
                <w:sz w:val="20"/>
                <w:szCs w:val="20"/>
                <w:lang w:eastAsia="en-AU"/>
              </w:rPr>
              <w:t xml:space="preserve"> </w:t>
            </w:r>
            <w:r w:rsidR="008C4F41" w:rsidRPr="00677FEA">
              <w:rPr>
                <w:b w:val="0"/>
                <w:bCs w:val="0"/>
                <w:noProof/>
                <w:spacing w:val="-2"/>
                <w:sz w:val="20"/>
                <w:szCs w:val="20"/>
                <w:lang w:eastAsia="en-AU"/>
              </w:rPr>
              <w:t>growth in total investment</w:t>
            </w:r>
            <w:r w:rsidR="00454925" w:rsidRPr="00677FEA">
              <w:rPr>
                <w:b w:val="0"/>
                <w:bCs w:val="0"/>
                <w:noProof/>
                <w:spacing w:val="-2"/>
                <w:sz w:val="20"/>
                <w:szCs w:val="20"/>
                <w:lang w:eastAsia="en-AU"/>
              </w:rPr>
              <w:t xml:space="preserve">, </w:t>
            </w:r>
            <w:r w:rsidR="00C52689" w:rsidRPr="00677FEA">
              <w:rPr>
                <w:b w:val="0"/>
                <w:bCs w:val="0"/>
                <w:noProof/>
                <w:spacing w:val="-2"/>
                <w:sz w:val="20"/>
                <w:szCs w:val="20"/>
                <w:lang w:eastAsia="en-AU"/>
              </w:rPr>
              <w:t xml:space="preserve">contributing 1.2ppt to SFD, </w:t>
            </w:r>
            <w:r w:rsidR="00677FEA" w:rsidRPr="00677FEA">
              <w:rPr>
                <w:b w:val="0"/>
                <w:bCs w:val="0"/>
                <w:noProof/>
                <w:spacing w:val="-2"/>
                <w:sz w:val="20"/>
                <w:szCs w:val="20"/>
                <w:lang w:eastAsia="en-AU"/>
              </w:rPr>
              <w:t xml:space="preserve">with </w:t>
            </w:r>
            <w:r w:rsidR="00C52689" w:rsidRPr="00677FEA">
              <w:rPr>
                <w:b w:val="0"/>
                <w:bCs w:val="0"/>
                <w:noProof/>
                <w:spacing w:val="-2"/>
                <w:sz w:val="20"/>
                <w:szCs w:val="20"/>
                <w:lang w:eastAsia="en-AU"/>
              </w:rPr>
              <w:t>non-dwelling construction (1ppt)</w:t>
            </w:r>
            <w:r w:rsidR="00677FEA">
              <w:rPr>
                <w:b w:val="0"/>
                <w:bCs w:val="0"/>
                <w:noProof/>
                <w:spacing w:val="-2"/>
                <w:sz w:val="20"/>
                <w:szCs w:val="20"/>
                <w:lang w:eastAsia="en-AU"/>
              </w:rPr>
              <w:t xml:space="preserve"> and general government investment (0.5ppt) the major contributors. </w:t>
            </w:r>
            <w:r w:rsidR="00525B4A" w:rsidRPr="00677FEA">
              <w:rPr>
                <w:b w:val="0"/>
                <w:bCs w:val="0"/>
                <w:noProof/>
                <w:spacing w:val="-2"/>
                <w:sz w:val="20"/>
                <w:szCs w:val="20"/>
                <w:lang w:eastAsia="en-AU"/>
              </w:rPr>
              <w:t>Despite solid employment outcomes</w:t>
            </w:r>
            <w:r w:rsidR="00677FEA">
              <w:rPr>
                <w:b w:val="0"/>
                <w:bCs w:val="0"/>
                <w:noProof/>
                <w:spacing w:val="-2"/>
                <w:sz w:val="20"/>
                <w:szCs w:val="20"/>
                <w:lang w:eastAsia="en-AU"/>
              </w:rPr>
              <w:t>,</w:t>
            </w:r>
            <w:r w:rsidR="00525B4A" w:rsidRPr="00677FEA">
              <w:rPr>
                <w:b w:val="0"/>
                <w:bCs w:val="0"/>
                <w:noProof/>
                <w:spacing w:val="-2"/>
                <w:sz w:val="20"/>
                <w:szCs w:val="20"/>
                <w:lang w:eastAsia="en-AU"/>
              </w:rPr>
              <w:t xml:space="preserve"> h</w:t>
            </w:r>
            <w:r w:rsidR="006C5153" w:rsidRPr="00677FEA">
              <w:rPr>
                <w:b w:val="0"/>
                <w:bCs w:val="0"/>
                <w:noProof/>
                <w:spacing w:val="-2"/>
                <w:sz w:val="20"/>
                <w:szCs w:val="20"/>
                <w:lang w:eastAsia="en-AU"/>
              </w:rPr>
              <w:t>ousehold consumption</w:t>
            </w:r>
            <w:r w:rsidR="00AD7C7B" w:rsidRPr="00677FEA">
              <w:rPr>
                <w:b w:val="0"/>
                <w:bCs w:val="0"/>
                <w:noProof/>
                <w:spacing w:val="-2"/>
                <w:sz w:val="20"/>
                <w:szCs w:val="20"/>
                <w:lang w:eastAsia="en-AU"/>
              </w:rPr>
              <w:t xml:space="preserve"> growth </w:t>
            </w:r>
            <w:r w:rsidR="00525B4A" w:rsidRPr="00677FEA">
              <w:rPr>
                <w:b w:val="0"/>
                <w:bCs w:val="0"/>
                <w:noProof/>
                <w:spacing w:val="-2"/>
                <w:sz w:val="20"/>
                <w:szCs w:val="20"/>
                <w:lang w:eastAsia="en-AU"/>
              </w:rPr>
              <w:t xml:space="preserve">has </w:t>
            </w:r>
            <w:r w:rsidR="00AD7C7B" w:rsidRPr="00677FEA">
              <w:rPr>
                <w:b w:val="0"/>
                <w:bCs w:val="0"/>
                <w:noProof/>
                <w:spacing w:val="-2"/>
                <w:sz w:val="20"/>
                <w:szCs w:val="20"/>
                <w:lang w:eastAsia="en-AU"/>
              </w:rPr>
              <w:t xml:space="preserve">moderated </w:t>
            </w:r>
            <w:r w:rsidR="00F568CA" w:rsidRPr="00677FEA">
              <w:rPr>
                <w:b w:val="0"/>
                <w:bCs w:val="0"/>
                <w:noProof/>
                <w:spacing w:val="-2"/>
                <w:sz w:val="20"/>
                <w:szCs w:val="20"/>
                <w:lang w:eastAsia="en-AU"/>
              </w:rPr>
              <w:t>from 2.3</w:t>
            </w:r>
            <w:r w:rsidR="00525B4A" w:rsidRPr="00677FEA">
              <w:rPr>
                <w:b w:val="0"/>
                <w:bCs w:val="0"/>
                <w:noProof/>
                <w:spacing w:val="-2"/>
                <w:sz w:val="20"/>
                <w:szCs w:val="20"/>
                <w:lang w:eastAsia="en-AU"/>
              </w:rPr>
              <w:t>% in 20</w:t>
            </w:r>
            <w:r w:rsidR="00F568CA" w:rsidRPr="00677FEA">
              <w:rPr>
                <w:b w:val="0"/>
                <w:bCs w:val="0"/>
                <w:noProof/>
                <w:spacing w:val="-2"/>
                <w:sz w:val="20"/>
                <w:szCs w:val="20"/>
                <w:lang w:eastAsia="en-AU"/>
              </w:rPr>
              <w:t>2</w:t>
            </w:r>
            <w:r w:rsidR="00525B4A" w:rsidRPr="00677FEA">
              <w:rPr>
                <w:b w:val="0"/>
                <w:bCs w:val="0"/>
                <w:noProof/>
                <w:spacing w:val="-2"/>
                <w:sz w:val="20"/>
                <w:szCs w:val="20"/>
                <w:lang w:eastAsia="en-AU"/>
              </w:rPr>
              <w:t>1</w:t>
            </w:r>
            <w:r w:rsidR="00525B4A" w:rsidRPr="00677FEA">
              <w:rPr>
                <w:b w:val="0"/>
                <w:bCs w:val="0"/>
                <w:noProof/>
                <w:spacing w:val="-2"/>
                <w:sz w:val="20"/>
                <w:szCs w:val="20"/>
                <w:lang w:eastAsia="en-AU"/>
              </w:rPr>
              <w:noBreakHyphen/>
              <w:t xml:space="preserve">22 </w:t>
            </w:r>
            <w:r w:rsidR="00AD7C7B" w:rsidRPr="00677FEA">
              <w:rPr>
                <w:b w:val="0"/>
                <w:bCs w:val="0"/>
                <w:noProof/>
                <w:spacing w:val="-2"/>
                <w:sz w:val="20"/>
                <w:szCs w:val="20"/>
                <w:lang w:eastAsia="en-AU"/>
              </w:rPr>
              <w:t xml:space="preserve">to </w:t>
            </w:r>
            <w:r w:rsidR="00E86E4F" w:rsidRPr="00677FEA">
              <w:rPr>
                <w:b w:val="0"/>
                <w:bCs w:val="0"/>
                <w:noProof/>
                <w:spacing w:val="-2"/>
                <w:sz w:val="20"/>
                <w:szCs w:val="20"/>
                <w:lang w:eastAsia="en-AU"/>
              </w:rPr>
              <w:t>0.5%</w:t>
            </w:r>
            <w:r w:rsidR="006C5153" w:rsidRPr="00677FEA">
              <w:rPr>
                <w:b w:val="0"/>
                <w:bCs w:val="0"/>
                <w:noProof/>
                <w:spacing w:val="-2"/>
                <w:sz w:val="20"/>
                <w:szCs w:val="20"/>
                <w:lang w:eastAsia="en-AU"/>
              </w:rPr>
              <w:t xml:space="preserve">, </w:t>
            </w:r>
            <w:r w:rsidR="00677FEA">
              <w:rPr>
                <w:b w:val="0"/>
                <w:bCs w:val="0"/>
                <w:noProof/>
                <w:spacing w:val="-2"/>
                <w:sz w:val="20"/>
                <w:szCs w:val="20"/>
                <w:lang w:eastAsia="en-AU"/>
              </w:rPr>
              <w:t>and p</w:t>
            </w:r>
            <w:r w:rsidR="00677FEA" w:rsidRPr="00677FEA">
              <w:rPr>
                <w:b w:val="0"/>
                <w:bCs w:val="0"/>
                <w:noProof/>
                <w:spacing w:val="-2"/>
                <w:sz w:val="20"/>
                <w:szCs w:val="20"/>
                <w:lang w:eastAsia="en-AU"/>
              </w:rPr>
              <w:t>rivate investment in housing also decreased in the year</w:t>
            </w:r>
            <w:r w:rsidR="00F35B69">
              <w:rPr>
                <w:b w:val="0"/>
                <w:bCs w:val="0"/>
                <w:noProof/>
                <w:spacing w:val="-2"/>
                <w:sz w:val="20"/>
                <w:szCs w:val="20"/>
                <w:lang w:eastAsia="en-AU"/>
              </w:rPr>
              <w:t>,</w:t>
            </w:r>
            <w:r w:rsidR="00677FEA" w:rsidRPr="00677FEA">
              <w:rPr>
                <w:b w:val="0"/>
                <w:bCs w:val="0"/>
                <w:noProof/>
                <w:spacing w:val="-2"/>
                <w:sz w:val="20"/>
                <w:szCs w:val="20"/>
                <w:lang w:eastAsia="en-AU"/>
              </w:rPr>
              <w:t xml:space="preserve"> </w:t>
            </w:r>
            <w:r w:rsidR="00AD7C7B" w:rsidRPr="00677FEA">
              <w:rPr>
                <w:b w:val="0"/>
                <w:bCs w:val="0"/>
                <w:noProof/>
                <w:spacing w:val="-2"/>
                <w:sz w:val="20"/>
                <w:szCs w:val="20"/>
                <w:lang w:eastAsia="en-AU"/>
              </w:rPr>
              <w:t>impact</w:t>
            </w:r>
            <w:r w:rsidR="00525B4A" w:rsidRPr="00677FEA">
              <w:rPr>
                <w:b w:val="0"/>
                <w:bCs w:val="0"/>
                <w:noProof/>
                <w:spacing w:val="-2"/>
                <w:sz w:val="20"/>
                <w:szCs w:val="20"/>
                <w:lang w:eastAsia="en-AU"/>
              </w:rPr>
              <w:t>ed by</w:t>
            </w:r>
            <w:r w:rsidR="00AD7C7B" w:rsidRPr="00677FEA">
              <w:rPr>
                <w:b w:val="0"/>
                <w:bCs w:val="0"/>
                <w:noProof/>
                <w:spacing w:val="-2"/>
                <w:sz w:val="20"/>
                <w:szCs w:val="20"/>
                <w:lang w:eastAsia="en-AU"/>
              </w:rPr>
              <w:t xml:space="preserve"> </w:t>
            </w:r>
            <w:r w:rsidR="00575CD7" w:rsidRPr="00677FEA">
              <w:rPr>
                <w:b w:val="0"/>
                <w:bCs w:val="0"/>
                <w:noProof/>
                <w:spacing w:val="-2"/>
                <w:sz w:val="20"/>
                <w:szCs w:val="20"/>
                <w:lang w:eastAsia="en-AU"/>
              </w:rPr>
              <w:t>tighter monetary policy</w:t>
            </w:r>
            <w:r w:rsidR="00677FEA">
              <w:rPr>
                <w:b w:val="0"/>
                <w:bCs w:val="0"/>
                <w:noProof/>
                <w:spacing w:val="-2"/>
                <w:sz w:val="20"/>
                <w:szCs w:val="20"/>
                <w:lang w:eastAsia="en-AU"/>
              </w:rPr>
              <w:t>.</w:t>
            </w:r>
          </w:p>
        </w:tc>
        <w:tc>
          <w:tcPr>
            <w:tcW w:w="5466" w:type="dxa"/>
            <w:shd w:val="clear" w:color="auto" w:fill="auto"/>
          </w:tcPr>
          <w:p w14:paraId="1C04437C" w14:textId="3C323EE5" w:rsidR="003B0FF0" w:rsidRPr="00B55F93" w:rsidRDefault="00E24FCF" w:rsidP="00276E71">
            <w:pPr>
              <w:spacing w:after="120"/>
              <w:jc w:val="both"/>
              <w:cnfStyle w:val="100000000000" w:firstRow="1" w:lastRow="0" w:firstColumn="0" w:lastColumn="0" w:oddVBand="0" w:evenVBand="0" w:oddHBand="0" w:evenHBand="0" w:firstRowFirstColumn="0" w:firstRowLastColumn="0" w:lastRowFirstColumn="0" w:lastRowLastColumn="0"/>
              <w:rPr>
                <w:b w:val="0"/>
                <w:bCs w:val="0"/>
                <w:noProof/>
                <w:spacing w:val="-2"/>
                <w:sz w:val="20"/>
                <w:szCs w:val="20"/>
                <w:lang w:eastAsia="en-AU"/>
              </w:rPr>
            </w:pPr>
            <w:r w:rsidRPr="00B55F93">
              <w:rPr>
                <w:noProof/>
                <w:spacing w:val="-2"/>
                <w:sz w:val="20"/>
                <w:szCs w:val="20"/>
                <w:lang w:eastAsia="en-AU"/>
              </w:rPr>
              <w:t>Chart</w:t>
            </w:r>
            <w:r w:rsidR="003B0FF0" w:rsidRPr="00B55F93">
              <w:rPr>
                <w:noProof/>
                <w:spacing w:val="-2"/>
                <w:sz w:val="20"/>
                <w:szCs w:val="20"/>
                <w:lang w:eastAsia="en-AU"/>
              </w:rPr>
              <w:t xml:space="preserve"> 2</w:t>
            </w:r>
            <w:r w:rsidR="00B45E33" w:rsidRPr="00B55F93">
              <w:rPr>
                <w:noProof/>
                <w:spacing w:val="-2"/>
                <w:sz w:val="20"/>
                <w:szCs w:val="20"/>
                <w:lang w:eastAsia="en-AU"/>
              </w:rPr>
              <w:t>:</w:t>
            </w:r>
            <w:r w:rsidR="004A7DDB">
              <w:rPr>
                <w:b w:val="0"/>
                <w:noProof/>
                <w:spacing w:val="-2"/>
                <w:sz w:val="20"/>
                <w:szCs w:val="20"/>
                <w:lang w:eastAsia="en-AU"/>
              </w:rPr>
              <w:t xml:space="preserve"> </w:t>
            </w:r>
            <w:r w:rsidR="00764B78">
              <w:rPr>
                <w:b w:val="0"/>
                <w:noProof/>
                <w:spacing w:val="-2"/>
                <w:sz w:val="20"/>
                <w:szCs w:val="20"/>
                <w:lang w:eastAsia="en-AU"/>
              </w:rPr>
              <w:t>Housing is more affordable in the T</w:t>
            </w:r>
            <w:r w:rsidR="00A829CA">
              <w:rPr>
                <w:b w:val="0"/>
                <w:noProof/>
                <w:spacing w:val="-2"/>
                <w:sz w:val="20"/>
                <w:szCs w:val="20"/>
                <w:lang w:eastAsia="en-AU"/>
              </w:rPr>
              <w:t xml:space="preserve">erritory </w:t>
            </w:r>
            <w:r w:rsidR="00764B78">
              <w:rPr>
                <w:b w:val="0"/>
                <w:noProof/>
                <w:spacing w:val="-2"/>
                <w:sz w:val="20"/>
                <w:szCs w:val="20"/>
                <w:lang w:eastAsia="en-AU"/>
              </w:rPr>
              <w:t xml:space="preserve">than </w:t>
            </w:r>
            <w:r w:rsidR="00A81720">
              <w:rPr>
                <w:b w:val="0"/>
                <w:noProof/>
                <w:spacing w:val="-2"/>
                <w:sz w:val="20"/>
                <w:szCs w:val="20"/>
                <w:lang w:eastAsia="en-AU"/>
              </w:rPr>
              <w:t>nationally</w:t>
            </w:r>
            <w:r w:rsidR="00764B78">
              <w:rPr>
                <w:b w:val="0"/>
                <w:noProof/>
                <w:spacing w:val="-2"/>
                <w:sz w:val="20"/>
                <w:szCs w:val="20"/>
                <w:lang w:eastAsia="en-AU"/>
              </w:rPr>
              <w:t>, though s</w:t>
            </w:r>
            <w:r w:rsidR="004A7DDB">
              <w:rPr>
                <w:b w:val="0"/>
                <w:noProof/>
                <w:spacing w:val="-2"/>
                <w:sz w:val="20"/>
                <w:szCs w:val="20"/>
                <w:lang w:eastAsia="en-AU"/>
              </w:rPr>
              <w:t>ince M</w:t>
            </w:r>
            <w:r w:rsidR="007F782F">
              <w:rPr>
                <w:b w:val="0"/>
                <w:noProof/>
                <w:spacing w:val="-2"/>
                <w:sz w:val="20"/>
                <w:szCs w:val="20"/>
                <w:lang w:eastAsia="en-AU"/>
              </w:rPr>
              <w:t>arch</w:t>
            </w:r>
            <w:r w:rsidR="004A7DDB">
              <w:rPr>
                <w:b w:val="0"/>
                <w:noProof/>
                <w:spacing w:val="-2"/>
                <w:sz w:val="20"/>
                <w:szCs w:val="20"/>
                <w:lang w:eastAsia="en-AU"/>
              </w:rPr>
              <w:t xml:space="preserve"> 2022 (</w:t>
            </w:r>
            <w:r w:rsidR="00A829CA">
              <w:rPr>
                <w:b w:val="0"/>
                <w:noProof/>
                <w:spacing w:val="-2"/>
                <w:sz w:val="20"/>
                <w:szCs w:val="20"/>
                <w:lang w:eastAsia="en-AU"/>
              </w:rPr>
              <w:t xml:space="preserve">the </w:t>
            </w:r>
            <w:r w:rsidR="00BC7B0A">
              <w:rPr>
                <w:b w:val="0"/>
                <w:noProof/>
                <w:spacing w:val="-2"/>
                <w:sz w:val="20"/>
                <w:szCs w:val="20"/>
                <w:lang w:eastAsia="en-AU"/>
              </w:rPr>
              <w:t>quarter</w:t>
            </w:r>
            <w:r w:rsidR="007F782F">
              <w:rPr>
                <w:b w:val="0"/>
                <w:noProof/>
                <w:spacing w:val="-2"/>
                <w:sz w:val="20"/>
                <w:szCs w:val="20"/>
                <w:lang w:eastAsia="en-AU"/>
              </w:rPr>
              <w:t xml:space="preserve"> before</w:t>
            </w:r>
            <w:r w:rsidR="004A7DDB">
              <w:rPr>
                <w:b w:val="0"/>
                <w:noProof/>
                <w:spacing w:val="-2"/>
                <w:sz w:val="20"/>
                <w:szCs w:val="20"/>
                <w:lang w:eastAsia="en-AU"/>
              </w:rPr>
              <w:t xml:space="preserve"> monetary tightening</w:t>
            </w:r>
            <w:r w:rsidR="00A81720">
              <w:rPr>
                <w:b w:val="0"/>
                <w:noProof/>
                <w:spacing w:val="-2"/>
                <w:sz w:val="20"/>
                <w:szCs w:val="20"/>
                <w:lang w:eastAsia="en-AU"/>
              </w:rPr>
              <w:t xml:space="preserve"> started</w:t>
            </w:r>
            <w:r w:rsidR="007F782F">
              <w:rPr>
                <w:b w:val="0"/>
                <w:noProof/>
                <w:spacing w:val="-2"/>
                <w:sz w:val="20"/>
                <w:szCs w:val="20"/>
                <w:lang w:eastAsia="en-AU"/>
              </w:rPr>
              <w:t xml:space="preserve">), the Real Estate Institute of Australia’s ‘Home Loan Affordability Indicator’ </w:t>
            </w:r>
            <w:r w:rsidR="00A829CA">
              <w:rPr>
                <w:b w:val="0"/>
                <w:noProof/>
                <w:spacing w:val="-2"/>
                <w:sz w:val="20"/>
                <w:szCs w:val="20"/>
                <w:lang w:eastAsia="en-AU"/>
              </w:rPr>
              <w:t xml:space="preserve">has </w:t>
            </w:r>
            <w:r w:rsidR="007F782F">
              <w:rPr>
                <w:b w:val="0"/>
                <w:noProof/>
                <w:spacing w:val="-2"/>
                <w:sz w:val="20"/>
                <w:szCs w:val="20"/>
                <w:lang w:eastAsia="en-AU"/>
              </w:rPr>
              <w:t xml:space="preserve">dropped by </w:t>
            </w:r>
            <w:r w:rsidR="00A81720" w:rsidRPr="00370543">
              <w:rPr>
                <w:b w:val="0"/>
                <w:noProof/>
                <w:spacing w:val="-2"/>
                <w:sz w:val="20"/>
                <w:szCs w:val="20"/>
                <w:lang w:eastAsia="en-AU"/>
              </w:rPr>
              <w:t>29%</w:t>
            </w:r>
            <w:r w:rsidR="00A81720">
              <w:rPr>
                <w:b w:val="0"/>
                <w:noProof/>
                <w:spacing w:val="-2"/>
                <w:sz w:val="20"/>
                <w:szCs w:val="20"/>
                <w:lang w:eastAsia="en-AU"/>
              </w:rPr>
              <w:t xml:space="preserve"> in the</w:t>
            </w:r>
            <w:r w:rsidR="00A81720" w:rsidRPr="00370543">
              <w:rPr>
                <w:b w:val="0"/>
                <w:noProof/>
                <w:spacing w:val="-2"/>
                <w:sz w:val="20"/>
                <w:szCs w:val="20"/>
                <w:lang w:eastAsia="en-AU"/>
              </w:rPr>
              <w:t xml:space="preserve"> Territory </w:t>
            </w:r>
            <w:r w:rsidR="00A81720">
              <w:rPr>
                <w:b w:val="0"/>
                <w:noProof/>
                <w:spacing w:val="-2"/>
                <w:sz w:val="20"/>
                <w:szCs w:val="20"/>
                <w:lang w:eastAsia="en-AU"/>
              </w:rPr>
              <w:t xml:space="preserve">and by </w:t>
            </w:r>
            <w:r w:rsidR="007F782F" w:rsidRPr="00370543">
              <w:rPr>
                <w:b w:val="0"/>
                <w:noProof/>
                <w:spacing w:val="-2"/>
                <w:sz w:val="20"/>
                <w:szCs w:val="20"/>
                <w:lang w:eastAsia="en-AU"/>
              </w:rPr>
              <w:t xml:space="preserve">22% nationally. </w:t>
            </w:r>
            <w:r w:rsidR="00A81720">
              <w:rPr>
                <w:b w:val="0"/>
                <w:noProof/>
                <w:spacing w:val="-2"/>
                <w:sz w:val="20"/>
                <w:szCs w:val="20"/>
                <w:lang w:eastAsia="en-AU"/>
              </w:rPr>
              <w:t xml:space="preserve">The Territory reports slightly weaker income growth than nationally, </w:t>
            </w:r>
            <w:r w:rsidR="00E36B08">
              <w:rPr>
                <w:b w:val="0"/>
                <w:noProof/>
                <w:spacing w:val="-2"/>
                <w:sz w:val="20"/>
                <w:szCs w:val="20"/>
                <w:lang w:eastAsia="en-AU"/>
              </w:rPr>
              <w:t xml:space="preserve">and </w:t>
            </w:r>
            <w:r w:rsidR="00A81720">
              <w:rPr>
                <w:b w:val="0"/>
                <w:noProof/>
                <w:spacing w:val="-2"/>
                <w:sz w:val="20"/>
                <w:szCs w:val="20"/>
                <w:lang w:eastAsia="en-AU"/>
              </w:rPr>
              <w:t>while the increase in repayments i</w:t>
            </w:r>
            <w:r w:rsidR="00E36B08">
              <w:rPr>
                <w:b w:val="0"/>
                <w:noProof/>
                <w:spacing w:val="-2"/>
                <w:sz w:val="20"/>
                <w:szCs w:val="20"/>
                <w:lang w:eastAsia="en-AU"/>
              </w:rPr>
              <w:t>n dollar term</w:t>
            </w:r>
            <w:r w:rsidR="00A81720">
              <w:rPr>
                <w:b w:val="0"/>
                <w:noProof/>
                <w:spacing w:val="-2"/>
                <w:sz w:val="20"/>
                <w:szCs w:val="20"/>
                <w:lang w:eastAsia="en-AU"/>
              </w:rPr>
              <w:t xml:space="preserve">s </w:t>
            </w:r>
            <w:r w:rsidR="00E36B08">
              <w:rPr>
                <w:b w:val="0"/>
                <w:noProof/>
                <w:spacing w:val="-2"/>
                <w:sz w:val="20"/>
                <w:szCs w:val="20"/>
                <w:lang w:eastAsia="en-AU"/>
              </w:rPr>
              <w:t xml:space="preserve">is </w:t>
            </w:r>
            <w:r w:rsidR="00A81720">
              <w:rPr>
                <w:b w:val="0"/>
                <w:noProof/>
                <w:spacing w:val="-2"/>
                <w:sz w:val="20"/>
                <w:szCs w:val="20"/>
                <w:lang w:eastAsia="en-AU"/>
              </w:rPr>
              <w:t>lower in</w:t>
            </w:r>
            <w:r w:rsidR="00E36B08">
              <w:rPr>
                <w:b w:val="0"/>
                <w:noProof/>
                <w:spacing w:val="-2"/>
                <w:sz w:val="20"/>
                <w:szCs w:val="20"/>
                <w:lang w:eastAsia="en-AU"/>
              </w:rPr>
              <w:t xml:space="preserve"> the Territory, it comes off a much lower base, which </w:t>
            </w:r>
            <w:r w:rsidR="00F35B69">
              <w:rPr>
                <w:b w:val="0"/>
                <w:noProof/>
                <w:spacing w:val="-2"/>
                <w:sz w:val="20"/>
                <w:szCs w:val="20"/>
                <w:lang w:eastAsia="en-AU"/>
              </w:rPr>
              <w:t>contribu</w:t>
            </w:r>
            <w:r w:rsidR="00276E71">
              <w:rPr>
                <w:b w:val="0"/>
                <w:noProof/>
                <w:spacing w:val="-2"/>
                <w:sz w:val="20"/>
                <w:szCs w:val="20"/>
                <w:lang w:eastAsia="en-AU"/>
              </w:rPr>
              <w:t>t</w:t>
            </w:r>
            <w:r w:rsidR="00F35B69">
              <w:rPr>
                <w:b w:val="0"/>
                <w:noProof/>
                <w:spacing w:val="-2"/>
                <w:sz w:val="20"/>
                <w:szCs w:val="20"/>
                <w:lang w:eastAsia="en-AU"/>
              </w:rPr>
              <w:t xml:space="preserve">es </w:t>
            </w:r>
            <w:r w:rsidR="00E36B08">
              <w:rPr>
                <w:b w:val="0"/>
                <w:noProof/>
                <w:spacing w:val="-2"/>
                <w:sz w:val="20"/>
                <w:szCs w:val="20"/>
                <w:lang w:eastAsia="en-AU"/>
              </w:rPr>
              <w:t xml:space="preserve">to the larger percentage </w:t>
            </w:r>
            <w:r w:rsidR="00F35B69">
              <w:rPr>
                <w:b w:val="0"/>
                <w:noProof/>
                <w:spacing w:val="-2"/>
                <w:sz w:val="20"/>
                <w:szCs w:val="20"/>
                <w:lang w:eastAsia="en-AU"/>
              </w:rPr>
              <w:t>decline</w:t>
            </w:r>
            <w:r w:rsidR="00E36B08">
              <w:rPr>
                <w:b w:val="0"/>
                <w:noProof/>
                <w:spacing w:val="-2"/>
                <w:sz w:val="20"/>
                <w:szCs w:val="20"/>
                <w:lang w:eastAsia="en-AU"/>
              </w:rPr>
              <w:t>.</w:t>
            </w:r>
          </w:p>
        </w:tc>
      </w:tr>
      <w:tr w:rsidR="000775CB" w:rsidRPr="00482D19" w14:paraId="582FE79B" w14:textId="77777777" w:rsidTr="000A1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shd w:val="clear" w:color="auto" w:fill="auto"/>
          </w:tcPr>
          <w:p w14:paraId="4F2C27B3" w14:textId="3D33AD8F" w:rsidR="000775CB" w:rsidRPr="00472E9F" w:rsidRDefault="000775CB" w:rsidP="000775CB">
            <w:pPr>
              <w:jc w:val="center"/>
              <w:rPr>
                <w:sz w:val="20"/>
                <w:szCs w:val="20"/>
              </w:rPr>
            </w:pPr>
            <w:r w:rsidRPr="00472E9F">
              <w:rPr>
                <w:sz w:val="20"/>
                <w:szCs w:val="20"/>
              </w:rPr>
              <w:t>State Final Demand – NT</w:t>
            </w:r>
          </w:p>
          <w:p w14:paraId="7D6843EB" w14:textId="2A3EE4EB" w:rsidR="000775CB" w:rsidRDefault="000775CB" w:rsidP="000775CB">
            <w:pPr>
              <w:jc w:val="center"/>
              <w:rPr>
                <w:sz w:val="16"/>
                <w:szCs w:val="16"/>
              </w:rPr>
            </w:pPr>
            <w:r w:rsidRPr="00472E9F">
              <w:rPr>
                <w:sz w:val="16"/>
                <w:szCs w:val="16"/>
              </w:rPr>
              <w:t>Components, moving annual total</w:t>
            </w:r>
            <w:r w:rsidR="00DE0A02">
              <w:rPr>
                <w:sz w:val="16"/>
                <w:szCs w:val="16"/>
              </w:rPr>
              <w:t xml:space="preserve"> ($B)</w:t>
            </w:r>
          </w:p>
          <w:p w14:paraId="1787A566" w14:textId="241F192D" w:rsidR="000775CB" w:rsidRPr="00542A1B" w:rsidRDefault="00364509" w:rsidP="000775CB">
            <w:pPr>
              <w:jc w:val="center"/>
              <w:rPr>
                <w:noProof/>
                <w:sz w:val="16"/>
                <w:szCs w:val="16"/>
                <w:lang w:eastAsia="en-AU"/>
              </w:rPr>
            </w:pPr>
            <w:r>
              <w:rPr>
                <w:noProof/>
                <w:sz w:val="16"/>
                <w:szCs w:val="16"/>
                <w:lang w:eastAsia="en-AU"/>
              </w:rPr>
              <w:drawing>
                <wp:inline distT="0" distB="0" distL="0" distR="0" wp14:anchorId="24E9CC68" wp14:editId="1F15460A">
                  <wp:extent cx="2700000" cy="24840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0000" cy="2484000"/>
                          </a:xfrm>
                          <a:prstGeom prst="rect">
                            <a:avLst/>
                          </a:prstGeom>
                          <a:noFill/>
                        </pic:spPr>
                      </pic:pic>
                    </a:graphicData>
                  </a:graphic>
                </wp:inline>
              </w:drawing>
            </w:r>
          </w:p>
        </w:tc>
        <w:tc>
          <w:tcPr>
            <w:tcW w:w="5466" w:type="dxa"/>
            <w:shd w:val="clear" w:color="auto" w:fill="auto"/>
          </w:tcPr>
          <w:p w14:paraId="77FBF9BB" w14:textId="4AE64112" w:rsidR="00C27FFE" w:rsidRPr="00EC73A2" w:rsidRDefault="00C27FFE" w:rsidP="00C27FFE">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EC73A2">
              <w:rPr>
                <w:b/>
                <w:sz w:val="20"/>
                <w:szCs w:val="20"/>
              </w:rPr>
              <w:t>Home Loan Affordability Indicator</w:t>
            </w:r>
          </w:p>
          <w:p w14:paraId="18A881BB" w14:textId="22483E2F" w:rsidR="00C27FFE" w:rsidRPr="00EC73A2" w:rsidRDefault="00C27FFE" w:rsidP="00C27FFE">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EC73A2">
              <w:rPr>
                <w:b/>
                <w:sz w:val="16"/>
                <w:szCs w:val="16"/>
              </w:rPr>
              <w:t>Quarterly</w:t>
            </w:r>
            <w:r w:rsidR="00005EE4">
              <w:rPr>
                <w:b/>
                <w:sz w:val="16"/>
                <w:szCs w:val="16"/>
              </w:rPr>
              <w:t xml:space="preserve"> (indicator number)</w:t>
            </w:r>
          </w:p>
          <w:p w14:paraId="49E102A9" w14:textId="5B1450DA" w:rsidR="000775CB" w:rsidRPr="00542A1B" w:rsidRDefault="00364509">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noProof/>
                <w:sz w:val="16"/>
                <w:szCs w:val="16"/>
                <w:lang w:eastAsia="en-AU"/>
              </w:rPr>
              <w:drawing>
                <wp:inline distT="0" distB="0" distL="0" distR="0" wp14:anchorId="312BF430" wp14:editId="5E5E449E">
                  <wp:extent cx="2703600" cy="2487600"/>
                  <wp:effectExtent l="0" t="0" r="190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3600" cy="2487600"/>
                          </a:xfrm>
                          <a:prstGeom prst="rect">
                            <a:avLst/>
                          </a:prstGeom>
                          <a:noFill/>
                        </pic:spPr>
                      </pic:pic>
                    </a:graphicData>
                  </a:graphic>
                </wp:inline>
              </w:drawing>
            </w:r>
          </w:p>
        </w:tc>
      </w:tr>
      <w:tr w:rsidR="001337CA" w:rsidRPr="00482D19" w14:paraId="0EEE78EC" w14:textId="77777777" w:rsidTr="000A1234">
        <w:tc>
          <w:tcPr>
            <w:cnfStyle w:val="001000000000" w:firstRow="0" w:lastRow="0" w:firstColumn="1" w:lastColumn="0" w:oddVBand="0" w:evenVBand="0" w:oddHBand="0" w:evenHBand="0" w:firstRowFirstColumn="0" w:firstRowLastColumn="0" w:lastRowFirstColumn="0" w:lastRowLastColumn="0"/>
            <w:tcW w:w="4962" w:type="dxa"/>
            <w:shd w:val="clear" w:color="auto" w:fill="auto"/>
          </w:tcPr>
          <w:p w14:paraId="584D6F6B" w14:textId="0474F981" w:rsidR="00196053" w:rsidRPr="00556156" w:rsidRDefault="001337CA" w:rsidP="00BC265F">
            <w:pPr>
              <w:spacing w:before="240" w:after="120"/>
              <w:jc w:val="both"/>
              <w:rPr>
                <w:b w:val="0"/>
                <w:bCs w:val="0"/>
                <w:noProof/>
                <w:spacing w:val="-2"/>
                <w:sz w:val="20"/>
                <w:szCs w:val="20"/>
                <w:lang w:eastAsia="en-AU"/>
              </w:rPr>
            </w:pPr>
            <w:r w:rsidRPr="00556156">
              <w:rPr>
                <w:bCs w:val="0"/>
                <w:noProof/>
                <w:spacing w:val="-2"/>
                <w:sz w:val="20"/>
                <w:szCs w:val="20"/>
                <w:lang w:eastAsia="en-AU"/>
              </w:rPr>
              <w:t>Chart 3</w:t>
            </w:r>
            <w:r w:rsidRPr="00556156">
              <w:rPr>
                <w:b w:val="0"/>
                <w:bCs w:val="0"/>
                <w:noProof/>
                <w:spacing w:val="-2"/>
                <w:sz w:val="20"/>
                <w:szCs w:val="20"/>
                <w:lang w:eastAsia="en-AU"/>
              </w:rPr>
              <w:t>:</w:t>
            </w:r>
            <w:r w:rsidR="009B0DC9">
              <w:rPr>
                <w:b w:val="0"/>
                <w:bCs w:val="0"/>
                <w:noProof/>
                <w:spacing w:val="-2"/>
                <w:sz w:val="20"/>
                <w:szCs w:val="20"/>
                <w:lang w:eastAsia="en-AU"/>
              </w:rPr>
              <w:t xml:space="preserve"> </w:t>
            </w:r>
            <w:r w:rsidR="00BB5C77">
              <w:rPr>
                <w:b w:val="0"/>
                <w:bCs w:val="0"/>
                <w:noProof/>
                <w:spacing w:val="-2"/>
                <w:sz w:val="20"/>
                <w:szCs w:val="20"/>
                <w:lang w:eastAsia="en-AU"/>
              </w:rPr>
              <w:t xml:space="preserve">The drop in affordability is impacting </w:t>
            </w:r>
            <w:r w:rsidR="001659F6">
              <w:rPr>
                <w:b w:val="0"/>
                <w:bCs w:val="0"/>
                <w:noProof/>
                <w:spacing w:val="-2"/>
                <w:sz w:val="20"/>
                <w:szCs w:val="20"/>
                <w:lang w:eastAsia="en-AU"/>
              </w:rPr>
              <w:t xml:space="preserve">housing </w:t>
            </w:r>
            <w:r w:rsidR="00BB5C77">
              <w:rPr>
                <w:b w:val="0"/>
                <w:bCs w:val="0"/>
                <w:noProof/>
                <w:spacing w:val="-2"/>
                <w:sz w:val="20"/>
                <w:szCs w:val="20"/>
                <w:lang w:eastAsia="en-AU"/>
              </w:rPr>
              <w:t xml:space="preserve">finance </w:t>
            </w:r>
            <w:r w:rsidR="001659F6">
              <w:rPr>
                <w:b w:val="0"/>
                <w:bCs w:val="0"/>
                <w:noProof/>
                <w:spacing w:val="-2"/>
                <w:sz w:val="20"/>
                <w:szCs w:val="20"/>
                <w:lang w:eastAsia="en-AU"/>
              </w:rPr>
              <w:t xml:space="preserve">for </w:t>
            </w:r>
            <w:r w:rsidR="00BB5C77">
              <w:rPr>
                <w:b w:val="0"/>
                <w:bCs w:val="0"/>
                <w:noProof/>
                <w:spacing w:val="-2"/>
                <w:sz w:val="20"/>
                <w:szCs w:val="20"/>
                <w:lang w:eastAsia="en-AU"/>
              </w:rPr>
              <w:t>owner</w:t>
            </w:r>
            <w:r w:rsidR="00BB5C77">
              <w:rPr>
                <w:b w:val="0"/>
                <w:bCs w:val="0"/>
                <w:noProof/>
                <w:spacing w:val="-2"/>
                <w:sz w:val="20"/>
                <w:szCs w:val="20"/>
                <w:lang w:eastAsia="en-AU"/>
              </w:rPr>
              <w:noBreakHyphen/>
              <w:t>occupiers and investors</w:t>
            </w:r>
            <w:r w:rsidR="00A4154F">
              <w:rPr>
                <w:b w:val="0"/>
                <w:bCs w:val="0"/>
                <w:noProof/>
                <w:spacing w:val="-2"/>
                <w:sz w:val="20"/>
                <w:szCs w:val="20"/>
                <w:lang w:eastAsia="en-AU"/>
              </w:rPr>
              <w:t xml:space="preserve">, and residential </w:t>
            </w:r>
            <w:r w:rsidR="00F93E71">
              <w:rPr>
                <w:b w:val="0"/>
                <w:bCs w:val="0"/>
                <w:noProof/>
                <w:spacing w:val="-2"/>
                <w:sz w:val="20"/>
                <w:szCs w:val="20"/>
                <w:lang w:eastAsia="en-AU"/>
              </w:rPr>
              <w:t>b</w:t>
            </w:r>
            <w:r w:rsidR="00BB5C77">
              <w:rPr>
                <w:b w:val="0"/>
                <w:bCs w:val="0"/>
                <w:noProof/>
                <w:spacing w:val="-2"/>
                <w:sz w:val="20"/>
                <w:szCs w:val="20"/>
                <w:lang w:eastAsia="en-AU"/>
              </w:rPr>
              <w:t xml:space="preserve">uilding approvals </w:t>
            </w:r>
            <w:r w:rsidR="00A4154F">
              <w:rPr>
                <w:b w:val="0"/>
                <w:bCs w:val="0"/>
                <w:noProof/>
                <w:spacing w:val="-2"/>
                <w:sz w:val="20"/>
                <w:szCs w:val="20"/>
                <w:lang w:eastAsia="en-AU"/>
              </w:rPr>
              <w:t xml:space="preserve">in the Territory </w:t>
            </w:r>
            <w:r w:rsidR="001659F6">
              <w:rPr>
                <w:b w:val="0"/>
                <w:bCs w:val="0"/>
                <w:noProof/>
                <w:spacing w:val="-2"/>
                <w:sz w:val="20"/>
                <w:szCs w:val="20"/>
                <w:lang w:eastAsia="en-AU"/>
              </w:rPr>
              <w:t>are down by</w:t>
            </w:r>
            <w:r w:rsidR="00A4154F">
              <w:rPr>
                <w:b w:val="0"/>
                <w:bCs w:val="0"/>
                <w:noProof/>
                <w:spacing w:val="-2"/>
                <w:sz w:val="20"/>
                <w:szCs w:val="20"/>
                <w:lang w:eastAsia="en-AU"/>
              </w:rPr>
              <w:t xml:space="preserve"> almost</w:t>
            </w:r>
            <w:r w:rsidR="001659F6">
              <w:rPr>
                <w:b w:val="0"/>
                <w:bCs w:val="0"/>
                <w:noProof/>
                <w:spacing w:val="-2"/>
                <w:sz w:val="20"/>
                <w:szCs w:val="20"/>
                <w:lang w:eastAsia="en-AU"/>
              </w:rPr>
              <w:t xml:space="preserve"> </w:t>
            </w:r>
            <w:r w:rsidR="00A4154F">
              <w:rPr>
                <w:b w:val="0"/>
                <w:bCs w:val="0"/>
                <w:noProof/>
                <w:spacing w:val="-2"/>
                <w:sz w:val="20"/>
                <w:szCs w:val="20"/>
                <w:lang w:eastAsia="en-AU"/>
              </w:rPr>
              <w:t>5</w:t>
            </w:r>
            <w:r w:rsidR="001659F6">
              <w:rPr>
                <w:b w:val="0"/>
                <w:bCs w:val="0"/>
                <w:noProof/>
                <w:spacing w:val="-2"/>
                <w:sz w:val="20"/>
                <w:szCs w:val="20"/>
                <w:lang w:eastAsia="en-AU"/>
              </w:rPr>
              <w:t xml:space="preserve">% in the year to July 2023. </w:t>
            </w:r>
            <w:r w:rsidR="00A4154F">
              <w:rPr>
                <w:b w:val="0"/>
                <w:bCs w:val="0"/>
                <w:noProof/>
                <w:spacing w:val="-2"/>
                <w:sz w:val="20"/>
                <w:szCs w:val="20"/>
                <w:lang w:eastAsia="en-AU"/>
              </w:rPr>
              <w:t>This is despite p</w:t>
            </w:r>
            <w:r w:rsidR="00BB5C77">
              <w:rPr>
                <w:b w:val="0"/>
                <w:bCs w:val="0"/>
                <w:noProof/>
                <w:spacing w:val="-2"/>
                <w:sz w:val="20"/>
                <w:szCs w:val="20"/>
                <w:lang w:eastAsia="en-AU"/>
              </w:rPr>
              <w:t>opulation growth returning to longer term trend</w:t>
            </w:r>
            <w:r w:rsidR="00A4154F">
              <w:rPr>
                <w:b w:val="0"/>
                <w:bCs w:val="0"/>
                <w:noProof/>
                <w:spacing w:val="-2"/>
                <w:sz w:val="20"/>
                <w:szCs w:val="20"/>
                <w:lang w:eastAsia="en-AU"/>
              </w:rPr>
              <w:t>,</w:t>
            </w:r>
            <w:r w:rsidR="00BB5C77">
              <w:rPr>
                <w:b w:val="0"/>
                <w:bCs w:val="0"/>
                <w:noProof/>
                <w:spacing w:val="-2"/>
                <w:sz w:val="20"/>
                <w:szCs w:val="20"/>
                <w:lang w:eastAsia="en-AU"/>
              </w:rPr>
              <w:t xml:space="preserve"> supported by </w:t>
            </w:r>
            <w:r w:rsidR="001659F6">
              <w:rPr>
                <w:b w:val="0"/>
                <w:bCs w:val="0"/>
                <w:noProof/>
                <w:spacing w:val="-2"/>
                <w:sz w:val="20"/>
                <w:szCs w:val="20"/>
                <w:lang w:eastAsia="en-AU"/>
              </w:rPr>
              <w:t xml:space="preserve">net </w:t>
            </w:r>
            <w:r w:rsidR="00BB5C77">
              <w:rPr>
                <w:b w:val="0"/>
                <w:bCs w:val="0"/>
                <w:noProof/>
                <w:spacing w:val="-2"/>
                <w:sz w:val="20"/>
                <w:szCs w:val="20"/>
                <w:lang w:eastAsia="en-AU"/>
              </w:rPr>
              <w:t>overseas migration.</w:t>
            </w:r>
            <w:r w:rsidR="001659F6">
              <w:rPr>
                <w:b w:val="0"/>
                <w:bCs w:val="0"/>
                <w:noProof/>
                <w:spacing w:val="-2"/>
                <w:sz w:val="20"/>
                <w:szCs w:val="20"/>
                <w:lang w:eastAsia="en-AU"/>
              </w:rPr>
              <w:t xml:space="preserve"> </w:t>
            </w:r>
            <w:r w:rsidR="00BB5C77">
              <w:rPr>
                <w:b w:val="0"/>
                <w:bCs w:val="0"/>
                <w:noProof/>
                <w:spacing w:val="-2"/>
                <w:sz w:val="20"/>
                <w:szCs w:val="20"/>
                <w:lang w:eastAsia="en-AU"/>
              </w:rPr>
              <w:t>Weaker building approvals</w:t>
            </w:r>
            <w:r w:rsidR="00E1543F">
              <w:rPr>
                <w:b w:val="0"/>
                <w:bCs w:val="0"/>
                <w:noProof/>
                <w:spacing w:val="-2"/>
                <w:sz w:val="20"/>
                <w:szCs w:val="20"/>
                <w:lang w:eastAsia="en-AU"/>
              </w:rPr>
              <w:t>,</w:t>
            </w:r>
            <w:r w:rsidR="0075177F">
              <w:rPr>
                <w:b w:val="0"/>
                <w:bCs w:val="0"/>
                <w:noProof/>
                <w:spacing w:val="-2"/>
                <w:sz w:val="20"/>
                <w:szCs w:val="20"/>
                <w:lang w:eastAsia="en-AU"/>
              </w:rPr>
              <w:t xml:space="preserve"> declining affordability</w:t>
            </w:r>
            <w:r w:rsidR="00E1543F">
              <w:rPr>
                <w:b w:val="0"/>
                <w:bCs w:val="0"/>
                <w:noProof/>
                <w:spacing w:val="-2"/>
                <w:sz w:val="20"/>
                <w:szCs w:val="20"/>
                <w:lang w:eastAsia="en-AU"/>
              </w:rPr>
              <w:t xml:space="preserve"> and increasing </w:t>
            </w:r>
            <w:r w:rsidR="00E1543F" w:rsidRPr="00F35B69">
              <w:rPr>
                <w:b w:val="0"/>
                <w:bCs w:val="0"/>
                <w:noProof/>
                <w:spacing w:val="-4"/>
                <w:sz w:val="20"/>
                <w:szCs w:val="20"/>
                <w:lang w:eastAsia="en-AU"/>
              </w:rPr>
              <w:t>population</w:t>
            </w:r>
            <w:r w:rsidR="00BB5C77" w:rsidRPr="00F35B69">
              <w:rPr>
                <w:b w:val="0"/>
                <w:bCs w:val="0"/>
                <w:noProof/>
                <w:spacing w:val="-4"/>
                <w:sz w:val="20"/>
                <w:szCs w:val="20"/>
                <w:lang w:eastAsia="en-AU"/>
              </w:rPr>
              <w:t xml:space="preserve"> will have </w:t>
            </w:r>
            <w:r w:rsidR="009617D8" w:rsidRPr="00F35B69">
              <w:rPr>
                <w:b w:val="0"/>
                <w:bCs w:val="0"/>
                <w:noProof/>
                <w:spacing w:val="-4"/>
                <w:sz w:val="20"/>
                <w:szCs w:val="20"/>
                <w:lang w:eastAsia="en-AU"/>
              </w:rPr>
              <w:t xml:space="preserve">longer </w:t>
            </w:r>
            <w:r w:rsidR="00BB5C77" w:rsidRPr="00F35B69">
              <w:rPr>
                <w:b w:val="0"/>
                <w:bCs w:val="0"/>
                <w:noProof/>
                <w:spacing w:val="-4"/>
                <w:sz w:val="20"/>
                <w:szCs w:val="20"/>
                <w:lang w:eastAsia="en-AU"/>
              </w:rPr>
              <w:t>term implications for residential property and rental markets, already reflected in prices, vacancy rates and rents.</w:t>
            </w:r>
          </w:p>
        </w:tc>
        <w:tc>
          <w:tcPr>
            <w:tcW w:w="5466" w:type="dxa"/>
            <w:shd w:val="clear" w:color="auto" w:fill="auto"/>
          </w:tcPr>
          <w:p w14:paraId="2DB835A3" w14:textId="30C335F1" w:rsidR="00196053" w:rsidRPr="0003699C" w:rsidRDefault="001337CA">
            <w:pPr>
              <w:spacing w:before="240" w:after="120"/>
              <w:jc w:val="both"/>
              <w:cnfStyle w:val="000000000000" w:firstRow="0" w:lastRow="0" w:firstColumn="0" w:lastColumn="0" w:oddVBand="0" w:evenVBand="0" w:oddHBand="0" w:evenHBand="0" w:firstRowFirstColumn="0" w:firstRowLastColumn="0" w:lastRowFirstColumn="0" w:lastRowLastColumn="0"/>
              <w:rPr>
                <w:noProof/>
                <w:spacing w:val="-2"/>
                <w:sz w:val="20"/>
                <w:szCs w:val="20"/>
                <w:lang w:eastAsia="en-AU"/>
              </w:rPr>
            </w:pPr>
            <w:r w:rsidRPr="00CB1C9D">
              <w:rPr>
                <w:b/>
                <w:noProof/>
                <w:spacing w:val="-2"/>
                <w:sz w:val="20"/>
                <w:szCs w:val="20"/>
                <w:lang w:eastAsia="en-AU"/>
              </w:rPr>
              <w:t>Chart 4:</w:t>
            </w:r>
            <w:r w:rsidR="00AB7E95" w:rsidRPr="00CB1C9D">
              <w:rPr>
                <w:noProof/>
                <w:spacing w:val="-2"/>
                <w:sz w:val="20"/>
                <w:szCs w:val="20"/>
                <w:lang w:eastAsia="en-AU"/>
              </w:rPr>
              <w:t xml:space="preserve"> </w:t>
            </w:r>
            <w:r w:rsidR="009B0DC9" w:rsidRPr="00556156">
              <w:rPr>
                <w:noProof/>
                <w:spacing w:val="-2"/>
                <w:sz w:val="20"/>
                <w:szCs w:val="20"/>
                <w:lang w:eastAsia="en-AU"/>
              </w:rPr>
              <w:t xml:space="preserve">The </w:t>
            </w:r>
            <w:r w:rsidR="004A7DDB">
              <w:rPr>
                <w:noProof/>
                <w:spacing w:val="-2"/>
                <w:sz w:val="20"/>
                <w:szCs w:val="20"/>
                <w:lang w:eastAsia="en-AU"/>
              </w:rPr>
              <w:t>housing supply</w:t>
            </w:r>
            <w:r w:rsidR="009B0DC9" w:rsidRPr="00556156">
              <w:rPr>
                <w:noProof/>
                <w:spacing w:val="-2"/>
                <w:sz w:val="20"/>
                <w:szCs w:val="20"/>
                <w:lang w:eastAsia="en-AU"/>
              </w:rPr>
              <w:t xml:space="preserve"> </w:t>
            </w:r>
            <w:r w:rsidR="000477A2">
              <w:rPr>
                <w:noProof/>
                <w:spacing w:val="-2"/>
                <w:sz w:val="20"/>
                <w:szCs w:val="20"/>
                <w:lang w:eastAsia="en-AU"/>
              </w:rPr>
              <w:t>challenge</w:t>
            </w:r>
            <w:r w:rsidR="009B0DC9" w:rsidRPr="00556156">
              <w:rPr>
                <w:noProof/>
                <w:spacing w:val="-2"/>
                <w:sz w:val="20"/>
                <w:szCs w:val="20"/>
                <w:lang w:eastAsia="en-AU"/>
              </w:rPr>
              <w:t xml:space="preserve"> is </w:t>
            </w:r>
            <w:r w:rsidR="004A7DDB">
              <w:rPr>
                <w:noProof/>
                <w:spacing w:val="-2"/>
                <w:sz w:val="20"/>
                <w:szCs w:val="20"/>
                <w:lang w:eastAsia="en-AU"/>
              </w:rPr>
              <w:t xml:space="preserve">consistent </w:t>
            </w:r>
            <w:r w:rsidR="009B0DC9" w:rsidRPr="00556156">
              <w:rPr>
                <w:noProof/>
                <w:spacing w:val="-2"/>
                <w:sz w:val="20"/>
                <w:szCs w:val="20"/>
                <w:lang w:eastAsia="en-AU"/>
              </w:rPr>
              <w:t xml:space="preserve">across Australia, </w:t>
            </w:r>
            <w:r w:rsidR="00CA79A4">
              <w:rPr>
                <w:noProof/>
                <w:spacing w:val="-2"/>
                <w:sz w:val="20"/>
                <w:szCs w:val="20"/>
                <w:lang w:eastAsia="en-AU"/>
              </w:rPr>
              <w:t>and is refle</w:t>
            </w:r>
            <w:r w:rsidR="00BC265F">
              <w:rPr>
                <w:noProof/>
                <w:spacing w:val="-2"/>
                <w:sz w:val="20"/>
                <w:szCs w:val="20"/>
                <w:lang w:eastAsia="en-AU"/>
              </w:rPr>
              <w:t>cted in buoyant property</w:t>
            </w:r>
            <w:r w:rsidR="00CA79A4">
              <w:rPr>
                <w:noProof/>
                <w:spacing w:val="-2"/>
                <w:sz w:val="20"/>
                <w:szCs w:val="20"/>
                <w:lang w:eastAsia="en-AU"/>
              </w:rPr>
              <w:t xml:space="preserve"> prices, solid growth in rents and low r</w:t>
            </w:r>
            <w:r w:rsidR="00BC265F">
              <w:rPr>
                <w:noProof/>
                <w:spacing w:val="-2"/>
                <w:sz w:val="20"/>
                <w:szCs w:val="20"/>
                <w:lang w:eastAsia="en-AU"/>
              </w:rPr>
              <w:t>e</w:t>
            </w:r>
            <w:r w:rsidR="00CA79A4">
              <w:rPr>
                <w:noProof/>
                <w:spacing w:val="-2"/>
                <w:sz w:val="20"/>
                <w:szCs w:val="20"/>
                <w:lang w:eastAsia="en-AU"/>
              </w:rPr>
              <w:t>ntal vac</w:t>
            </w:r>
            <w:r w:rsidR="00276E71">
              <w:rPr>
                <w:noProof/>
                <w:spacing w:val="-2"/>
                <w:sz w:val="20"/>
                <w:szCs w:val="20"/>
                <w:lang w:eastAsia="en-AU"/>
              </w:rPr>
              <w:t>a</w:t>
            </w:r>
            <w:r w:rsidR="00CA79A4">
              <w:rPr>
                <w:noProof/>
                <w:spacing w:val="-2"/>
                <w:sz w:val="20"/>
                <w:szCs w:val="20"/>
                <w:lang w:eastAsia="en-AU"/>
              </w:rPr>
              <w:t>ncy rates</w:t>
            </w:r>
            <w:r w:rsidR="009B0DC9" w:rsidRPr="00556156">
              <w:rPr>
                <w:noProof/>
                <w:spacing w:val="-2"/>
                <w:sz w:val="20"/>
                <w:szCs w:val="20"/>
                <w:lang w:eastAsia="en-AU"/>
              </w:rPr>
              <w:t xml:space="preserve">. </w:t>
            </w:r>
            <w:r w:rsidR="008E36F0">
              <w:rPr>
                <w:noProof/>
                <w:spacing w:val="-2"/>
                <w:sz w:val="20"/>
                <w:szCs w:val="20"/>
                <w:lang w:eastAsia="en-AU"/>
              </w:rPr>
              <w:t>V</w:t>
            </w:r>
            <w:r w:rsidR="008E36F0" w:rsidRPr="00556156">
              <w:rPr>
                <w:noProof/>
                <w:spacing w:val="-2"/>
                <w:sz w:val="20"/>
                <w:szCs w:val="20"/>
                <w:lang w:eastAsia="en-AU"/>
              </w:rPr>
              <w:t xml:space="preserve">acancy rates have tightened since the onset of the </w:t>
            </w:r>
            <w:r w:rsidR="00CA79A4">
              <w:rPr>
                <w:noProof/>
                <w:spacing w:val="-2"/>
                <w:sz w:val="20"/>
                <w:szCs w:val="20"/>
                <w:lang w:eastAsia="en-AU"/>
              </w:rPr>
              <w:t>COVID</w:t>
            </w:r>
            <w:r w:rsidR="00CA79A4">
              <w:rPr>
                <w:noProof/>
                <w:spacing w:val="-2"/>
                <w:sz w:val="20"/>
                <w:szCs w:val="20"/>
                <w:lang w:eastAsia="en-AU"/>
              </w:rPr>
              <w:noBreakHyphen/>
              <w:t xml:space="preserve">19 </w:t>
            </w:r>
            <w:r w:rsidR="008E36F0" w:rsidRPr="00556156">
              <w:rPr>
                <w:noProof/>
                <w:spacing w:val="-2"/>
                <w:sz w:val="20"/>
                <w:szCs w:val="20"/>
                <w:lang w:eastAsia="en-AU"/>
              </w:rPr>
              <w:t xml:space="preserve">pandemic, and as at July 2023 sit at 1% in Darwin </w:t>
            </w:r>
            <w:r w:rsidR="00BC265F">
              <w:rPr>
                <w:noProof/>
                <w:spacing w:val="-2"/>
                <w:sz w:val="20"/>
                <w:szCs w:val="20"/>
                <w:lang w:eastAsia="en-AU"/>
              </w:rPr>
              <w:t xml:space="preserve">and </w:t>
            </w:r>
            <w:r w:rsidR="008E36F0" w:rsidRPr="00556156">
              <w:rPr>
                <w:noProof/>
                <w:spacing w:val="-2"/>
                <w:sz w:val="20"/>
                <w:szCs w:val="20"/>
                <w:lang w:eastAsia="en-AU"/>
              </w:rPr>
              <w:t>1.3% nationally.</w:t>
            </w:r>
            <w:r w:rsidR="008E36F0">
              <w:rPr>
                <w:noProof/>
                <w:spacing w:val="-2"/>
                <w:sz w:val="20"/>
                <w:szCs w:val="20"/>
                <w:lang w:eastAsia="en-AU"/>
              </w:rPr>
              <w:t xml:space="preserve"> </w:t>
            </w:r>
            <w:r w:rsidR="006F33B9">
              <w:rPr>
                <w:noProof/>
                <w:spacing w:val="-2"/>
                <w:sz w:val="20"/>
                <w:szCs w:val="20"/>
                <w:lang w:eastAsia="en-AU"/>
              </w:rPr>
              <w:t>L</w:t>
            </w:r>
            <w:r w:rsidR="00AE2321">
              <w:rPr>
                <w:noProof/>
                <w:spacing w:val="-2"/>
                <w:sz w:val="20"/>
                <w:szCs w:val="20"/>
                <w:lang w:eastAsia="en-AU"/>
              </w:rPr>
              <w:t xml:space="preserve">ow vacancy rates </w:t>
            </w:r>
            <w:r w:rsidR="00BC265F">
              <w:rPr>
                <w:noProof/>
                <w:spacing w:val="-2"/>
                <w:sz w:val="20"/>
                <w:szCs w:val="20"/>
                <w:lang w:eastAsia="en-AU"/>
              </w:rPr>
              <w:t>are contributing to higher rents and rental yields for investors.</w:t>
            </w:r>
            <w:r w:rsidR="00AE2321">
              <w:rPr>
                <w:noProof/>
                <w:spacing w:val="-2"/>
                <w:sz w:val="20"/>
                <w:szCs w:val="20"/>
                <w:lang w:eastAsia="en-AU"/>
              </w:rPr>
              <w:t xml:space="preserve"> </w:t>
            </w:r>
            <w:r w:rsidR="00BC265F">
              <w:rPr>
                <w:noProof/>
                <w:spacing w:val="-2"/>
                <w:sz w:val="20"/>
                <w:szCs w:val="20"/>
                <w:lang w:eastAsia="en-AU"/>
              </w:rPr>
              <w:t xml:space="preserve">Despite </w:t>
            </w:r>
            <w:r w:rsidR="005570D6">
              <w:rPr>
                <w:noProof/>
                <w:spacing w:val="-2"/>
                <w:sz w:val="20"/>
                <w:szCs w:val="20"/>
                <w:lang w:eastAsia="en-AU"/>
              </w:rPr>
              <w:t xml:space="preserve">Darwin </w:t>
            </w:r>
            <w:r w:rsidR="00BC265F">
              <w:rPr>
                <w:noProof/>
                <w:spacing w:val="-2"/>
                <w:sz w:val="20"/>
                <w:szCs w:val="20"/>
                <w:lang w:eastAsia="en-AU"/>
              </w:rPr>
              <w:t>consisten</w:t>
            </w:r>
            <w:bookmarkStart w:id="0" w:name="_GoBack"/>
            <w:bookmarkEnd w:id="0"/>
            <w:r w:rsidR="00BC265F">
              <w:rPr>
                <w:noProof/>
                <w:spacing w:val="-2"/>
                <w:sz w:val="20"/>
                <w:szCs w:val="20"/>
                <w:lang w:eastAsia="en-AU"/>
              </w:rPr>
              <w:t>tl</w:t>
            </w:r>
            <w:r w:rsidR="006C7220">
              <w:rPr>
                <w:noProof/>
                <w:spacing w:val="-2"/>
                <w:sz w:val="20"/>
                <w:szCs w:val="20"/>
                <w:lang w:eastAsia="en-AU"/>
              </w:rPr>
              <w:t>y having the highest rentail yi</w:t>
            </w:r>
            <w:r w:rsidR="00BC265F">
              <w:rPr>
                <w:noProof/>
                <w:spacing w:val="-2"/>
                <w:sz w:val="20"/>
                <w:szCs w:val="20"/>
                <w:lang w:eastAsia="en-AU"/>
              </w:rPr>
              <w:t>e</w:t>
            </w:r>
            <w:r w:rsidR="006C7220">
              <w:rPr>
                <w:noProof/>
                <w:spacing w:val="-2"/>
                <w:sz w:val="20"/>
                <w:szCs w:val="20"/>
                <w:lang w:eastAsia="en-AU"/>
              </w:rPr>
              <w:t>l</w:t>
            </w:r>
            <w:r w:rsidR="00BC265F">
              <w:rPr>
                <w:noProof/>
                <w:spacing w:val="-2"/>
                <w:sz w:val="20"/>
                <w:szCs w:val="20"/>
                <w:lang w:eastAsia="en-AU"/>
              </w:rPr>
              <w:t>ds in the nation, investor interest (see Chart 3) is muted, affected by uncertainty regarding the interest rate environment.</w:t>
            </w:r>
          </w:p>
        </w:tc>
      </w:tr>
      <w:tr w:rsidR="001337CA" w:rsidRPr="00482D19" w14:paraId="53EF8C2D" w14:textId="77777777" w:rsidTr="000A1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shd w:val="clear" w:color="auto" w:fill="auto"/>
          </w:tcPr>
          <w:p w14:paraId="7246825F" w14:textId="45F4765F" w:rsidR="009B0DC9" w:rsidRPr="00D80414" w:rsidRDefault="009B0DC9" w:rsidP="009B0DC9">
            <w:pPr>
              <w:jc w:val="center"/>
              <w:rPr>
                <w:b w:val="0"/>
                <w:bCs w:val="0"/>
                <w:sz w:val="20"/>
                <w:szCs w:val="20"/>
              </w:rPr>
            </w:pPr>
            <w:r w:rsidRPr="00D80414">
              <w:rPr>
                <w:sz w:val="20"/>
                <w:szCs w:val="20"/>
              </w:rPr>
              <w:t>Housing finance commitments</w:t>
            </w:r>
            <w:r w:rsidR="00BF1BE3">
              <w:rPr>
                <w:sz w:val="20"/>
                <w:szCs w:val="20"/>
              </w:rPr>
              <w:t xml:space="preserve"> (excl. refinancing)</w:t>
            </w:r>
          </w:p>
          <w:p w14:paraId="193C87E6" w14:textId="009D0299" w:rsidR="001337CA" w:rsidRPr="00D80414" w:rsidRDefault="009B0DC9">
            <w:pPr>
              <w:jc w:val="center"/>
              <w:rPr>
                <w:b w:val="0"/>
                <w:sz w:val="16"/>
                <w:szCs w:val="16"/>
              </w:rPr>
            </w:pPr>
            <w:r w:rsidRPr="00D80414">
              <w:rPr>
                <w:sz w:val="16"/>
                <w:szCs w:val="16"/>
              </w:rPr>
              <w:t>Y</w:t>
            </w:r>
            <w:r w:rsidR="00BF1BE3">
              <w:rPr>
                <w:sz w:val="16"/>
                <w:szCs w:val="16"/>
              </w:rPr>
              <w:t>ear-</w:t>
            </w:r>
            <w:r w:rsidRPr="00D80414">
              <w:rPr>
                <w:sz w:val="16"/>
                <w:szCs w:val="16"/>
              </w:rPr>
              <w:t>o</w:t>
            </w:r>
            <w:r w:rsidR="00BF1BE3">
              <w:rPr>
                <w:sz w:val="16"/>
                <w:szCs w:val="16"/>
              </w:rPr>
              <w:t>n-</w:t>
            </w:r>
            <w:r w:rsidRPr="00D80414">
              <w:rPr>
                <w:sz w:val="16"/>
                <w:szCs w:val="16"/>
              </w:rPr>
              <w:t>Y</w:t>
            </w:r>
            <w:r w:rsidR="00BF1BE3">
              <w:rPr>
                <w:sz w:val="16"/>
                <w:szCs w:val="16"/>
              </w:rPr>
              <w:t xml:space="preserve">ear </w:t>
            </w:r>
            <w:r w:rsidR="00005EE4">
              <w:rPr>
                <w:sz w:val="16"/>
                <w:szCs w:val="16"/>
              </w:rPr>
              <w:t>(</w:t>
            </w:r>
            <w:r w:rsidR="00BF1BE3">
              <w:rPr>
                <w:sz w:val="16"/>
                <w:szCs w:val="16"/>
              </w:rPr>
              <w:t>% change</w:t>
            </w:r>
            <w:r w:rsidR="00005EE4">
              <w:rPr>
                <w:sz w:val="16"/>
                <w:szCs w:val="16"/>
              </w:rPr>
              <w:t>)</w:t>
            </w:r>
          </w:p>
        </w:tc>
        <w:tc>
          <w:tcPr>
            <w:tcW w:w="5466" w:type="dxa"/>
            <w:shd w:val="clear" w:color="auto" w:fill="auto"/>
          </w:tcPr>
          <w:p w14:paraId="4A17C901" w14:textId="22794E19" w:rsidR="009B0DC9" w:rsidRPr="00C27FFE" w:rsidRDefault="009B0DC9" w:rsidP="009B0DC9">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EC73A2">
              <w:rPr>
                <w:b/>
                <w:sz w:val="20"/>
                <w:szCs w:val="20"/>
              </w:rPr>
              <w:t xml:space="preserve">Rental </w:t>
            </w:r>
            <w:r w:rsidR="00FF04FE">
              <w:rPr>
                <w:b/>
                <w:sz w:val="20"/>
                <w:szCs w:val="20"/>
              </w:rPr>
              <w:t>Yields</w:t>
            </w:r>
          </w:p>
          <w:p w14:paraId="364D70DD" w14:textId="2B3B13B7" w:rsidR="001337CA" w:rsidRPr="00C27FFE" w:rsidRDefault="00FF04FE" w:rsidP="000E33C4">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 xml:space="preserve">Houses, </w:t>
            </w:r>
            <w:r w:rsidR="009B0DC9" w:rsidRPr="00EC73A2">
              <w:rPr>
                <w:b/>
                <w:sz w:val="16"/>
                <w:szCs w:val="16"/>
              </w:rPr>
              <w:t>Monthly (%)</w:t>
            </w:r>
          </w:p>
        </w:tc>
      </w:tr>
      <w:tr w:rsidR="00FF6F32" w:rsidRPr="00482D19" w14:paraId="6F0888B8" w14:textId="77777777" w:rsidTr="000A1234">
        <w:tc>
          <w:tcPr>
            <w:cnfStyle w:val="001000000000" w:firstRow="0" w:lastRow="0" w:firstColumn="1" w:lastColumn="0" w:oddVBand="0" w:evenVBand="0" w:oddHBand="0" w:evenHBand="0" w:firstRowFirstColumn="0" w:firstRowLastColumn="0" w:lastRowFirstColumn="0" w:lastRowLastColumn="0"/>
            <w:tcW w:w="4962" w:type="dxa"/>
            <w:shd w:val="clear" w:color="auto" w:fill="auto"/>
          </w:tcPr>
          <w:p w14:paraId="0E2B0C7B" w14:textId="0B64D777" w:rsidR="00FF6F32" w:rsidRDefault="00364509" w:rsidP="001337CA">
            <w:pPr>
              <w:jc w:val="center"/>
              <w:rPr>
                <w:sz w:val="20"/>
                <w:szCs w:val="20"/>
              </w:rPr>
            </w:pPr>
            <w:r>
              <w:rPr>
                <w:noProof/>
                <w:sz w:val="20"/>
                <w:szCs w:val="20"/>
                <w:lang w:eastAsia="en-AU"/>
              </w:rPr>
              <w:drawing>
                <wp:inline distT="0" distB="0" distL="0" distR="0" wp14:anchorId="18B5E97A" wp14:editId="1666CA4B">
                  <wp:extent cx="2703600" cy="2487600"/>
                  <wp:effectExtent l="0" t="0" r="190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3600" cy="2487600"/>
                          </a:xfrm>
                          <a:prstGeom prst="rect">
                            <a:avLst/>
                          </a:prstGeom>
                          <a:noFill/>
                        </pic:spPr>
                      </pic:pic>
                    </a:graphicData>
                  </a:graphic>
                </wp:inline>
              </w:drawing>
            </w:r>
          </w:p>
        </w:tc>
        <w:tc>
          <w:tcPr>
            <w:tcW w:w="5466" w:type="dxa"/>
            <w:shd w:val="clear" w:color="auto" w:fill="auto"/>
          </w:tcPr>
          <w:p w14:paraId="248A771E" w14:textId="6D4FF9E9" w:rsidR="00FF6F32" w:rsidRDefault="00364509" w:rsidP="001337CA">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noProof/>
                <w:sz w:val="20"/>
                <w:szCs w:val="20"/>
                <w:lang w:eastAsia="en-AU"/>
              </w:rPr>
              <w:drawing>
                <wp:inline distT="0" distB="0" distL="0" distR="0" wp14:anchorId="5B9F096C" wp14:editId="517BF7D5">
                  <wp:extent cx="2703600" cy="2487600"/>
                  <wp:effectExtent l="0" t="0" r="190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3600" cy="2487600"/>
                          </a:xfrm>
                          <a:prstGeom prst="rect">
                            <a:avLst/>
                          </a:prstGeom>
                          <a:noFill/>
                        </pic:spPr>
                      </pic:pic>
                    </a:graphicData>
                  </a:graphic>
                </wp:inline>
              </w:drawing>
            </w:r>
          </w:p>
        </w:tc>
      </w:tr>
    </w:tbl>
    <w:p w14:paraId="40FC8A91" w14:textId="77777777" w:rsidR="00525B4A" w:rsidRDefault="00525B4A" w:rsidP="00BC265F">
      <w:pPr>
        <w:spacing w:after="0"/>
        <w:jc w:val="both"/>
        <w:rPr>
          <w:i/>
          <w:iCs/>
          <w:color w:val="808080" w:themeColor="background1" w:themeShade="80"/>
          <w:sz w:val="16"/>
          <w:szCs w:val="16"/>
        </w:rPr>
      </w:pPr>
    </w:p>
    <w:p w14:paraId="215AF235" w14:textId="16471BA7" w:rsidR="009B0DC9" w:rsidRPr="00BC265F" w:rsidRDefault="00B8103F" w:rsidP="00BC265F">
      <w:pPr>
        <w:spacing w:after="120"/>
        <w:jc w:val="both"/>
        <w:rPr>
          <w:i/>
          <w:iCs/>
          <w:sz w:val="15"/>
          <w:szCs w:val="15"/>
        </w:rPr>
      </w:pPr>
      <w:r w:rsidRPr="00BC265F">
        <w:rPr>
          <w:i/>
          <w:iCs/>
          <w:color w:val="808080" w:themeColor="background1" w:themeShade="80"/>
          <w:sz w:val="15"/>
          <w:szCs w:val="15"/>
        </w:rPr>
        <w:t>The Northern Territory of Australia exercised due care and skill to ensure that at the time of publication the information contained in this publication is true and correct. However, it is not intended to be relied on as professional advice or used for commercial purposes. The Territory gives no warranty or assurances as to the accuracy of the information contained in the publication and to the maximum extent permitted by law accepts no direct or indirect liability for reliance on its content</w:t>
      </w:r>
      <w:r w:rsidRPr="00BC265F">
        <w:rPr>
          <w:i/>
          <w:iCs/>
          <w:sz w:val="15"/>
          <w:szCs w:val="15"/>
        </w:rPr>
        <w:t>.</w:t>
      </w:r>
    </w:p>
    <w:sectPr w:rsidR="009B0DC9" w:rsidRPr="00BC265F" w:rsidSect="006727B6">
      <w:headerReference w:type="default" r:id="rId13"/>
      <w:footerReference w:type="default" r:id="rId14"/>
      <w:headerReference w:type="first" r:id="rId15"/>
      <w:footerReference w:type="first" r:id="rId16"/>
      <w:pgSz w:w="11906" w:h="16838" w:code="9"/>
      <w:pgMar w:top="426" w:right="794" w:bottom="142" w:left="794" w:header="680" w:footer="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7F8C4" w14:textId="77777777" w:rsidR="00EB7ACC" w:rsidRDefault="00EB7ACC" w:rsidP="007332FF">
      <w:r>
        <w:separator/>
      </w:r>
    </w:p>
  </w:endnote>
  <w:endnote w:type="continuationSeparator" w:id="0">
    <w:p w14:paraId="5A0C1365" w14:textId="77777777" w:rsidR="00EB7ACC" w:rsidRDefault="00EB7ACC"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0AC70" w14:textId="77777777" w:rsidR="00EB7ACC" w:rsidRPr="00DD607E" w:rsidRDefault="00EB7ACC" w:rsidP="00450636">
    <w:pPr>
      <w:spacing w:after="0"/>
      <w:rPr>
        <w:sz w:val="4"/>
        <w:szCs w:val="4"/>
      </w:rPr>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EB7ACC" w:rsidRPr="00132658" w14:paraId="76144F35" w14:textId="77777777" w:rsidTr="00DD607E">
      <w:trPr>
        <w:cantSplit/>
        <w:trHeight w:hRule="exact" w:val="850"/>
      </w:trPr>
      <w:tc>
        <w:tcPr>
          <w:tcW w:w="10318" w:type="dxa"/>
          <w:vAlign w:val="center"/>
        </w:tcPr>
        <w:p w14:paraId="47143647" w14:textId="31EFF08C" w:rsidR="00EB7ACC" w:rsidRDefault="00EB7ACC" w:rsidP="00DD607E">
          <w:pPr>
            <w:spacing w:after="0"/>
            <w:rPr>
              <w:rStyle w:val="PageNumber"/>
              <w:b/>
            </w:rPr>
          </w:pPr>
          <w:r>
            <w:rPr>
              <w:rStyle w:val="PageNumber"/>
            </w:rPr>
            <w:t xml:space="preserve">Department of </w:t>
          </w:r>
          <w:sdt>
            <w:sdtPr>
              <w:rPr>
                <w:rStyle w:val="PageNumber"/>
                <w:b/>
              </w:rPr>
              <w:alias w:val="Company"/>
              <w:tag w:val=""/>
              <w:id w:val="-1210098654"/>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Industry, Tourism and Trade</w:t>
              </w:r>
            </w:sdtContent>
          </w:sdt>
        </w:p>
        <w:p w14:paraId="6D7329B7" w14:textId="5D47487B" w:rsidR="00EB7ACC" w:rsidRPr="00AC4488" w:rsidRDefault="00AA1E59" w:rsidP="00DD607E">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3-09-29T00:00:00Z">
                <w:dateFormat w:val="d MMMM yyyy"/>
                <w:lid w:val="en-AU"/>
                <w:storeMappedDataAs w:val="dateTime"/>
                <w:calendar w:val="gregorian"/>
              </w:date>
            </w:sdtPr>
            <w:sdtEndPr>
              <w:rPr>
                <w:rStyle w:val="PageNumber"/>
              </w:rPr>
            </w:sdtEndPr>
            <w:sdtContent>
              <w:r w:rsidR="00CF627A">
                <w:rPr>
                  <w:rStyle w:val="PageNumber"/>
                </w:rPr>
                <w:t>29 September 2023</w:t>
              </w:r>
            </w:sdtContent>
          </w:sdt>
          <w:r w:rsidR="00EB7ACC" w:rsidRPr="00CE6614">
            <w:rPr>
              <w:rStyle w:val="PageNumber"/>
            </w:rPr>
            <w:t xml:space="preserve"> | </w:t>
          </w:r>
          <w:r w:rsidR="00EB7ACC" w:rsidRPr="00AC4488">
            <w:rPr>
              <w:rStyle w:val="PageNumber"/>
            </w:rPr>
            <w:t xml:space="preserve">Page </w:t>
          </w:r>
          <w:r w:rsidR="00EB7ACC" w:rsidRPr="00AC4488">
            <w:rPr>
              <w:rStyle w:val="PageNumber"/>
            </w:rPr>
            <w:fldChar w:fldCharType="begin"/>
          </w:r>
          <w:r w:rsidR="00EB7ACC" w:rsidRPr="00AC4488">
            <w:rPr>
              <w:rStyle w:val="PageNumber"/>
            </w:rPr>
            <w:instrText xml:space="preserve"> PAGE  \* Arabic  \* MERGEFORMAT </w:instrText>
          </w:r>
          <w:r w:rsidR="00EB7ACC" w:rsidRPr="00AC4488">
            <w:rPr>
              <w:rStyle w:val="PageNumber"/>
            </w:rPr>
            <w:fldChar w:fldCharType="separate"/>
          </w:r>
          <w:r>
            <w:rPr>
              <w:rStyle w:val="PageNumber"/>
              <w:noProof/>
            </w:rPr>
            <w:t>2</w:t>
          </w:r>
          <w:r w:rsidR="00EB7ACC" w:rsidRPr="00AC4488">
            <w:rPr>
              <w:rStyle w:val="PageNumber"/>
            </w:rPr>
            <w:fldChar w:fldCharType="end"/>
          </w:r>
          <w:r w:rsidR="00EB7ACC" w:rsidRPr="00AC4488">
            <w:rPr>
              <w:rStyle w:val="PageNumber"/>
            </w:rPr>
            <w:t xml:space="preserve"> of </w:t>
          </w:r>
          <w:r w:rsidR="00EB7ACC" w:rsidRPr="00AC4488">
            <w:rPr>
              <w:rStyle w:val="PageNumber"/>
            </w:rPr>
            <w:fldChar w:fldCharType="begin"/>
          </w:r>
          <w:r w:rsidR="00EB7ACC" w:rsidRPr="00AC4488">
            <w:rPr>
              <w:rStyle w:val="PageNumber"/>
            </w:rPr>
            <w:instrText xml:space="preserve"> NUMPAGES  \* Arabic  \* MERGEFORMAT </w:instrText>
          </w:r>
          <w:r w:rsidR="00EB7ACC" w:rsidRPr="00AC4488">
            <w:rPr>
              <w:rStyle w:val="PageNumber"/>
            </w:rPr>
            <w:fldChar w:fldCharType="separate"/>
          </w:r>
          <w:r>
            <w:rPr>
              <w:rStyle w:val="PageNumber"/>
              <w:noProof/>
            </w:rPr>
            <w:t>2</w:t>
          </w:r>
          <w:r w:rsidR="00EB7ACC" w:rsidRPr="00AC4488">
            <w:rPr>
              <w:rStyle w:val="PageNumber"/>
            </w:rPr>
            <w:fldChar w:fldCharType="end"/>
          </w:r>
        </w:p>
      </w:tc>
    </w:tr>
  </w:tbl>
  <w:p w14:paraId="042F9CAB" w14:textId="77777777" w:rsidR="00EB7ACC" w:rsidRPr="00B11C67" w:rsidRDefault="00EB7ACC"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9771F" w14:textId="77777777" w:rsidR="00EB7ACC" w:rsidRPr="00DD607E" w:rsidRDefault="00EB7ACC" w:rsidP="0071700C">
    <w:pPr>
      <w:spacing w:after="0"/>
      <w:rPr>
        <w:sz w:val="4"/>
        <w:szCs w:val="4"/>
      </w:rPr>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EB7ACC" w:rsidRPr="00132658" w14:paraId="06641354" w14:textId="77777777" w:rsidTr="00DD607E">
      <w:trPr>
        <w:cantSplit/>
        <w:trHeight w:hRule="exact" w:val="1134"/>
      </w:trPr>
      <w:tc>
        <w:tcPr>
          <w:tcW w:w="7767" w:type="dxa"/>
          <w:vAlign w:val="center"/>
        </w:tcPr>
        <w:p w14:paraId="53DBAA4A" w14:textId="7BDEE23F" w:rsidR="00EB7ACC" w:rsidRDefault="00EB7ACC" w:rsidP="00DD607E">
          <w:pPr>
            <w:spacing w:after="0"/>
            <w:rPr>
              <w:rStyle w:val="PageNumber"/>
              <w:b/>
            </w:rPr>
          </w:pPr>
          <w:r>
            <w:rPr>
              <w:rStyle w:val="PageNumber"/>
            </w:rPr>
            <w:t xml:space="preserve">Department of </w:t>
          </w: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Industry, Tourism and Trade</w:t>
              </w:r>
            </w:sdtContent>
          </w:sdt>
        </w:p>
        <w:p w14:paraId="2D20C468" w14:textId="46813E18" w:rsidR="00EB7ACC" w:rsidRPr="00CE30CF" w:rsidRDefault="00AA1E59" w:rsidP="00444DBF">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3-09-29T00:00:00Z">
                <w:dateFormat w:val="d MMMM yyyy"/>
                <w:lid w:val="en-AU"/>
                <w:storeMappedDataAs w:val="dateTime"/>
                <w:calendar w:val="gregorian"/>
              </w:date>
            </w:sdtPr>
            <w:sdtEndPr>
              <w:rPr>
                <w:rStyle w:val="PageNumber"/>
              </w:rPr>
            </w:sdtEndPr>
            <w:sdtContent>
              <w:r w:rsidR="00CF627A">
                <w:rPr>
                  <w:rStyle w:val="PageNumber"/>
                </w:rPr>
                <w:t>29 September 2023</w:t>
              </w:r>
            </w:sdtContent>
          </w:sdt>
          <w:r w:rsidR="00EB7ACC" w:rsidRPr="00CE6614">
            <w:rPr>
              <w:rStyle w:val="PageNumber"/>
            </w:rPr>
            <w:t xml:space="preserve"> </w:t>
          </w:r>
          <w:r w:rsidR="00EB7ACC">
            <w:rPr>
              <w:rStyle w:val="PageNumber"/>
            </w:rPr>
            <w:t xml:space="preserve">| </w:t>
          </w:r>
          <w:r w:rsidR="00EB7ACC" w:rsidRPr="00AC4488">
            <w:rPr>
              <w:rStyle w:val="PageNumber"/>
            </w:rPr>
            <w:t xml:space="preserve">Page </w:t>
          </w:r>
          <w:r w:rsidR="00EB7ACC" w:rsidRPr="00AC4488">
            <w:rPr>
              <w:rStyle w:val="PageNumber"/>
            </w:rPr>
            <w:fldChar w:fldCharType="begin"/>
          </w:r>
          <w:r w:rsidR="00EB7ACC" w:rsidRPr="00AC4488">
            <w:rPr>
              <w:rStyle w:val="PageNumber"/>
            </w:rPr>
            <w:instrText xml:space="preserve"> PAGE  \* Arabic  \* MERGEFORMAT </w:instrText>
          </w:r>
          <w:r w:rsidR="00EB7ACC" w:rsidRPr="00AC4488">
            <w:rPr>
              <w:rStyle w:val="PageNumber"/>
            </w:rPr>
            <w:fldChar w:fldCharType="separate"/>
          </w:r>
          <w:r>
            <w:rPr>
              <w:rStyle w:val="PageNumber"/>
              <w:noProof/>
            </w:rPr>
            <w:t>1</w:t>
          </w:r>
          <w:r w:rsidR="00EB7ACC" w:rsidRPr="00AC4488">
            <w:rPr>
              <w:rStyle w:val="PageNumber"/>
            </w:rPr>
            <w:fldChar w:fldCharType="end"/>
          </w:r>
          <w:r w:rsidR="00EB7ACC" w:rsidRPr="00AC4488">
            <w:rPr>
              <w:rStyle w:val="PageNumber"/>
            </w:rPr>
            <w:t xml:space="preserve"> of </w:t>
          </w:r>
          <w:r w:rsidR="00EB7ACC" w:rsidRPr="00AC4488">
            <w:rPr>
              <w:rStyle w:val="PageNumber"/>
            </w:rPr>
            <w:fldChar w:fldCharType="begin"/>
          </w:r>
          <w:r w:rsidR="00EB7ACC" w:rsidRPr="00AC4488">
            <w:rPr>
              <w:rStyle w:val="PageNumber"/>
            </w:rPr>
            <w:instrText xml:space="preserve"> NUMPAGES  \* Arabic  \* MERGEFORMAT </w:instrText>
          </w:r>
          <w:r w:rsidR="00EB7ACC" w:rsidRPr="00AC4488">
            <w:rPr>
              <w:rStyle w:val="PageNumber"/>
            </w:rPr>
            <w:fldChar w:fldCharType="separate"/>
          </w:r>
          <w:r>
            <w:rPr>
              <w:rStyle w:val="PageNumber"/>
              <w:noProof/>
            </w:rPr>
            <w:t>2</w:t>
          </w:r>
          <w:r w:rsidR="00EB7ACC" w:rsidRPr="00AC4488">
            <w:rPr>
              <w:rStyle w:val="PageNumber"/>
            </w:rPr>
            <w:fldChar w:fldCharType="end"/>
          </w:r>
        </w:p>
      </w:tc>
      <w:tc>
        <w:tcPr>
          <w:tcW w:w="2551" w:type="dxa"/>
          <w:vAlign w:val="bottom"/>
        </w:tcPr>
        <w:p w14:paraId="5D1B965B" w14:textId="77777777" w:rsidR="00EB7ACC" w:rsidRPr="001E14EB" w:rsidRDefault="00EB7ACC" w:rsidP="0071700C">
          <w:pPr>
            <w:spacing w:after="0"/>
            <w:jc w:val="right"/>
          </w:pPr>
          <w:r>
            <w:rPr>
              <w:noProof/>
              <w:lang w:eastAsia="en-AU"/>
            </w:rPr>
            <w:drawing>
              <wp:inline distT="0" distB="0" distL="0" distR="0" wp14:anchorId="6278F0C3" wp14:editId="54B9576F">
                <wp:extent cx="1572479" cy="561600"/>
                <wp:effectExtent l="0" t="0" r="8890" b="0"/>
                <wp:docPr id="8" name="Picture 8"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48463111" w14:textId="77777777" w:rsidR="00EB7ACC" w:rsidRPr="00661BE1" w:rsidRDefault="00EB7ACC"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0B723" w14:textId="77777777" w:rsidR="00EB7ACC" w:rsidRDefault="00EB7ACC" w:rsidP="007332FF">
      <w:r>
        <w:separator/>
      </w:r>
    </w:p>
  </w:footnote>
  <w:footnote w:type="continuationSeparator" w:id="0">
    <w:p w14:paraId="3DEC5E53" w14:textId="77777777" w:rsidR="00EB7ACC" w:rsidRDefault="00EB7ACC"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07D10" w14:textId="22B5D67F" w:rsidR="00EB7ACC" w:rsidRPr="00162207" w:rsidRDefault="00AA1E59"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005EE4">
          <w:t>State of the Economy – June Q 2023</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spacing w:val="-2"/>
        <w:sz w:val="56"/>
        <w:szCs w:val="56"/>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7B59E8FA" w14:textId="08145423" w:rsidR="00EB7ACC" w:rsidRDefault="00005EE4" w:rsidP="0008691E">
        <w:pPr>
          <w:pStyle w:val="Title"/>
          <w:spacing w:after="120"/>
        </w:pPr>
        <w:r w:rsidRPr="000E599A">
          <w:rPr>
            <w:rStyle w:val="TitleChar"/>
            <w:spacing w:val="-2"/>
            <w:sz w:val="56"/>
            <w:szCs w:val="56"/>
          </w:rPr>
          <w:t>State of the Economy – June Q 2023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D0744AE"/>
    <w:multiLevelType w:val="multilevel"/>
    <w:tmpl w:val="3E5E177A"/>
    <w:name w:val="NTG Table Bullet List3222322"/>
    <w:numStyleLink w:val="Tablenumberlist"/>
  </w:abstractNum>
  <w:abstractNum w:abstractNumId="20"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1520E7"/>
    <w:multiLevelType w:val="multilevel"/>
    <w:tmpl w:val="4E6AC8F6"/>
    <w:numStyleLink w:val="Numberlist"/>
  </w:abstractNum>
  <w:abstractNum w:abstractNumId="2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8"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693641"/>
    <w:multiLevelType w:val="multilevel"/>
    <w:tmpl w:val="3E5E177A"/>
    <w:name w:val="NTG Table Bullet List33"/>
    <w:numStyleLink w:val="Tablenumberlist"/>
  </w:abstractNum>
  <w:abstractNum w:abstractNumId="30" w15:restartNumberingAfterBreak="0">
    <w:nsid w:val="2EF077BC"/>
    <w:multiLevelType w:val="multilevel"/>
    <w:tmpl w:val="0C78A7AC"/>
    <w:name w:val="NTG Table Bullet List33222222222222222222"/>
    <w:numStyleLink w:val="Tablebulletlist"/>
  </w:abstractNum>
  <w:abstractNum w:abstractNumId="31"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2" w15:restartNumberingAfterBreak="0">
    <w:nsid w:val="32DF44DA"/>
    <w:multiLevelType w:val="multilevel"/>
    <w:tmpl w:val="3E5E177A"/>
    <w:name w:val="NTG Table Bullet List3222323"/>
    <w:numStyleLink w:val="Tablenumberlist"/>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6"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7" w15:restartNumberingAfterBreak="0">
    <w:nsid w:val="3BE61945"/>
    <w:multiLevelType w:val="multilevel"/>
    <w:tmpl w:val="3928FD02"/>
    <w:name w:val="NTG Table Bullet List332222222222222222"/>
    <w:numStyleLink w:val="Bulletlist"/>
  </w:abstractNum>
  <w:abstractNum w:abstractNumId="38"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1"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9FD3A20"/>
    <w:multiLevelType w:val="multilevel"/>
    <w:tmpl w:val="3E5E177A"/>
    <w:name w:val="NTG Table Bullet List3322222222222"/>
    <w:numStyleLink w:val="Tablenumberlist"/>
  </w:abstractNum>
  <w:abstractNum w:abstractNumId="4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5"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6"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3842BC6"/>
    <w:multiLevelType w:val="multilevel"/>
    <w:tmpl w:val="0C78A7AC"/>
    <w:numStyleLink w:val="Tablebulletlist"/>
  </w:abstractNum>
  <w:abstractNum w:abstractNumId="4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0"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1" w15:restartNumberingAfterBreak="0">
    <w:nsid w:val="56DA2CAE"/>
    <w:multiLevelType w:val="multilevel"/>
    <w:tmpl w:val="3E5E177A"/>
    <w:name w:val="NTG Table Bullet List332222222222222"/>
    <w:numStyleLink w:val="Tablenumberlist"/>
  </w:abstractNum>
  <w:abstractNum w:abstractNumId="52" w15:restartNumberingAfterBreak="0">
    <w:nsid w:val="583359D9"/>
    <w:multiLevelType w:val="multilevel"/>
    <w:tmpl w:val="3E5E177A"/>
    <w:name w:val="NTG Table Bullet List332222222"/>
    <w:numStyleLink w:val="Tablenumberlist"/>
  </w:abstractNum>
  <w:abstractNum w:abstractNumId="53"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4"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8E21323"/>
    <w:multiLevelType w:val="multilevel"/>
    <w:tmpl w:val="4E6AC8F6"/>
    <w:numStyleLink w:val="Numberlist"/>
  </w:abstractNum>
  <w:abstractNum w:abstractNumId="56" w15:restartNumberingAfterBreak="0">
    <w:nsid w:val="5B9A5FFE"/>
    <w:multiLevelType w:val="multilevel"/>
    <w:tmpl w:val="0C78A7AC"/>
    <w:name w:val="NTG Table Bullet List33222222222222"/>
    <w:numStyleLink w:val="Tablebulletlist"/>
  </w:abstractNum>
  <w:abstractNum w:abstractNumId="57" w15:restartNumberingAfterBreak="0">
    <w:nsid w:val="5D444259"/>
    <w:multiLevelType w:val="multilevel"/>
    <w:tmpl w:val="0C78A7AC"/>
    <w:name w:val="NTG Table Bullet List332222"/>
    <w:numStyleLink w:val="Tablebulletlist"/>
  </w:abstractNum>
  <w:abstractNum w:abstractNumId="58"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9"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1"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3"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9262556"/>
    <w:multiLevelType w:val="multilevel"/>
    <w:tmpl w:val="3E5E177A"/>
    <w:name w:val="NTG Table Bullet List3322222222222222"/>
    <w:numStyleLink w:val="Tablenumberlist"/>
  </w:abstractNum>
  <w:abstractNum w:abstractNumId="65"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453664D"/>
    <w:multiLevelType w:val="multilevel"/>
    <w:tmpl w:val="0C78A7AC"/>
    <w:name w:val="NTG Table Bullet List3322222222222222222"/>
    <w:numStyleLink w:val="Tablebulletlist"/>
  </w:abstractNum>
  <w:abstractNum w:abstractNumId="68" w15:restartNumberingAfterBreak="0">
    <w:nsid w:val="76141D1E"/>
    <w:multiLevelType w:val="multilevel"/>
    <w:tmpl w:val="0C78A7AC"/>
    <w:name w:val="NTG Table Bullet List332222222222"/>
    <w:numStyleLink w:val="Tablebulletlist"/>
  </w:abstractNum>
  <w:abstractNum w:abstractNumId="69" w15:restartNumberingAfterBreak="0">
    <w:nsid w:val="765A32D4"/>
    <w:multiLevelType w:val="multilevel"/>
    <w:tmpl w:val="4E6AC8F6"/>
    <w:numStyleLink w:val="Numberlist"/>
  </w:abstractNum>
  <w:abstractNum w:abstractNumId="70"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3"/>
  </w:num>
  <w:num w:numId="2">
    <w:abstractNumId w:val="21"/>
  </w:num>
  <w:num w:numId="3">
    <w:abstractNumId w:val="71"/>
  </w:num>
  <w:num w:numId="4">
    <w:abstractNumId w:val="43"/>
  </w:num>
  <w:num w:numId="5">
    <w:abstractNumId w:val="27"/>
  </w:num>
  <w:num w:numId="6">
    <w:abstractNumId w:val="15"/>
  </w:num>
  <w:num w:numId="7">
    <w:abstractNumId w:val="48"/>
  </w:num>
  <w:num w:numId="8">
    <w:abstractNumId w:val="24"/>
  </w:num>
  <w:num w:numId="9">
    <w:abstractNumId w:val="55"/>
  </w:num>
  <w:num w:numId="10">
    <w:abstractNumId w:val="20"/>
  </w:num>
  <w:num w:numId="11">
    <w:abstractNumId w:val="61"/>
  </w:num>
  <w:num w:numId="12">
    <w:abstractNumId w:val="17"/>
  </w:num>
  <w:num w:numId="13">
    <w:abstractNumId w:val="1"/>
  </w:num>
  <w:num w:numId="14">
    <w:abstractNumId w:val="59"/>
  </w:num>
  <w:num w:numId="15">
    <w:abstractNumId w:val="26"/>
  </w:num>
  <w:num w:numId="16">
    <w:abstractNumId w:val="60"/>
  </w:num>
  <w:num w:numId="17">
    <w:abstractNumId w:val="69"/>
  </w:num>
  <w:num w:numId="18">
    <w:abstractNumId w:val="54"/>
  </w:num>
  <w:num w:numId="19">
    <w:abstractNumId w:val="46"/>
  </w:num>
  <w:num w:numId="20">
    <w:abstractNumId w:val="50"/>
  </w:num>
  <w:num w:numId="21">
    <w:abstractNumId w:val="38"/>
  </w:num>
  <w:num w:numId="22">
    <w:abstractNumId w:val="53"/>
  </w:num>
  <w:num w:numId="23">
    <w:abstractNumId w:val="45"/>
  </w:num>
  <w:num w:numId="24">
    <w:abstractNumId w:val="40"/>
  </w:num>
  <w:num w:numId="25">
    <w:abstractNumId w:val="36"/>
  </w:num>
  <w:num w:numId="26">
    <w:abstractNumId w:val="10"/>
  </w:num>
  <w:num w:numId="27">
    <w:abstractNumId w:val="70"/>
  </w:num>
  <w:num w:numId="28">
    <w:abstractNumId w:val="35"/>
  </w:num>
  <w:num w:numId="29">
    <w:abstractNumId w:val="28"/>
  </w:num>
  <w:num w:numId="30">
    <w:abstractNumId w:val="0"/>
  </w:num>
  <w:num w:numId="31">
    <w:abstractNumId w:val="39"/>
  </w:num>
  <w:num w:numId="32">
    <w:abstractNumId w:val="9"/>
  </w:num>
  <w:num w:numId="33">
    <w:abstractNumId w:val="62"/>
  </w:num>
  <w:num w:numId="34">
    <w:abstractNumId w:val="31"/>
  </w:num>
  <w:num w:numId="35">
    <w:abstractNumId w:val="47"/>
  </w:num>
  <w:num w:numId="36">
    <w:abstractNumId w:val="63"/>
  </w:num>
  <w:num w:numId="37">
    <w:abstractNumId w:val="65"/>
  </w:num>
  <w:num w:numId="38">
    <w:abstractNumId w:val="14"/>
  </w:num>
  <w:num w:numId="39">
    <w:abstractNumId w:val="25"/>
  </w:num>
  <w:num w:numId="40">
    <w:abstractNumId w:val="66"/>
  </w:num>
  <w:num w:numId="41">
    <w:abstractNumId w:val="2"/>
  </w:num>
  <w:num w:numId="42">
    <w:abstractNumId w:val="58"/>
  </w:num>
  <w:num w:numId="43">
    <w:abstractNumId w:val="11"/>
  </w:num>
  <w:num w:numId="44">
    <w:abstractNumId w:val="34"/>
  </w:num>
  <w:num w:numId="45">
    <w:abstractNumId w:val="41"/>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9C"/>
    <w:rsid w:val="00000AF0"/>
    <w:rsid w:val="00001C92"/>
    <w:rsid w:val="00001D51"/>
    <w:rsid w:val="00001DDF"/>
    <w:rsid w:val="0000322D"/>
    <w:rsid w:val="00005EE4"/>
    <w:rsid w:val="00007670"/>
    <w:rsid w:val="00010665"/>
    <w:rsid w:val="00011E6B"/>
    <w:rsid w:val="0001581A"/>
    <w:rsid w:val="00017A14"/>
    <w:rsid w:val="000204DB"/>
    <w:rsid w:val="0002393A"/>
    <w:rsid w:val="0002438A"/>
    <w:rsid w:val="000246C7"/>
    <w:rsid w:val="00027DB8"/>
    <w:rsid w:val="00031A96"/>
    <w:rsid w:val="00032AFD"/>
    <w:rsid w:val="00032B0B"/>
    <w:rsid w:val="0003465A"/>
    <w:rsid w:val="0003699C"/>
    <w:rsid w:val="00040BF3"/>
    <w:rsid w:val="00040D2C"/>
    <w:rsid w:val="0004211C"/>
    <w:rsid w:val="00042768"/>
    <w:rsid w:val="00042E05"/>
    <w:rsid w:val="0004508D"/>
    <w:rsid w:val="00046C59"/>
    <w:rsid w:val="000477A2"/>
    <w:rsid w:val="00050164"/>
    <w:rsid w:val="00051362"/>
    <w:rsid w:val="00051BFD"/>
    <w:rsid w:val="00051F45"/>
    <w:rsid w:val="00052953"/>
    <w:rsid w:val="00053312"/>
    <w:rsid w:val="00053336"/>
    <w:rsid w:val="0005341A"/>
    <w:rsid w:val="0005591A"/>
    <w:rsid w:val="00056DEF"/>
    <w:rsid w:val="00056EDC"/>
    <w:rsid w:val="000576D2"/>
    <w:rsid w:val="00060C85"/>
    <w:rsid w:val="00062862"/>
    <w:rsid w:val="000641B1"/>
    <w:rsid w:val="0006635A"/>
    <w:rsid w:val="000669A1"/>
    <w:rsid w:val="00067C3D"/>
    <w:rsid w:val="000720BE"/>
    <w:rsid w:val="0007259C"/>
    <w:rsid w:val="00073494"/>
    <w:rsid w:val="0007388D"/>
    <w:rsid w:val="0007719F"/>
    <w:rsid w:val="000775CB"/>
    <w:rsid w:val="000801B3"/>
    <w:rsid w:val="00080202"/>
    <w:rsid w:val="00080DCD"/>
    <w:rsid w:val="00080E22"/>
    <w:rsid w:val="00082573"/>
    <w:rsid w:val="000840A3"/>
    <w:rsid w:val="00085062"/>
    <w:rsid w:val="00085B4D"/>
    <w:rsid w:val="0008691E"/>
    <w:rsid w:val="00086A5F"/>
    <w:rsid w:val="0008798A"/>
    <w:rsid w:val="000911EF"/>
    <w:rsid w:val="000962C5"/>
    <w:rsid w:val="00097865"/>
    <w:rsid w:val="000A1234"/>
    <w:rsid w:val="000A24B2"/>
    <w:rsid w:val="000A4317"/>
    <w:rsid w:val="000A439F"/>
    <w:rsid w:val="000A559C"/>
    <w:rsid w:val="000A57C7"/>
    <w:rsid w:val="000A6DA4"/>
    <w:rsid w:val="000B2CA1"/>
    <w:rsid w:val="000C1538"/>
    <w:rsid w:val="000C1A5B"/>
    <w:rsid w:val="000C344D"/>
    <w:rsid w:val="000D04AF"/>
    <w:rsid w:val="000D0C98"/>
    <w:rsid w:val="000D1F29"/>
    <w:rsid w:val="000D4503"/>
    <w:rsid w:val="000D4C48"/>
    <w:rsid w:val="000D633D"/>
    <w:rsid w:val="000D63B5"/>
    <w:rsid w:val="000E2753"/>
    <w:rsid w:val="000E33C4"/>
    <w:rsid w:val="000E342B"/>
    <w:rsid w:val="000E3847"/>
    <w:rsid w:val="000E3ED2"/>
    <w:rsid w:val="000E599A"/>
    <w:rsid w:val="000E5DD2"/>
    <w:rsid w:val="000F00A7"/>
    <w:rsid w:val="000F2958"/>
    <w:rsid w:val="000F3850"/>
    <w:rsid w:val="000F4762"/>
    <w:rsid w:val="000F604F"/>
    <w:rsid w:val="000F6F78"/>
    <w:rsid w:val="000F7863"/>
    <w:rsid w:val="00102EC4"/>
    <w:rsid w:val="001034F8"/>
    <w:rsid w:val="00104E7F"/>
    <w:rsid w:val="001070D5"/>
    <w:rsid w:val="001137EC"/>
    <w:rsid w:val="001152F5"/>
    <w:rsid w:val="00117743"/>
    <w:rsid w:val="00117F5B"/>
    <w:rsid w:val="00120E95"/>
    <w:rsid w:val="00121EF2"/>
    <w:rsid w:val="001319FB"/>
    <w:rsid w:val="00132658"/>
    <w:rsid w:val="001330EE"/>
    <w:rsid w:val="001337CA"/>
    <w:rsid w:val="001356E5"/>
    <w:rsid w:val="00141DA4"/>
    <w:rsid w:val="00144FB9"/>
    <w:rsid w:val="00145247"/>
    <w:rsid w:val="00150DC0"/>
    <w:rsid w:val="0015394D"/>
    <w:rsid w:val="00156BE0"/>
    <w:rsid w:val="00156CD4"/>
    <w:rsid w:val="00157B87"/>
    <w:rsid w:val="0016153B"/>
    <w:rsid w:val="00162207"/>
    <w:rsid w:val="00164A3E"/>
    <w:rsid w:val="00165169"/>
    <w:rsid w:val="001659F6"/>
    <w:rsid w:val="00166FF6"/>
    <w:rsid w:val="001713EA"/>
    <w:rsid w:val="001717BC"/>
    <w:rsid w:val="00173D4E"/>
    <w:rsid w:val="00176123"/>
    <w:rsid w:val="00181620"/>
    <w:rsid w:val="001823F3"/>
    <w:rsid w:val="00186D0A"/>
    <w:rsid w:val="00186E76"/>
    <w:rsid w:val="00187130"/>
    <w:rsid w:val="001957AD"/>
    <w:rsid w:val="00196053"/>
    <w:rsid w:val="00196F8E"/>
    <w:rsid w:val="001A2B7F"/>
    <w:rsid w:val="001A3AFD"/>
    <w:rsid w:val="001A496C"/>
    <w:rsid w:val="001A576A"/>
    <w:rsid w:val="001A5CF0"/>
    <w:rsid w:val="001B25F5"/>
    <w:rsid w:val="001B28DA"/>
    <w:rsid w:val="001B2B6C"/>
    <w:rsid w:val="001C0CA4"/>
    <w:rsid w:val="001C31C6"/>
    <w:rsid w:val="001C3AD0"/>
    <w:rsid w:val="001C5C22"/>
    <w:rsid w:val="001D01C4"/>
    <w:rsid w:val="001D13F9"/>
    <w:rsid w:val="001D4F99"/>
    <w:rsid w:val="001D52B0"/>
    <w:rsid w:val="001D5A18"/>
    <w:rsid w:val="001D5FAC"/>
    <w:rsid w:val="001D7CA4"/>
    <w:rsid w:val="001E057F"/>
    <w:rsid w:val="001E14B0"/>
    <w:rsid w:val="001E14EB"/>
    <w:rsid w:val="001E48F1"/>
    <w:rsid w:val="001E6821"/>
    <w:rsid w:val="001F2C24"/>
    <w:rsid w:val="001F59E6"/>
    <w:rsid w:val="001F5EDA"/>
    <w:rsid w:val="001F74D7"/>
    <w:rsid w:val="00200EFE"/>
    <w:rsid w:val="00201A37"/>
    <w:rsid w:val="00203F1C"/>
    <w:rsid w:val="0020517E"/>
    <w:rsid w:val="002054D0"/>
    <w:rsid w:val="00206936"/>
    <w:rsid w:val="00206C6F"/>
    <w:rsid w:val="00206FBD"/>
    <w:rsid w:val="00207746"/>
    <w:rsid w:val="002102E5"/>
    <w:rsid w:val="00210C9C"/>
    <w:rsid w:val="00215B99"/>
    <w:rsid w:val="00220CAC"/>
    <w:rsid w:val="00222195"/>
    <w:rsid w:val="00223374"/>
    <w:rsid w:val="0022537F"/>
    <w:rsid w:val="00230031"/>
    <w:rsid w:val="00235C01"/>
    <w:rsid w:val="00240BD3"/>
    <w:rsid w:val="002456A4"/>
    <w:rsid w:val="00247343"/>
    <w:rsid w:val="00257981"/>
    <w:rsid w:val="00260660"/>
    <w:rsid w:val="0026162A"/>
    <w:rsid w:val="002644AF"/>
    <w:rsid w:val="00265C56"/>
    <w:rsid w:val="00265E14"/>
    <w:rsid w:val="0027159D"/>
    <w:rsid w:val="002716CD"/>
    <w:rsid w:val="0027337A"/>
    <w:rsid w:val="00274D4B"/>
    <w:rsid w:val="00275972"/>
    <w:rsid w:val="00276E71"/>
    <w:rsid w:val="002806F5"/>
    <w:rsid w:val="00281577"/>
    <w:rsid w:val="00284024"/>
    <w:rsid w:val="00287D73"/>
    <w:rsid w:val="00290388"/>
    <w:rsid w:val="002926BC"/>
    <w:rsid w:val="00292F85"/>
    <w:rsid w:val="00293A72"/>
    <w:rsid w:val="002A0160"/>
    <w:rsid w:val="002A0924"/>
    <w:rsid w:val="002A30C3"/>
    <w:rsid w:val="002A553D"/>
    <w:rsid w:val="002A6F6A"/>
    <w:rsid w:val="002A7712"/>
    <w:rsid w:val="002B0BD5"/>
    <w:rsid w:val="002B38F7"/>
    <w:rsid w:val="002B4F50"/>
    <w:rsid w:val="002B5591"/>
    <w:rsid w:val="002B6454"/>
    <w:rsid w:val="002B6AA4"/>
    <w:rsid w:val="002C1FE9"/>
    <w:rsid w:val="002C5B87"/>
    <w:rsid w:val="002C64A8"/>
    <w:rsid w:val="002D3A57"/>
    <w:rsid w:val="002D6524"/>
    <w:rsid w:val="002D6B5C"/>
    <w:rsid w:val="002D7D05"/>
    <w:rsid w:val="002E20C8"/>
    <w:rsid w:val="002E4290"/>
    <w:rsid w:val="002E66A6"/>
    <w:rsid w:val="002F0DB1"/>
    <w:rsid w:val="002F2885"/>
    <w:rsid w:val="002F45A1"/>
    <w:rsid w:val="002F5C9A"/>
    <w:rsid w:val="002F648D"/>
    <w:rsid w:val="002F70A5"/>
    <w:rsid w:val="0030203D"/>
    <w:rsid w:val="00302889"/>
    <w:rsid w:val="00302AB6"/>
    <w:rsid w:val="003037F9"/>
    <w:rsid w:val="0030583E"/>
    <w:rsid w:val="00307FE1"/>
    <w:rsid w:val="003164BA"/>
    <w:rsid w:val="00316822"/>
    <w:rsid w:val="003258E6"/>
    <w:rsid w:val="00330977"/>
    <w:rsid w:val="00331475"/>
    <w:rsid w:val="0033687A"/>
    <w:rsid w:val="00342283"/>
    <w:rsid w:val="00343A87"/>
    <w:rsid w:val="00344A36"/>
    <w:rsid w:val="003456F4"/>
    <w:rsid w:val="003461DE"/>
    <w:rsid w:val="003479FA"/>
    <w:rsid w:val="00347ECC"/>
    <w:rsid w:val="00347FB6"/>
    <w:rsid w:val="003504FD"/>
    <w:rsid w:val="00350881"/>
    <w:rsid w:val="00350C94"/>
    <w:rsid w:val="00354B8C"/>
    <w:rsid w:val="003568EE"/>
    <w:rsid w:val="00357D55"/>
    <w:rsid w:val="00361BB3"/>
    <w:rsid w:val="00363513"/>
    <w:rsid w:val="00364509"/>
    <w:rsid w:val="003657E5"/>
    <w:rsid w:val="0036589C"/>
    <w:rsid w:val="00367196"/>
    <w:rsid w:val="003678F4"/>
    <w:rsid w:val="00370543"/>
    <w:rsid w:val="00371312"/>
    <w:rsid w:val="00371DC7"/>
    <w:rsid w:val="00371E07"/>
    <w:rsid w:val="003763FC"/>
    <w:rsid w:val="00377B21"/>
    <w:rsid w:val="00381429"/>
    <w:rsid w:val="00382A7F"/>
    <w:rsid w:val="00383349"/>
    <w:rsid w:val="003849BD"/>
    <w:rsid w:val="0038616F"/>
    <w:rsid w:val="00390862"/>
    <w:rsid w:val="0039092C"/>
    <w:rsid w:val="00390CE3"/>
    <w:rsid w:val="00392EA0"/>
    <w:rsid w:val="00394876"/>
    <w:rsid w:val="00394AAF"/>
    <w:rsid w:val="00394CE5"/>
    <w:rsid w:val="003954DD"/>
    <w:rsid w:val="00397C41"/>
    <w:rsid w:val="003A049C"/>
    <w:rsid w:val="003A5A25"/>
    <w:rsid w:val="003A6341"/>
    <w:rsid w:val="003A707E"/>
    <w:rsid w:val="003B0FF0"/>
    <w:rsid w:val="003B67FD"/>
    <w:rsid w:val="003B6A61"/>
    <w:rsid w:val="003C1967"/>
    <w:rsid w:val="003C2198"/>
    <w:rsid w:val="003C4941"/>
    <w:rsid w:val="003C4DAA"/>
    <w:rsid w:val="003D0F63"/>
    <w:rsid w:val="003D10AB"/>
    <w:rsid w:val="003D3136"/>
    <w:rsid w:val="003D42C0"/>
    <w:rsid w:val="003D4A8F"/>
    <w:rsid w:val="003D5B29"/>
    <w:rsid w:val="003D7818"/>
    <w:rsid w:val="003E2445"/>
    <w:rsid w:val="003E28BE"/>
    <w:rsid w:val="003E3BB2"/>
    <w:rsid w:val="003E5606"/>
    <w:rsid w:val="003F45CD"/>
    <w:rsid w:val="003F56CB"/>
    <w:rsid w:val="003F5B58"/>
    <w:rsid w:val="00400E91"/>
    <w:rsid w:val="0040145E"/>
    <w:rsid w:val="004018E0"/>
    <w:rsid w:val="0040222A"/>
    <w:rsid w:val="00403A99"/>
    <w:rsid w:val="00403E1F"/>
    <w:rsid w:val="004047BC"/>
    <w:rsid w:val="004056AA"/>
    <w:rsid w:val="004067D0"/>
    <w:rsid w:val="004100F7"/>
    <w:rsid w:val="00414CB3"/>
    <w:rsid w:val="0041563D"/>
    <w:rsid w:val="00420059"/>
    <w:rsid w:val="00420F71"/>
    <w:rsid w:val="00426E25"/>
    <w:rsid w:val="00427D9C"/>
    <w:rsid w:val="00427E7E"/>
    <w:rsid w:val="00430711"/>
    <w:rsid w:val="00430816"/>
    <w:rsid w:val="0043465D"/>
    <w:rsid w:val="00435082"/>
    <w:rsid w:val="00443B6E"/>
    <w:rsid w:val="00444DBF"/>
    <w:rsid w:val="00446444"/>
    <w:rsid w:val="00447AB3"/>
    <w:rsid w:val="00450636"/>
    <w:rsid w:val="0045420A"/>
    <w:rsid w:val="00454925"/>
    <w:rsid w:val="004554D4"/>
    <w:rsid w:val="00456B4C"/>
    <w:rsid w:val="00461158"/>
    <w:rsid w:val="00461744"/>
    <w:rsid w:val="00462E61"/>
    <w:rsid w:val="00464495"/>
    <w:rsid w:val="00466185"/>
    <w:rsid w:val="00466303"/>
    <w:rsid w:val="004668A7"/>
    <w:rsid w:val="00466D96"/>
    <w:rsid w:val="00467747"/>
    <w:rsid w:val="00470017"/>
    <w:rsid w:val="0047105A"/>
    <w:rsid w:val="004713C1"/>
    <w:rsid w:val="00471693"/>
    <w:rsid w:val="00473C98"/>
    <w:rsid w:val="00474965"/>
    <w:rsid w:val="00475C20"/>
    <w:rsid w:val="004778F4"/>
    <w:rsid w:val="00481C23"/>
    <w:rsid w:val="00482D19"/>
    <w:rsid w:val="00482DF8"/>
    <w:rsid w:val="00486247"/>
    <w:rsid w:val="004864DE"/>
    <w:rsid w:val="00486739"/>
    <w:rsid w:val="00492543"/>
    <w:rsid w:val="00492C34"/>
    <w:rsid w:val="00493695"/>
    <w:rsid w:val="004940BF"/>
    <w:rsid w:val="00494BE5"/>
    <w:rsid w:val="004A0EBA"/>
    <w:rsid w:val="004A2538"/>
    <w:rsid w:val="004A331E"/>
    <w:rsid w:val="004A466F"/>
    <w:rsid w:val="004A6912"/>
    <w:rsid w:val="004A7DDB"/>
    <w:rsid w:val="004B0C15"/>
    <w:rsid w:val="004B3221"/>
    <w:rsid w:val="004B35EA"/>
    <w:rsid w:val="004B69E4"/>
    <w:rsid w:val="004C6C39"/>
    <w:rsid w:val="004D075F"/>
    <w:rsid w:val="004D1B76"/>
    <w:rsid w:val="004D344E"/>
    <w:rsid w:val="004D3E5A"/>
    <w:rsid w:val="004D464A"/>
    <w:rsid w:val="004D6986"/>
    <w:rsid w:val="004D6BA9"/>
    <w:rsid w:val="004D7FE3"/>
    <w:rsid w:val="004E019E"/>
    <w:rsid w:val="004E06EC"/>
    <w:rsid w:val="004E0A3F"/>
    <w:rsid w:val="004E142F"/>
    <w:rsid w:val="004E1497"/>
    <w:rsid w:val="004E2CB7"/>
    <w:rsid w:val="004E6014"/>
    <w:rsid w:val="004F016A"/>
    <w:rsid w:val="004F7E54"/>
    <w:rsid w:val="005006F9"/>
    <w:rsid w:val="00500B2E"/>
    <w:rsid w:val="00500F94"/>
    <w:rsid w:val="00501666"/>
    <w:rsid w:val="00502FB3"/>
    <w:rsid w:val="00503DE9"/>
    <w:rsid w:val="0050530C"/>
    <w:rsid w:val="00505344"/>
    <w:rsid w:val="00505DEA"/>
    <w:rsid w:val="00507782"/>
    <w:rsid w:val="00512A04"/>
    <w:rsid w:val="00514CF2"/>
    <w:rsid w:val="00520499"/>
    <w:rsid w:val="005249F5"/>
    <w:rsid w:val="00525B4A"/>
    <w:rsid w:val="005260F7"/>
    <w:rsid w:val="0053333F"/>
    <w:rsid w:val="00533995"/>
    <w:rsid w:val="00542A1B"/>
    <w:rsid w:val="00543B8F"/>
    <w:rsid w:val="00543BD1"/>
    <w:rsid w:val="00544A9A"/>
    <w:rsid w:val="00550306"/>
    <w:rsid w:val="005509A7"/>
    <w:rsid w:val="00551BCC"/>
    <w:rsid w:val="00551DD1"/>
    <w:rsid w:val="0055202C"/>
    <w:rsid w:val="00553BF7"/>
    <w:rsid w:val="00553CE3"/>
    <w:rsid w:val="0055420C"/>
    <w:rsid w:val="0055521C"/>
    <w:rsid w:val="00556113"/>
    <w:rsid w:val="00556156"/>
    <w:rsid w:val="0055662D"/>
    <w:rsid w:val="005570D6"/>
    <w:rsid w:val="00564C12"/>
    <w:rsid w:val="005654B8"/>
    <w:rsid w:val="0056590F"/>
    <w:rsid w:val="005701E4"/>
    <w:rsid w:val="00570D94"/>
    <w:rsid w:val="00575CD7"/>
    <w:rsid w:val="005762CC"/>
    <w:rsid w:val="00581F22"/>
    <w:rsid w:val="00582D3D"/>
    <w:rsid w:val="0058401C"/>
    <w:rsid w:val="00590040"/>
    <w:rsid w:val="00590057"/>
    <w:rsid w:val="005928CC"/>
    <w:rsid w:val="00595386"/>
    <w:rsid w:val="005964F7"/>
    <w:rsid w:val="00597234"/>
    <w:rsid w:val="00597ACE"/>
    <w:rsid w:val="005A0B99"/>
    <w:rsid w:val="005A0CD7"/>
    <w:rsid w:val="005A2AC5"/>
    <w:rsid w:val="005A2B7E"/>
    <w:rsid w:val="005A2D03"/>
    <w:rsid w:val="005A3DC7"/>
    <w:rsid w:val="005A4AC0"/>
    <w:rsid w:val="005A539B"/>
    <w:rsid w:val="005A5FDF"/>
    <w:rsid w:val="005B0FB7"/>
    <w:rsid w:val="005B122A"/>
    <w:rsid w:val="005B1FCB"/>
    <w:rsid w:val="005B5AC2"/>
    <w:rsid w:val="005C2833"/>
    <w:rsid w:val="005C5C82"/>
    <w:rsid w:val="005D00F6"/>
    <w:rsid w:val="005D2E25"/>
    <w:rsid w:val="005D4EDF"/>
    <w:rsid w:val="005E144D"/>
    <w:rsid w:val="005E1500"/>
    <w:rsid w:val="005E3A43"/>
    <w:rsid w:val="005E7A46"/>
    <w:rsid w:val="005F0B17"/>
    <w:rsid w:val="005F1B02"/>
    <w:rsid w:val="005F3818"/>
    <w:rsid w:val="005F6602"/>
    <w:rsid w:val="005F77C7"/>
    <w:rsid w:val="006051CD"/>
    <w:rsid w:val="00606F0C"/>
    <w:rsid w:val="00611029"/>
    <w:rsid w:val="006177CB"/>
    <w:rsid w:val="00620675"/>
    <w:rsid w:val="00622910"/>
    <w:rsid w:val="006254B6"/>
    <w:rsid w:val="0062608A"/>
    <w:rsid w:val="00627FC8"/>
    <w:rsid w:val="00632449"/>
    <w:rsid w:val="00633ABB"/>
    <w:rsid w:val="006433C3"/>
    <w:rsid w:val="00650094"/>
    <w:rsid w:val="00650F5B"/>
    <w:rsid w:val="006536A6"/>
    <w:rsid w:val="006609AE"/>
    <w:rsid w:val="00660CC9"/>
    <w:rsid w:val="00664465"/>
    <w:rsid w:val="0066618E"/>
    <w:rsid w:val="006670D7"/>
    <w:rsid w:val="00667D94"/>
    <w:rsid w:val="006719EA"/>
    <w:rsid w:val="00671F13"/>
    <w:rsid w:val="00671F95"/>
    <w:rsid w:val="006727B6"/>
    <w:rsid w:val="0067400A"/>
    <w:rsid w:val="006761B5"/>
    <w:rsid w:val="00677FEA"/>
    <w:rsid w:val="00680032"/>
    <w:rsid w:val="006805D6"/>
    <w:rsid w:val="006847AD"/>
    <w:rsid w:val="00684BC6"/>
    <w:rsid w:val="00684CDF"/>
    <w:rsid w:val="00690274"/>
    <w:rsid w:val="0069114B"/>
    <w:rsid w:val="0069296E"/>
    <w:rsid w:val="006944C1"/>
    <w:rsid w:val="00695F2D"/>
    <w:rsid w:val="006A756A"/>
    <w:rsid w:val="006B1BF9"/>
    <w:rsid w:val="006B5FE6"/>
    <w:rsid w:val="006B7D4C"/>
    <w:rsid w:val="006C09A2"/>
    <w:rsid w:val="006C0EC2"/>
    <w:rsid w:val="006C168B"/>
    <w:rsid w:val="006C5153"/>
    <w:rsid w:val="006C7220"/>
    <w:rsid w:val="006D33C2"/>
    <w:rsid w:val="006D4037"/>
    <w:rsid w:val="006D66F7"/>
    <w:rsid w:val="006E31A4"/>
    <w:rsid w:val="006E36CC"/>
    <w:rsid w:val="006E4B98"/>
    <w:rsid w:val="006F33B9"/>
    <w:rsid w:val="006F5DE3"/>
    <w:rsid w:val="00703172"/>
    <w:rsid w:val="00705C9D"/>
    <w:rsid w:val="00705F13"/>
    <w:rsid w:val="0070624C"/>
    <w:rsid w:val="007130D5"/>
    <w:rsid w:val="00714F1D"/>
    <w:rsid w:val="00715225"/>
    <w:rsid w:val="0071566E"/>
    <w:rsid w:val="0071700C"/>
    <w:rsid w:val="00720662"/>
    <w:rsid w:val="00720CC6"/>
    <w:rsid w:val="00720F41"/>
    <w:rsid w:val="00722DDB"/>
    <w:rsid w:val="00723B37"/>
    <w:rsid w:val="00723FFB"/>
    <w:rsid w:val="00724728"/>
    <w:rsid w:val="00724F98"/>
    <w:rsid w:val="00726D30"/>
    <w:rsid w:val="00730B9B"/>
    <w:rsid w:val="0073182E"/>
    <w:rsid w:val="007332FF"/>
    <w:rsid w:val="007340CD"/>
    <w:rsid w:val="00735A05"/>
    <w:rsid w:val="007408F5"/>
    <w:rsid w:val="00741EAE"/>
    <w:rsid w:val="00745960"/>
    <w:rsid w:val="00747270"/>
    <w:rsid w:val="007516A3"/>
    <w:rsid w:val="0075177F"/>
    <w:rsid w:val="00755248"/>
    <w:rsid w:val="0076190B"/>
    <w:rsid w:val="007620D1"/>
    <w:rsid w:val="007632F1"/>
    <w:rsid w:val="0076355D"/>
    <w:rsid w:val="00763A2D"/>
    <w:rsid w:val="0076497E"/>
    <w:rsid w:val="00764B78"/>
    <w:rsid w:val="00765B4A"/>
    <w:rsid w:val="007676A4"/>
    <w:rsid w:val="00775041"/>
    <w:rsid w:val="00777795"/>
    <w:rsid w:val="00777D34"/>
    <w:rsid w:val="0078043C"/>
    <w:rsid w:val="00782AF4"/>
    <w:rsid w:val="00783A57"/>
    <w:rsid w:val="00783CF6"/>
    <w:rsid w:val="00784C92"/>
    <w:rsid w:val="007859CD"/>
    <w:rsid w:val="00785C24"/>
    <w:rsid w:val="00786993"/>
    <w:rsid w:val="0079059C"/>
    <w:rsid w:val="007907E4"/>
    <w:rsid w:val="00790AC2"/>
    <w:rsid w:val="00796461"/>
    <w:rsid w:val="00797CA2"/>
    <w:rsid w:val="007A101C"/>
    <w:rsid w:val="007A6A4F"/>
    <w:rsid w:val="007B03F5"/>
    <w:rsid w:val="007B5C09"/>
    <w:rsid w:val="007B5DA2"/>
    <w:rsid w:val="007C0966"/>
    <w:rsid w:val="007C19E7"/>
    <w:rsid w:val="007C2BFF"/>
    <w:rsid w:val="007C5CFD"/>
    <w:rsid w:val="007C6D9F"/>
    <w:rsid w:val="007D0C1A"/>
    <w:rsid w:val="007D4893"/>
    <w:rsid w:val="007E0432"/>
    <w:rsid w:val="007E0A27"/>
    <w:rsid w:val="007E1C62"/>
    <w:rsid w:val="007E20C7"/>
    <w:rsid w:val="007E247A"/>
    <w:rsid w:val="007E70CF"/>
    <w:rsid w:val="007E74A4"/>
    <w:rsid w:val="007F07C4"/>
    <w:rsid w:val="007F1288"/>
    <w:rsid w:val="007F1B6F"/>
    <w:rsid w:val="007F263F"/>
    <w:rsid w:val="007F421C"/>
    <w:rsid w:val="007F4A68"/>
    <w:rsid w:val="007F782F"/>
    <w:rsid w:val="008015A8"/>
    <w:rsid w:val="00801B1A"/>
    <w:rsid w:val="00806D2E"/>
    <w:rsid w:val="0080766E"/>
    <w:rsid w:val="008077D2"/>
    <w:rsid w:val="00811169"/>
    <w:rsid w:val="00813916"/>
    <w:rsid w:val="00814B2A"/>
    <w:rsid w:val="00815297"/>
    <w:rsid w:val="008170DB"/>
    <w:rsid w:val="00817BA1"/>
    <w:rsid w:val="00817ED6"/>
    <w:rsid w:val="00821B08"/>
    <w:rsid w:val="00823022"/>
    <w:rsid w:val="00824357"/>
    <w:rsid w:val="0082634E"/>
    <w:rsid w:val="00826B71"/>
    <w:rsid w:val="008313C4"/>
    <w:rsid w:val="0083433C"/>
    <w:rsid w:val="00835434"/>
    <w:rsid w:val="008358C0"/>
    <w:rsid w:val="0083751D"/>
    <w:rsid w:val="00840B7F"/>
    <w:rsid w:val="00842838"/>
    <w:rsid w:val="00854EC1"/>
    <w:rsid w:val="0085593E"/>
    <w:rsid w:val="0085797F"/>
    <w:rsid w:val="00861DC3"/>
    <w:rsid w:val="00867019"/>
    <w:rsid w:val="00867160"/>
    <w:rsid w:val="00872EF1"/>
    <w:rsid w:val="008735A9"/>
    <w:rsid w:val="0087446D"/>
    <w:rsid w:val="00877BC5"/>
    <w:rsid w:val="00877D20"/>
    <w:rsid w:val="00881C48"/>
    <w:rsid w:val="00885B80"/>
    <w:rsid w:val="00885C30"/>
    <w:rsid w:val="00885E9B"/>
    <w:rsid w:val="00887C50"/>
    <w:rsid w:val="00891C4F"/>
    <w:rsid w:val="008925B6"/>
    <w:rsid w:val="0089368E"/>
    <w:rsid w:val="00893C96"/>
    <w:rsid w:val="0089500A"/>
    <w:rsid w:val="00895561"/>
    <w:rsid w:val="00895F64"/>
    <w:rsid w:val="00897C94"/>
    <w:rsid w:val="008A4B30"/>
    <w:rsid w:val="008A7C12"/>
    <w:rsid w:val="008B03CE"/>
    <w:rsid w:val="008B0AA7"/>
    <w:rsid w:val="008B529E"/>
    <w:rsid w:val="008C17FB"/>
    <w:rsid w:val="008C4F41"/>
    <w:rsid w:val="008C70BB"/>
    <w:rsid w:val="008D1B00"/>
    <w:rsid w:val="008D57B8"/>
    <w:rsid w:val="008E03FC"/>
    <w:rsid w:val="008E36F0"/>
    <w:rsid w:val="008E510B"/>
    <w:rsid w:val="008E6907"/>
    <w:rsid w:val="008E7A3E"/>
    <w:rsid w:val="008F4E8E"/>
    <w:rsid w:val="00901EF5"/>
    <w:rsid w:val="00902B13"/>
    <w:rsid w:val="00905CB7"/>
    <w:rsid w:val="00911941"/>
    <w:rsid w:val="0092024D"/>
    <w:rsid w:val="00925146"/>
    <w:rsid w:val="00925F0F"/>
    <w:rsid w:val="0092606D"/>
    <w:rsid w:val="00932F6B"/>
    <w:rsid w:val="00934BDD"/>
    <w:rsid w:val="009353F0"/>
    <w:rsid w:val="009363D9"/>
    <w:rsid w:val="009364D7"/>
    <w:rsid w:val="00937C11"/>
    <w:rsid w:val="009444F0"/>
    <w:rsid w:val="009459D4"/>
    <w:rsid w:val="009468BC"/>
    <w:rsid w:val="00947FAE"/>
    <w:rsid w:val="009511E0"/>
    <w:rsid w:val="00957FBD"/>
    <w:rsid w:val="009616DF"/>
    <w:rsid w:val="009617D8"/>
    <w:rsid w:val="0096542F"/>
    <w:rsid w:val="00967FA7"/>
    <w:rsid w:val="009707F5"/>
    <w:rsid w:val="00971645"/>
    <w:rsid w:val="00971767"/>
    <w:rsid w:val="00971DBB"/>
    <w:rsid w:val="00972BF6"/>
    <w:rsid w:val="00977919"/>
    <w:rsid w:val="00981DAD"/>
    <w:rsid w:val="00982B79"/>
    <w:rsid w:val="00983000"/>
    <w:rsid w:val="009870FA"/>
    <w:rsid w:val="00987CD2"/>
    <w:rsid w:val="009921C3"/>
    <w:rsid w:val="00992EBB"/>
    <w:rsid w:val="0099551D"/>
    <w:rsid w:val="00995976"/>
    <w:rsid w:val="009A0E6D"/>
    <w:rsid w:val="009A107C"/>
    <w:rsid w:val="009A5334"/>
    <w:rsid w:val="009A5897"/>
    <w:rsid w:val="009A5F24"/>
    <w:rsid w:val="009B0882"/>
    <w:rsid w:val="009B0992"/>
    <w:rsid w:val="009B0B3E"/>
    <w:rsid w:val="009B0DC9"/>
    <w:rsid w:val="009B1913"/>
    <w:rsid w:val="009B196F"/>
    <w:rsid w:val="009B24CD"/>
    <w:rsid w:val="009B48D2"/>
    <w:rsid w:val="009B6657"/>
    <w:rsid w:val="009B6966"/>
    <w:rsid w:val="009B6FC6"/>
    <w:rsid w:val="009B705E"/>
    <w:rsid w:val="009B7E6A"/>
    <w:rsid w:val="009C5A3E"/>
    <w:rsid w:val="009D0EB5"/>
    <w:rsid w:val="009D14F9"/>
    <w:rsid w:val="009D2B74"/>
    <w:rsid w:val="009D414F"/>
    <w:rsid w:val="009D4CB4"/>
    <w:rsid w:val="009D63FF"/>
    <w:rsid w:val="009E0874"/>
    <w:rsid w:val="009E11BB"/>
    <w:rsid w:val="009E175D"/>
    <w:rsid w:val="009E2FAE"/>
    <w:rsid w:val="009E30C4"/>
    <w:rsid w:val="009E3CC2"/>
    <w:rsid w:val="009F06BD"/>
    <w:rsid w:val="009F1144"/>
    <w:rsid w:val="009F2A4D"/>
    <w:rsid w:val="009F6D84"/>
    <w:rsid w:val="00A00828"/>
    <w:rsid w:val="00A03290"/>
    <w:rsid w:val="00A0387E"/>
    <w:rsid w:val="00A05BFD"/>
    <w:rsid w:val="00A07490"/>
    <w:rsid w:val="00A10655"/>
    <w:rsid w:val="00A10EB8"/>
    <w:rsid w:val="00A12B64"/>
    <w:rsid w:val="00A1566E"/>
    <w:rsid w:val="00A16D7E"/>
    <w:rsid w:val="00A16E91"/>
    <w:rsid w:val="00A22C38"/>
    <w:rsid w:val="00A25193"/>
    <w:rsid w:val="00A26E80"/>
    <w:rsid w:val="00A277A8"/>
    <w:rsid w:val="00A31AE8"/>
    <w:rsid w:val="00A33A52"/>
    <w:rsid w:val="00A37282"/>
    <w:rsid w:val="00A3739D"/>
    <w:rsid w:val="00A37DDA"/>
    <w:rsid w:val="00A41298"/>
    <w:rsid w:val="00A4154F"/>
    <w:rsid w:val="00A4169F"/>
    <w:rsid w:val="00A44502"/>
    <w:rsid w:val="00A45005"/>
    <w:rsid w:val="00A456D3"/>
    <w:rsid w:val="00A4639A"/>
    <w:rsid w:val="00A46B93"/>
    <w:rsid w:val="00A55815"/>
    <w:rsid w:val="00A567EE"/>
    <w:rsid w:val="00A57AC8"/>
    <w:rsid w:val="00A63A00"/>
    <w:rsid w:val="00A70DD8"/>
    <w:rsid w:val="00A71B7A"/>
    <w:rsid w:val="00A726DA"/>
    <w:rsid w:val="00A7279C"/>
    <w:rsid w:val="00A74D9D"/>
    <w:rsid w:val="00A76790"/>
    <w:rsid w:val="00A81720"/>
    <w:rsid w:val="00A829CA"/>
    <w:rsid w:val="00A85D0C"/>
    <w:rsid w:val="00A922F0"/>
    <w:rsid w:val="00A925EC"/>
    <w:rsid w:val="00A929AA"/>
    <w:rsid w:val="00A92A01"/>
    <w:rsid w:val="00A92B6B"/>
    <w:rsid w:val="00A963A7"/>
    <w:rsid w:val="00AA1E59"/>
    <w:rsid w:val="00AA2531"/>
    <w:rsid w:val="00AA4A64"/>
    <w:rsid w:val="00AA541E"/>
    <w:rsid w:val="00AB10E9"/>
    <w:rsid w:val="00AB6AAC"/>
    <w:rsid w:val="00AB7E95"/>
    <w:rsid w:val="00AC04CF"/>
    <w:rsid w:val="00AC1B5D"/>
    <w:rsid w:val="00AD0DA4"/>
    <w:rsid w:val="00AD3B51"/>
    <w:rsid w:val="00AD4169"/>
    <w:rsid w:val="00AD78C8"/>
    <w:rsid w:val="00AD7C7B"/>
    <w:rsid w:val="00AE2207"/>
    <w:rsid w:val="00AE2321"/>
    <w:rsid w:val="00AE25C6"/>
    <w:rsid w:val="00AE306C"/>
    <w:rsid w:val="00AE689F"/>
    <w:rsid w:val="00AF28C1"/>
    <w:rsid w:val="00AF7ACC"/>
    <w:rsid w:val="00B01CB2"/>
    <w:rsid w:val="00B02EF1"/>
    <w:rsid w:val="00B02FC5"/>
    <w:rsid w:val="00B0378E"/>
    <w:rsid w:val="00B04B66"/>
    <w:rsid w:val="00B071F2"/>
    <w:rsid w:val="00B07C97"/>
    <w:rsid w:val="00B11C67"/>
    <w:rsid w:val="00B134F9"/>
    <w:rsid w:val="00B14257"/>
    <w:rsid w:val="00B15754"/>
    <w:rsid w:val="00B16002"/>
    <w:rsid w:val="00B2046E"/>
    <w:rsid w:val="00B20E8B"/>
    <w:rsid w:val="00B2303E"/>
    <w:rsid w:val="00B243D8"/>
    <w:rsid w:val="00B254CF"/>
    <w:rsid w:val="00B257E1"/>
    <w:rsid w:val="00B2599A"/>
    <w:rsid w:val="00B27AC4"/>
    <w:rsid w:val="00B30CCE"/>
    <w:rsid w:val="00B329E8"/>
    <w:rsid w:val="00B343CC"/>
    <w:rsid w:val="00B36168"/>
    <w:rsid w:val="00B42993"/>
    <w:rsid w:val="00B42F39"/>
    <w:rsid w:val="00B45E33"/>
    <w:rsid w:val="00B46FCD"/>
    <w:rsid w:val="00B5084A"/>
    <w:rsid w:val="00B520BB"/>
    <w:rsid w:val="00B5288E"/>
    <w:rsid w:val="00B53EF2"/>
    <w:rsid w:val="00B55B64"/>
    <w:rsid w:val="00B55F93"/>
    <w:rsid w:val="00B55F96"/>
    <w:rsid w:val="00B606A1"/>
    <w:rsid w:val="00B614F7"/>
    <w:rsid w:val="00B61B26"/>
    <w:rsid w:val="00B626AB"/>
    <w:rsid w:val="00B63F0C"/>
    <w:rsid w:val="00B6427B"/>
    <w:rsid w:val="00B64D7A"/>
    <w:rsid w:val="00B65288"/>
    <w:rsid w:val="00B65E6B"/>
    <w:rsid w:val="00B675B2"/>
    <w:rsid w:val="00B70BEA"/>
    <w:rsid w:val="00B7450C"/>
    <w:rsid w:val="00B74CA2"/>
    <w:rsid w:val="00B7660D"/>
    <w:rsid w:val="00B8017E"/>
    <w:rsid w:val="00B8103F"/>
    <w:rsid w:val="00B81261"/>
    <w:rsid w:val="00B8223E"/>
    <w:rsid w:val="00B832AE"/>
    <w:rsid w:val="00B83FA9"/>
    <w:rsid w:val="00B86678"/>
    <w:rsid w:val="00B90D29"/>
    <w:rsid w:val="00B92F9B"/>
    <w:rsid w:val="00B941B3"/>
    <w:rsid w:val="00B96513"/>
    <w:rsid w:val="00B96CD4"/>
    <w:rsid w:val="00BA1D47"/>
    <w:rsid w:val="00BA2574"/>
    <w:rsid w:val="00BA66F0"/>
    <w:rsid w:val="00BB15DE"/>
    <w:rsid w:val="00BB1807"/>
    <w:rsid w:val="00BB2239"/>
    <w:rsid w:val="00BB2AE7"/>
    <w:rsid w:val="00BB4DEF"/>
    <w:rsid w:val="00BB5C77"/>
    <w:rsid w:val="00BB6464"/>
    <w:rsid w:val="00BB6AE4"/>
    <w:rsid w:val="00BC1BB8"/>
    <w:rsid w:val="00BC265F"/>
    <w:rsid w:val="00BC7B0A"/>
    <w:rsid w:val="00BD6C72"/>
    <w:rsid w:val="00BD7FE1"/>
    <w:rsid w:val="00BE08AB"/>
    <w:rsid w:val="00BE2895"/>
    <w:rsid w:val="00BE37CA"/>
    <w:rsid w:val="00BE5E3F"/>
    <w:rsid w:val="00BE6144"/>
    <w:rsid w:val="00BE635A"/>
    <w:rsid w:val="00BE750C"/>
    <w:rsid w:val="00BF17E9"/>
    <w:rsid w:val="00BF1BE3"/>
    <w:rsid w:val="00BF26A2"/>
    <w:rsid w:val="00BF2ABB"/>
    <w:rsid w:val="00BF4957"/>
    <w:rsid w:val="00BF4EC6"/>
    <w:rsid w:val="00BF5099"/>
    <w:rsid w:val="00BF6965"/>
    <w:rsid w:val="00C00A8B"/>
    <w:rsid w:val="00C017A6"/>
    <w:rsid w:val="00C044EF"/>
    <w:rsid w:val="00C06FE9"/>
    <w:rsid w:val="00C10B5E"/>
    <w:rsid w:val="00C10F10"/>
    <w:rsid w:val="00C1353F"/>
    <w:rsid w:val="00C13FC4"/>
    <w:rsid w:val="00C15D4D"/>
    <w:rsid w:val="00C175DC"/>
    <w:rsid w:val="00C22C15"/>
    <w:rsid w:val="00C27FFE"/>
    <w:rsid w:val="00C30171"/>
    <w:rsid w:val="00C309D8"/>
    <w:rsid w:val="00C36C35"/>
    <w:rsid w:val="00C43519"/>
    <w:rsid w:val="00C45263"/>
    <w:rsid w:val="00C458E2"/>
    <w:rsid w:val="00C45983"/>
    <w:rsid w:val="00C459BC"/>
    <w:rsid w:val="00C51537"/>
    <w:rsid w:val="00C52689"/>
    <w:rsid w:val="00C52BC3"/>
    <w:rsid w:val="00C54091"/>
    <w:rsid w:val="00C54EB6"/>
    <w:rsid w:val="00C61AFA"/>
    <w:rsid w:val="00C61D64"/>
    <w:rsid w:val="00C62099"/>
    <w:rsid w:val="00C62A34"/>
    <w:rsid w:val="00C64694"/>
    <w:rsid w:val="00C64EA3"/>
    <w:rsid w:val="00C65243"/>
    <w:rsid w:val="00C71648"/>
    <w:rsid w:val="00C72867"/>
    <w:rsid w:val="00C72BA2"/>
    <w:rsid w:val="00C730E0"/>
    <w:rsid w:val="00C75E81"/>
    <w:rsid w:val="00C811AE"/>
    <w:rsid w:val="00C814B0"/>
    <w:rsid w:val="00C81F19"/>
    <w:rsid w:val="00C83BB6"/>
    <w:rsid w:val="00C86609"/>
    <w:rsid w:val="00C9051A"/>
    <w:rsid w:val="00C90A1F"/>
    <w:rsid w:val="00C92B4C"/>
    <w:rsid w:val="00C94AF2"/>
    <w:rsid w:val="00C954F6"/>
    <w:rsid w:val="00C95601"/>
    <w:rsid w:val="00CA2FB0"/>
    <w:rsid w:val="00CA36A0"/>
    <w:rsid w:val="00CA5C87"/>
    <w:rsid w:val="00CA6BAF"/>
    <w:rsid w:val="00CA6BC5"/>
    <w:rsid w:val="00CA79A4"/>
    <w:rsid w:val="00CA7DC2"/>
    <w:rsid w:val="00CB02D5"/>
    <w:rsid w:val="00CB1326"/>
    <w:rsid w:val="00CB1C9D"/>
    <w:rsid w:val="00CB2A79"/>
    <w:rsid w:val="00CC2FF8"/>
    <w:rsid w:val="00CC571B"/>
    <w:rsid w:val="00CC5ABA"/>
    <w:rsid w:val="00CC61CD"/>
    <w:rsid w:val="00CC66EA"/>
    <w:rsid w:val="00CC6C02"/>
    <w:rsid w:val="00CC737B"/>
    <w:rsid w:val="00CD2BA2"/>
    <w:rsid w:val="00CD41D6"/>
    <w:rsid w:val="00CD5011"/>
    <w:rsid w:val="00CD718C"/>
    <w:rsid w:val="00CD7E47"/>
    <w:rsid w:val="00CE0800"/>
    <w:rsid w:val="00CE0930"/>
    <w:rsid w:val="00CE0C8A"/>
    <w:rsid w:val="00CE5C8D"/>
    <w:rsid w:val="00CE640F"/>
    <w:rsid w:val="00CE76BC"/>
    <w:rsid w:val="00CF1103"/>
    <w:rsid w:val="00CF410A"/>
    <w:rsid w:val="00CF540E"/>
    <w:rsid w:val="00CF5EFC"/>
    <w:rsid w:val="00CF609D"/>
    <w:rsid w:val="00CF627A"/>
    <w:rsid w:val="00D02D65"/>
    <w:rsid w:val="00D02F07"/>
    <w:rsid w:val="00D05CB8"/>
    <w:rsid w:val="00D11970"/>
    <w:rsid w:val="00D11C97"/>
    <w:rsid w:val="00D12729"/>
    <w:rsid w:val="00D15D88"/>
    <w:rsid w:val="00D245A8"/>
    <w:rsid w:val="00D2496C"/>
    <w:rsid w:val="00D2699B"/>
    <w:rsid w:val="00D27D49"/>
    <w:rsid w:val="00D27EBE"/>
    <w:rsid w:val="00D36A49"/>
    <w:rsid w:val="00D45A1C"/>
    <w:rsid w:val="00D46F91"/>
    <w:rsid w:val="00D47DC7"/>
    <w:rsid w:val="00D517C6"/>
    <w:rsid w:val="00D52CA5"/>
    <w:rsid w:val="00D532F2"/>
    <w:rsid w:val="00D57073"/>
    <w:rsid w:val="00D66CA6"/>
    <w:rsid w:val="00D71935"/>
    <w:rsid w:val="00D71D84"/>
    <w:rsid w:val="00D72464"/>
    <w:rsid w:val="00D72A57"/>
    <w:rsid w:val="00D7371A"/>
    <w:rsid w:val="00D73908"/>
    <w:rsid w:val="00D74CD4"/>
    <w:rsid w:val="00D75EAA"/>
    <w:rsid w:val="00D768EB"/>
    <w:rsid w:val="00D76F16"/>
    <w:rsid w:val="00D77B60"/>
    <w:rsid w:val="00D80414"/>
    <w:rsid w:val="00D80594"/>
    <w:rsid w:val="00D81BB1"/>
    <w:rsid w:val="00D81E17"/>
    <w:rsid w:val="00D82D1E"/>
    <w:rsid w:val="00D82E4B"/>
    <w:rsid w:val="00D832D9"/>
    <w:rsid w:val="00D90F00"/>
    <w:rsid w:val="00D930D2"/>
    <w:rsid w:val="00D96804"/>
    <w:rsid w:val="00D975C0"/>
    <w:rsid w:val="00DA233B"/>
    <w:rsid w:val="00DA5285"/>
    <w:rsid w:val="00DA7C9C"/>
    <w:rsid w:val="00DB10D0"/>
    <w:rsid w:val="00DB1311"/>
    <w:rsid w:val="00DB191D"/>
    <w:rsid w:val="00DB25BB"/>
    <w:rsid w:val="00DB3036"/>
    <w:rsid w:val="00DB4F91"/>
    <w:rsid w:val="00DB6D0A"/>
    <w:rsid w:val="00DB7B0C"/>
    <w:rsid w:val="00DC06BE"/>
    <w:rsid w:val="00DC1968"/>
    <w:rsid w:val="00DC1F0F"/>
    <w:rsid w:val="00DC262B"/>
    <w:rsid w:val="00DC3117"/>
    <w:rsid w:val="00DC4E2A"/>
    <w:rsid w:val="00DC5DD9"/>
    <w:rsid w:val="00DC6D2D"/>
    <w:rsid w:val="00DD0E9F"/>
    <w:rsid w:val="00DD37D4"/>
    <w:rsid w:val="00DD4E59"/>
    <w:rsid w:val="00DD52DD"/>
    <w:rsid w:val="00DD542C"/>
    <w:rsid w:val="00DD607E"/>
    <w:rsid w:val="00DD6D79"/>
    <w:rsid w:val="00DE0A02"/>
    <w:rsid w:val="00DE33B5"/>
    <w:rsid w:val="00DE3710"/>
    <w:rsid w:val="00DE5477"/>
    <w:rsid w:val="00DE5E18"/>
    <w:rsid w:val="00DF0487"/>
    <w:rsid w:val="00DF0517"/>
    <w:rsid w:val="00DF5EA4"/>
    <w:rsid w:val="00DF7252"/>
    <w:rsid w:val="00DF7A71"/>
    <w:rsid w:val="00DF7C55"/>
    <w:rsid w:val="00E00109"/>
    <w:rsid w:val="00E01998"/>
    <w:rsid w:val="00E02681"/>
    <w:rsid w:val="00E02792"/>
    <w:rsid w:val="00E028C5"/>
    <w:rsid w:val="00E034D8"/>
    <w:rsid w:val="00E04072"/>
    <w:rsid w:val="00E04CC0"/>
    <w:rsid w:val="00E11070"/>
    <w:rsid w:val="00E11135"/>
    <w:rsid w:val="00E136CD"/>
    <w:rsid w:val="00E14D55"/>
    <w:rsid w:val="00E152A4"/>
    <w:rsid w:val="00E1543F"/>
    <w:rsid w:val="00E154B7"/>
    <w:rsid w:val="00E15816"/>
    <w:rsid w:val="00E160D5"/>
    <w:rsid w:val="00E239FF"/>
    <w:rsid w:val="00E24FCF"/>
    <w:rsid w:val="00E27D7B"/>
    <w:rsid w:val="00E30556"/>
    <w:rsid w:val="00E30981"/>
    <w:rsid w:val="00E310D3"/>
    <w:rsid w:val="00E33136"/>
    <w:rsid w:val="00E34A55"/>
    <w:rsid w:val="00E34D7C"/>
    <w:rsid w:val="00E34DEA"/>
    <w:rsid w:val="00E36B08"/>
    <w:rsid w:val="00E3723D"/>
    <w:rsid w:val="00E37DEC"/>
    <w:rsid w:val="00E42A06"/>
    <w:rsid w:val="00E44C89"/>
    <w:rsid w:val="00E457A6"/>
    <w:rsid w:val="00E473C5"/>
    <w:rsid w:val="00E50581"/>
    <w:rsid w:val="00E53490"/>
    <w:rsid w:val="00E548EA"/>
    <w:rsid w:val="00E54F9E"/>
    <w:rsid w:val="00E60B24"/>
    <w:rsid w:val="00E61BA2"/>
    <w:rsid w:val="00E63864"/>
    <w:rsid w:val="00E63E0A"/>
    <w:rsid w:val="00E6403F"/>
    <w:rsid w:val="00E67E03"/>
    <w:rsid w:val="00E70F60"/>
    <w:rsid w:val="00E74C27"/>
    <w:rsid w:val="00E75451"/>
    <w:rsid w:val="00E75EA9"/>
    <w:rsid w:val="00E76AD6"/>
    <w:rsid w:val="00E770C4"/>
    <w:rsid w:val="00E83CEF"/>
    <w:rsid w:val="00E84C5A"/>
    <w:rsid w:val="00E861DB"/>
    <w:rsid w:val="00E86E4F"/>
    <w:rsid w:val="00E908F1"/>
    <w:rsid w:val="00E9198F"/>
    <w:rsid w:val="00E93406"/>
    <w:rsid w:val="00E956C5"/>
    <w:rsid w:val="00E95C39"/>
    <w:rsid w:val="00EA2C39"/>
    <w:rsid w:val="00EA350D"/>
    <w:rsid w:val="00EA46DB"/>
    <w:rsid w:val="00EB0A3C"/>
    <w:rsid w:val="00EB0A96"/>
    <w:rsid w:val="00EB70CD"/>
    <w:rsid w:val="00EB77F9"/>
    <w:rsid w:val="00EB7ACC"/>
    <w:rsid w:val="00EC4F5D"/>
    <w:rsid w:val="00EC5769"/>
    <w:rsid w:val="00EC73A2"/>
    <w:rsid w:val="00EC772C"/>
    <w:rsid w:val="00EC787C"/>
    <w:rsid w:val="00EC7D00"/>
    <w:rsid w:val="00EC7EDC"/>
    <w:rsid w:val="00ED0304"/>
    <w:rsid w:val="00ED0D3F"/>
    <w:rsid w:val="00ED406B"/>
    <w:rsid w:val="00ED4FF7"/>
    <w:rsid w:val="00ED5B7B"/>
    <w:rsid w:val="00EE38FA"/>
    <w:rsid w:val="00EE3E2C"/>
    <w:rsid w:val="00EE4055"/>
    <w:rsid w:val="00EE462B"/>
    <w:rsid w:val="00EE5D23"/>
    <w:rsid w:val="00EE750D"/>
    <w:rsid w:val="00EE7953"/>
    <w:rsid w:val="00EE7E20"/>
    <w:rsid w:val="00EF34C4"/>
    <w:rsid w:val="00EF3CA4"/>
    <w:rsid w:val="00EF49A8"/>
    <w:rsid w:val="00EF7859"/>
    <w:rsid w:val="00F014DA"/>
    <w:rsid w:val="00F02591"/>
    <w:rsid w:val="00F07B65"/>
    <w:rsid w:val="00F10638"/>
    <w:rsid w:val="00F12F1A"/>
    <w:rsid w:val="00F149EE"/>
    <w:rsid w:val="00F30AE1"/>
    <w:rsid w:val="00F35B69"/>
    <w:rsid w:val="00F36949"/>
    <w:rsid w:val="00F422C1"/>
    <w:rsid w:val="00F43199"/>
    <w:rsid w:val="00F45E4E"/>
    <w:rsid w:val="00F461A7"/>
    <w:rsid w:val="00F47A1F"/>
    <w:rsid w:val="00F536C0"/>
    <w:rsid w:val="00F53D8B"/>
    <w:rsid w:val="00F546CA"/>
    <w:rsid w:val="00F568CA"/>
    <w:rsid w:val="00F5694E"/>
    <w:rsid w:val="00F5696E"/>
    <w:rsid w:val="00F57348"/>
    <w:rsid w:val="00F60EFF"/>
    <w:rsid w:val="00F65586"/>
    <w:rsid w:val="00F67D2D"/>
    <w:rsid w:val="00F70EFC"/>
    <w:rsid w:val="00F7425D"/>
    <w:rsid w:val="00F858F2"/>
    <w:rsid w:val="00F860CC"/>
    <w:rsid w:val="00F93E71"/>
    <w:rsid w:val="00F94398"/>
    <w:rsid w:val="00FA2DF3"/>
    <w:rsid w:val="00FA579F"/>
    <w:rsid w:val="00FA62F5"/>
    <w:rsid w:val="00FA65D0"/>
    <w:rsid w:val="00FA6C4A"/>
    <w:rsid w:val="00FA7F47"/>
    <w:rsid w:val="00FB2B56"/>
    <w:rsid w:val="00FB3597"/>
    <w:rsid w:val="00FB55D5"/>
    <w:rsid w:val="00FB56FB"/>
    <w:rsid w:val="00FC12BF"/>
    <w:rsid w:val="00FC14AF"/>
    <w:rsid w:val="00FC1C1E"/>
    <w:rsid w:val="00FC2C60"/>
    <w:rsid w:val="00FC36F0"/>
    <w:rsid w:val="00FC7A11"/>
    <w:rsid w:val="00FD2204"/>
    <w:rsid w:val="00FD3E6F"/>
    <w:rsid w:val="00FD51B9"/>
    <w:rsid w:val="00FD5849"/>
    <w:rsid w:val="00FD5ABC"/>
    <w:rsid w:val="00FE03E4"/>
    <w:rsid w:val="00FE23AD"/>
    <w:rsid w:val="00FE2A39"/>
    <w:rsid w:val="00FE4F68"/>
    <w:rsid w:val="00FE73C2"/>
    <w:rsid w:val="00FF04FE"/>
    <w:rsid w:val="00FF2916"/>
    <w:rsid w:val="00FF39CF"/>
    <w:rsid w:val="00FF6F32"/>
    <w:rsid w:val="00FF7159"/>
    <w:rsid w:val="00FF7580"/>
    <w:rsid w:val="00FF792F"/>
    <w:rsid w:val="00FF7A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E30C9F6"/>
  <w15:docId w15:val="{B790BB2D-4E6B-4D19-B804-034E001B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1F2C24"/>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table" w:styleId="PlainTable4">
    <w:name w:val="Plain Table 4"/>
    <w:basedOn w:val="TableNormal"/>
    <w:uiPriority w:val="44"/>
    <w:rsid w:val="00482D1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7632F1"/>
    <w:pPr>
      <w:spacing w:after="0"/>
    </w:pPr>
    <w:rPr>
      <w:sz w:val="20"/>
      <w:szCs w:val="20"/>
    </w:rPr>
  </w:style>
  <w:style w:type="character" w:customStyle="1" w:styleId="FootnoteTextChar">
    <w:name w:val="Footnote Text Char"/>
    <w:basedOn w:val="DefaultParagraphFont"/>
    <w:link w:val="FootnoteText"/>
    <w:uiPriority w:val="99"/>
    <w:semiHidden/>
    <w:rsid w:val="007632F1"/>
    <w:rPr>
      <w:rFonts w:ascii="Lato" w:hAnsi="Lato"/>
      <w:sz w:val="20"/>
      <w:szCs w:val="20"/>
    </w:rPr>
  </w:style>
  <w:style w:type="character" w:styleId="FootnoteReference">
    <w:name w:val="footnote reference"/>
    <w:basedOn w:val="DefaultParagraphFont"/>
    <w:uiPriority w:val="99"/>
    <w:semiHidden/>
    <w:unhideWhenUsed/>
    <w:rsid w:val="007632F1"/>
    <w:rPr>
      <w:vertAlign w:val="superscript"/>
    </w:rPr>
  </w:style>
  <w:style w:type="character" w:styleId="CommentReference">
    <w:name w:val="annotation reference"/>
    <w:basedOn w:val="DefaultParagraphFont"/>
    <w:uiPriority w:val="99"/>
    <w:semiHidden/>
    <w:unhideWhenUsed/>
    <w:rsid w:val="00F422C1"/>
    <w:rPr>
      <w:sz w:val="16"/>
      <w:szCs w:val="16"/>
    </w:rPr>
  </w:style>
  <w:style w:type="paragraph" w:styleId="CommentText">
    <w:name w:val="annotation text"/>
    <w:basedOn w:val="Normal"/>
    <w:link w:val="CommentTextChar"/>
    <w:uiPriority w:val="99"/>
    <w:semiHidden/>
    <w:unhideWhenUsed/>
    <w:rsid w:val="00F422C1"/>
    <w:rPr>
      <w:sz w:val="20"/>
      <w:szCs w:val="20"/>
    </w:rPr>
  </w:style>
  <w:style w:type="character" w:customStyle="1" w:styleId="CommentTextChar">
    <w:name w:val="Comment Text Char"/>
    <w:basedOn w:val="DefaultParagraphFont"/>
    <w:link w:val="CommentText"/>
    <w:uiPriority w:val="99"/>
    <w:semiHidden/>
    <w:rsid w:val="00F422C1"/>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F422C1"/>
    <w:rPr>
      <w:b/>
      <w:bCs/>
    </w:rPr>
  </w:style>
  <w:style w:type="character" w:customStyle="1" w:styleId="CommentSubjectChar">
    <w:name w:val="Comment Subject Char"/>
    <w:basedOn w:val="CommentTextChar"/>
    <w:link w:val="CommentSubject"/>
    <w:uiPriority w:val="99"/>
    <w:semiHidden/>
    <w:rsid w:val="00F422C1"/>
    <w:rPr>
      <w:rFonts w:ascii="Lato" w:hAnsi="Lato"/>
      <w:b/>
      <w:bCs/>
      <w:sz w:val="20"/>
      <w:szCs w:val="20"/>
    </w:rPr>
  </w:style>
  <w:style w:type="paragraph" w:styleId="Revision">
    <w:name w:val="Revision"/>
    <w:hidden/>
    <w:uiPriority w:val="99"/>
    <w:semiHidden/>
    <w:rsid w:val="00632449"/>
    <w:pPr>
      <w:spacing w:after="0"/>
    </w:pPr>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3185">
      <w:bodyDiv w:val="1"/>
      <w:marLeft w:val="0"/>
      <w:marRight w:val="0"/>
      <w:marTop w:val="0"/>
      <w:marBottom w:val="0"/>
      <w:divBdr>
        <w:top w:val="none" w:sz="0" w:space="0" w:color="auto"/>
        <w:left w:val="none" w:sz="0" w:space="0" w:color="auto"/>
        <w:bottom w:val="none" w:sz="0" w:space="0" w:color="auto"/>
        <w:right w:val="none" w:sz="0" w:space="0" w:color="auto"/>
      </w:divBdr>
    </w:div>
    <w:div w:id="35932648">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55657989">
      <w:bodyDiv w:val="1"/>
      <w:marLeft w:val="0"/>
      <w:marRight w:val="0"/>
      <w:marTop w:val="0"/>
      <w:marBottom w:val="0"/>
      <w:divBdr>
        <w:top w:val="none" w:sz="0" w:space="0" w:color="auto"/>
        <w:left w:val="none" w:sz="0" w:space="0" w:color="auto"/>
        <w:bottom w:val="none" w:sz="0" w:space="0" w:color="auto"/>
        <w:right w:val="none" w:sz="0" w:space="0" w:color="auto"/>
      </w:divBdr>
    </w:div>
    <w:div w:id="322197383">
      <w:bodyDiv w:val="1"/>
      <w:marLeft w:val="0"/>
      <w:marRight w:val="0"/>
      <w:marTop w:val="0"/>
      <w:marBottom w:val="0"/>
      <w:divBdr>
        <w:top w:val="none" w:sz="0" w:space="0" w:color="auto"/>
        <w:left w:val="none" w:sz="0" w:space="0" w:color="auto"/>
        <w:bottom w:val="none" w:sz="0" w:space="0" w:color="auto"/>
        <w:right w:val="none" w:sz="0" w:space="0" w:color="auto"/>
      </w:divBdr>
    </w:div>
    <w:div w:id="515384822">
      <w:bodyDiv w:val="1"/>
      <w:marLeft w:val="0"/>
      <w:marRight w:val="0"/>
      <w:marTop w:val="0"/>
      <w:marBottom w:val="0"/>
      <w:divBdr>
        <w:top w:val="none" w:sz="0" w:space="0" w:color="auto"/>
        <w:left w:val="none" w:sz="0" w:space="0" w:color="auto"/>
        <w:bottom w:val="none" w:sz="0" w:space="0" w:color="auto"/>
        <w:right w:val="none" w:sz="0" w:space="0" w:color="auto"/>
      </w:divBdr>
    </w:div>
    <w:div w:id="643389988">
      <w:bodyDiv w:val="1"/>
      <w:marLeft w:val="0"/>
      <w:marRight w:val="0"/>
      <w:marTop w:val="0"/>
      <w:marBottom w:val="0"/>
      <w:divBdr>
        <w:top w:val="none" w:sz="0" w:space="0" w:color="auto"/>
        <w:left w:val="none" w:sz="0" w:space="0" w:color="auto"/>
        <w:bottom w:val="none" w:sz="0" w:space="0" w:color="auto"/>
        <w:right w:val="none" w:sz="0" w:space="0" w:color="auto"/>
      </w:divBdr>
    </w:div>
    <w:div w:id="662395597">
      <w:bodyDiv w:val="1"/>
      <w:marLeft w:val="0"/>
      <w:marRight w:val="0"/>
      <w:marTop w:val="0"/>
      <w:marBottom w:val="0"/>
      <w:divBdr>
        <w:top w:val="none" w:sz="0" w:space="0" w:color="auto"/>
        <w:left w:val="none" w:sz="0" w:space="0" w:color="auto"/>
        <w:bottom w:val="none" w:sz="0" w:space="0" w:color="auto"/>
        <w:right w:val="none" w:sz="0" w:space="0" w:color="auto"/>
      </w:divBdr>
    </w:div>
    <w:div w:id="881551336">
      <w:bodyDiv w:val="1"/>
      <w:marLeft w:val="0"/>
      <w:marRight w:val="0"/>
      <w:marTop w:val="0"/>
      <w:marBottom w:val="0"/>
      <w:divBdr>
        <w:top w:val="none" w:sz="0" w:space="0" w:color="auto"/>
        <w:left w:val="none" w:sz="0" w:space="0" w:color="auto"/>
        <w:bottom w:val="none" w:sz="0" w:space="0" w:color="auto"/>
        <w:right w:val="none" w:sz="0" w:space="0" w:color="auto"/>
      </w:divBdr>
    </w:div>
    <w:div w:id="1014839982">
      <w:bodyDiv w:val="1"/>
      <w:marLeft w:val="0"/>
      <w:marRight w:val="0"/>
      <w:marTop w:val="0"/>
      <w:marBottom w:val="0"/>
      <w:divBdr>
        <w:top w:val="none" w:sz="0" w:space="0" w:color="auto"/>
        <w:left w:val="none" w:sz="0" w:space="0" w:color="auto"/>
        <w:bottom w:val="none" w:sz="0" w:space="0" w:color="auto"/>
        <w:right w:val="none" w:sz="0" w:space="0" w:color="auto"/>
      </w:divBdr>
    </w:div>
    <w:div w:id="1014845395">
      <w:bodyDiv w:val="1"/>
      <w:marLeft w:val="0"/>
      <w:marRight w:val="0"/>
      <w:marTop w:val="0"/>
      <w:marBottom w:val="0"/>
      <w:divBdr>
        <w:top w:val="none" w:sz="0" w:space="0" w:color="auto"/>
        <w:left w:val="none" w:sz="0" w:space="0" w:color="auto"/>
        <w:bottom w:val="none" w:sz="0" w:space="0" w:color="auto"/>
        <w:right w:val="none" w:sz="0" w:space="0" w:color="auto"/>
      </w:divBdr>
    </w:div>
    <w:div w:id="1113406973">
      <w:bodyDiv w:val="1"/>
      <w:marLeft w:val="0"/>
      <w:marRight w:val="0"/>
      <w:marTop w:val="0"/>
      <w:marBottom w:val="0"/>
      <w:divBdr>
        <w:top w:val="none" w:sz="0" w:space="0" w:color="auto"/>
        <w:left w:val="none" w:sz="0" w:space="0" w:color="auto"/>
        <w:bottom w:val="none" w:sz="0" w:space="0" w:color="auto"/>
        <w:right w:val="none" w:sz="0" w:space="0" w:color="auto"/>
      </w:divBdr>
    </w:div>
    <w:div w:id="1130591392">
      <w:bodyDiv w:val="1"/>
      <w:marLeft w:val="0"/>
      <w:marRight w:val="0"/>
      <w:marTop w:val="0"/>
      <w:marBottom w:val="0"/>
      <w:divBdr>
        <w:top w:val="none" w:sz="0" w:space="0" w:color="auto"/>
        <w:left w:val="none" w:sz="0" w:space="0" w:color="auto"/>
        <w:bottom w:val="none" w:sz="0" w:space="0" w:color="auto"/>
        <w:right w:val="none" w:sz="0" w:space="0" w:color="auto"/>
      </w:divBdr>
    </w:div>
    <w:div w:id="1157720796">
      <w:bodyDiv w:val="1"/>
      <w:marLeft w:val="0"/>
      <w:marRight w:val="0"/>
      <w:marTop w:val="0"/>
      <w:marBottom w:val="0"/>
      <w:divBdr>
        <w:top w:val="none" w:sz="0" w:space="0" w:color="auto"/>
        <w:left w:val="none" w:sz="0" w:space="0" w:color="auto"/>
        <w:bottom w:val="none" w:sz="0" w:space="0" w:color="auto"/>
        <w:right w:val="none" w:sz="0" w:space="0" w:color="auto"/>
      </w:divBdr>
    </w:div>
    <w:div w:id="1260066482">
      <w:bodyDiv w:val="1"/>
      <w:marLeft w:val="0"/>
      <w:marRight w:val="0"/>
      <w:marTop w:val="0"/>
      <w:marBottom w:val="0"/>
      <w:divBdr>
        <w:top w:val="none" w:sz="0" w:space="0" w:color="auto"/>
        <w:left w:val="none" w:sz="0" w:space="0" w:color="auto"/>
        <w:bottom w:val="none" w:sz="0" w:space="0" w:color="auto"/>
        <w:right w:val="none" w:sz="0" w:space="0" w:color="auto"/>
      </w:divBdr>
    </w:div>
    <w:div w:id="1278223381">
      <w:bodyDiv w:val="1"/>
      <w:marLeft w:val="0"/>
      <w:marRight w:val="0"/>
      <w:marTop w:val="0"/>
      <w:marBottom w:val="0"/>
      <w:divBdr>
        <w:top w:val="none" w:sz="0" w:space="0" w:color="auto"/>
        <w:left w:val="none" w:sz="0" w:space="0" w:color="auto"/>
        <w:bottom w:val="none" w:sz="0" w:space="0" w:color="auto"/>
        <w:right w:val="none" w:sz="0" w:space="0" w:color="auto"/>
      </w:divBdr>
    </w:div>
    <w:div w:id="1331443788">
      <w:bodyDiv w:val="1"/>
      <w:marLeft w:val="0"/>
      <w:marRight w:val="0"/>
      <w:marTop w:val="0"/>
      <w:marBottom w:val="0"/>
      <w:divBdr>
        <w:top w:val="none" w:sz="0" w:space="0" w:color="auto"/>
        <w:left w:val="none" w:sz="0" w:space="0" w:color="auto"/>
        <w:bottom w:val="none" w:sz="0" w:space="0" w:color="auto"/>
        <w:right w:val="none" w:sz="0" w:space="0" w:color="auto"/>
      </w:divBdr>
    </w:div>
    <w:div w:id="1512261896">
      <w:bodyDiv w:val="1"/>
      <w:marLeft w:val="0"/>
      <w:marRight w:val="0"/>
      <w:marTop w:val="0"/>
      <w:marBottom w:val="0"/>
      <w:divBdr>
        <w:top w:val="none" w:sz="0" w:space="0" w:color="auto"/>
        <w:left w:val="none" w:sz="0" w:space="0" w:color="auto"/>
        <w:bottom w:val="none" w:sz="0" w:space="0" w:color="auto"/>
        <w:right w:val="none" w:sz="0" w:space="0" w:color="auto"/>
      </w:divBdr>
    </w:div>
    <w:div w:id="1698039390">
      <w:bodyDiv w:val="1"/>
      <w:marLeft w:val="0"/>
      <w:marRight w:val="0"/>
      <w:marTop w:val="0"/>
      <w:marBottom w:val="0"/>
      <w:divBdr>
        <w:top w:val="none" w:sz="0" w:space="0" w:color="auto"/>
        <w:left w:val="none" w:sz="0" w:space="0" w:color="auto"/>
        <w:bottom w:val="none" w:sz="0" w:space="0" w:color="auto"/>
        <w:right w:val="none" w:sz="0" w:space="0" w:color="auto"/>
      </w:divBdr>
    </w:div>
    <w:div w:id="1715497171">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781562699">
      <w:bodyDiv w:val="1"/>
      <w:marLeft w:val="0"/>
      <w:marRight w:val="0"/>
      <w:marTop w:val="0"/>
      <w:marBottom w:val="0"/>
      <w:divBdr>
        <w:top w:val="none" w:sz="0" w:space="0" w:color="auto"/>
        <w:left w:val="none" w:sz="0" w:space="0" w:color="auto"/>
        <w:bottom w:val="none" w:sz="0" w:space="0" w:color="auto"/>
        <w:right w:val="none" w:sz="0" w:space="0" w:color="auto"/>
      </w:divBdr>
    </w:div>
    <w:div w:id="1788739780">
      <w:bodyDiv w:val="1"/>
      <w:marLeft w:val="0"/>
      <w:marRight w:val="0"/>
      <w:marTop w:val="0"/>
      <w:marBottom w:val="0"/>
      <w:divBdr>
        <w:top w:val="none" w:sz="0" w:space="0" w:color="auto"/>
        <w:left w:val="none" w:sz="0" w:space="0" w:color="auto"/>
        <w:bottom w:val="none" w:sz="0" w:space="0" w:color="auto"/>
        <w:right w:val="none" w:sz="0" w:space="0" w:color="auto"/>
      </w:divBdr>
    </w:div>
    <w:div w:id="1797016855">
      <w:bodyDiv w:val="1"/>
      <w:marLeft w:val="0"/>
      <w:marRight w:val="0"/>
      <w:marTop w:val="0"/>
      <w:marBottom w:val="0"/>
      <w:divBdr>
        <w:top w:val="none" w:sz="0" w:space="0" w:color="auto"/>
        <w:left w:val="none" w:sz="0" w:space="0" w:color="auto"/>
        <w:bottom w:val="none" w:sz="0" w:space="0" w:color="auto"/>
        <w:right w:val="none" w:sz="0" w:space="0" w:color="auto"/>
      </w:divBdr>
    </w:div>
    <w:div w:id="2013792934">
      <w:bodyDiv w:val="1"/>
      <w:marLeft w:val="0"/>
      <w:marRight w:val="0"/>
      <w:marTop w:val="0"/>
      <w:marBottom w:val="0"/>
      <w:divBdr>
        <w:top w:val="none" w:sz="0" w:space="0" w:color="auto"/>
        <w:left w:val="none" w:sz="0" w:space="0" w:color="auto"/>
        <w:bottom w:val="none" w:sz="0" w:space="0" w:color="auto"/>
        <w:right w:val="none" w:sz="0" w:space="0" w:color="auto"/>
      </w:divBdr>
    </w:div>
    <w:div w:id="2015330057">
      <w:bodyDiv w:val="1"/>
      <w:marLeft w:val="0"/>
      <w:marRight w:val="0"/>
      <w:marTop w:val="0"/>
      <w:marBottom w:val="0"/>
      <w:divBdr>
        <w:top w:val="none" w:sz="0" w:space="0" w:color="auto"/>
        <w:left w:val="none" w:sz="0" w:space="0" w:color="auto"/>
        <w:bottom w:val="none" w:sz="0" w:space="0" w:color="auto"/>
        <w:right w:val="none" w:sz="0" w:space="0" w:color="auto"/>
      </w:divBdr>
    </w:div>
    <w:div w:id="2036225730">
      <w:bodyDiv w:val="1"/>
      <w:marLeft w:val="0"/>
      <w:marRight w:val="0"/>
      <w:marTop w:val="0"/>
      <w:marBottom w:val="0"/>
      <w:divBdr>
        <w:top w:val="none" w:sz="0" w:space="0" w:color="auto"/>
        <w:left w:val="none" w:sz="0" w:space="0" w:color="auto"/>
        <w:bottom w:val="none" w:sz="0" w:space="0" w:color="auto"/>
        <w:right w:val="none" w:sz="0" w:space="0" w:color="auto"/>
      </w:divBdr>
    </w:div>
    <w:div w:id="205006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short%20document%20-%20portrait.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2023-09-29T00:00:00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93EC40-FB7C-4A23-BA41-622A81CBB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short document - portrait.dotx</Template>
  <TotalTime>1668</TotalTime>
  <Pages>2</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State of the Economy – June Q 2023</vt:lpstr>
    </vt:vector>
  </TitlesOfParts>
  <Company>Industry, Tourism and Trade</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the Economy – June Q 2023</dc:title>
  <dc:creator>Northern Territory Government</dc:creator>
  <cp:lastModifiedBy>Babu Ram Pantha</cp:lastModifiedBy>
  <cp:revision>96</cp:revision>
  <cp:lastPrinted>2023-10-12T06:08:00Z</cp:lastPrinted>
  <dcterms:created xsi:type="dcterms:W3CDTF">2023-09-08T04:49:00Z</dcterms:created>
  <dcterms:modified xsi:type="dcterms:W3CDTF">2023-10-12T06:08:00Z</dcterms:modified>
</cp:coreProperties>
</file>