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BD3C" w14:textId="77777777" w:rsidR="00FD642A" w:rsidRDefault="00FD642A" w:rsidP="00C46B4D">
      <w:pPr>
        <w:ind w:left="720" w:hanging="360"/>
      </w:pPr>
    </w:p>
    <w:p w14:paraId="377A9DC3" w14:textId="0DB85E56" w:rsidR="00FD642A" w:rsidRDefault="00FD642A" w:rsidP="00C46B4D">
      <w:pPr>
        <w:pStyle w:val="ListParagraph"/>
        <w:numPr>
          <w:ilvl w:val="0"/>
          <w:numId w:val="9"/>
        </w:numPr>
      </w:pPr>
      <w:r>
        <w:t>The Australian Bureau of Statistics (ABS) released preliminary business counts data for 2024-25 on 26 August 2025.</w:t>
      </w:r>
    </w:p>
    <w:p w14:paraId="4357D82A" w14:textId="2B50F3F5" w:rsidR="00C13EA3" w:rsidRDefault="00927A1E" w:rsidP="00C46B4D">
      <w:pPr>
        <w:pStyle w:val="ListParagraph"/>
        <w:numPr>
          <w:ilvl w:val="0"/>
          <w:numId w:val="9"/>
        </w:numPr>
      </w:pPr>
      <w:r>
        <w:t>In 2024-25, t</w:t>
      </w:r>
      <w:r w:rsidR="005F4FDF">
        <w:t>he</w:t>
      </w:r>
      <w:r w:rsidR="00EF23CC" w:rsidRPr="00EF23CC">
        <w:t xml:space="preserve"> number of businesses </w:t>
      </w:r>
      <w:r w:rsidR="00212131">
        <w:t xml:space="preserve">operating in the Territory </w:t>
      </w:r>
      <w:r w:rsidR="00CA6D42">
        <w:t>rose</w:t>
      </w:r>
      <w:r w:rsidR="00CA6D42" w:rsidRPr="00EF23CC">
        <w:t xml:space="preserve"> </w:t>
      </w:r>
      <w:r w:rsidR="00EF23CC" w:rsidRPr="00EF23CC">
        <w:t xml:space="preserve">by </w:t>
      </w:r>
      <w:r w:rsidR="00EF23CC" w:rsidRPr="00326BA5">
        <w:rPr>
          <w:b/>
          <w:bCs/>
        </w:rPr>
        <w:t>2.5%</w:t>
      </w:r>
      <w:r w:rsidR="00044D47">
        <w:rPr>
          <w:b/>
          <w:bCs/>
        </w:rPr>
        <w:t xml:space="preserve"> or 4</w:t>
      </w:r>
      <w:r w:rsidR="004615A6">
        <w:rPr>
          <w:b/>
          <w:bCs/>
        </w:rPr>
        <w:t>16</w:t>
      </w:r>
      <w:r w:rsidR="00044D47">
        <w:rPr>
          <w:b/>
          <w:bCs/>
        </w:rPr>
        <w:t xml:space="preserve"> businesses</w:t>
      </w:r>
      <w:r w:rsidR="00EF23CC" w:rsidRPr="00326BA5">
        <w:rPr>
          <w:b/>
          <w:bCs/>
        </w:rPr>
        <w:t xml:space="preserve"> to 16,796</w:t>
      </w:r>
      <w:r>
        <w:rPr>
          <w:b/>
          <w:bCs/>
        </w:rPr>
        <w:t xml:space="preserve"> businesses</w:t>
      </w:r>
      <w:r w:rsidR="00EF23CC" w:rsidRPr="00EF23CC">
        <w:t xml:space="preserve"> </w:t>
      </w:r>
      <w:r w:rsidR="00EF23CC" w:rsidRPr="00326BA5">
        <w:t>(Table 1</w:t>
      </w:r>
      <w:r w:rsidR="00C13EA3">
        <w:t>)</w:t>
      </w:r>
      <w:r w:rsidR="00377EDB">
        <w:t>, following 1.7% growth in 2023-24</w:t>
      </w:r>
      <w:r w:rsidR="00CA6D42">
        <w:t>.</w:t>
      </w:r>
      <w:r w:rsidR="00EF23CC" w:rsidRPr="00EF23CC">
        <w:t xml:space="preserve"> </w:t>
      </w:r>
    </w:p>
    <w:p w14:paraId="44FC8CE8" w14:textId="1D7CE9E6" w:rsidR="00377EDB" w:rsidRDefault="00377EDB" w:rsidP="00C46B4D">
      <w:pPr>
        <w:pStyle w:val="ListParagraph"/>
        <w:numPr>
          <w:ilvl w:val="0"/>
          <w:numId w:val="9"/>
        </w:numPr>
      </w:pPr>
      <w:r>
        <w:t>Over the past four years (Ju</w:t>
      </w:r>
      <w:r w:rsidR="004615A6">
        <w:t>ly</w:t>
      </w:r>
      <w:r>
        <w:t xml:space="preserve"> 2021 to June 2025), </w:t>
      </w:r>
      <w:r w:rsidR="00927A1E">
        <w:t xml:space="preserve">the </w:t>
      </w:r>
      <w:r>
        <w:t>number of Territory businesses h</w:t>
      </w:r>
      <w:r w:rsidR="00044D47">
        <w:t>as</w:t>
      </w:r>
      <w:r>
        <w:t xml:space="preserve"> grown</w:t>
      </w:r>
      <w:r w:rsidR="00044D47">
        <w:t xml:space="preserve"> on average</w:t>
      </w:r>
      <w:r>
        <w:t xml:space="preserve"> by 3% annually, </w:t>
      </w:r>
      <w:r w:rsidR="00044D47">
        <w:t xml:space="preserve">slightly </w:t>
      </w:r>
      <w:r>
        <w:t>below the 3.3% average growth nationally.</w:t>
      </w:r>
    </w:p>
    <w:p w14:paraId="408D9DF6" w14:textId="5BABCBDA" w:rsidR="00212131" w:rsidRDefault="00A85796" w:rsidP="00C46B4D">
      <w:pPr>
        <w:pStyle w:val="ListParagraph"/>
        <w:numPr>
          <w:ilvl w:val="0"/>
          <w:numId w:val="9"/>
        </w:numPr>
      </w:pPr>
      <w:r>
        <w:t xml:space="preserve">Among the jurisdictions, </w:t>
      </w:r>
      <w:r w:rsidR="00044D47">
        <w:t xml:space="preserve">growth </w:t>
      </w:r>
      <w:r w:rsidR="00927A1E">
        <w:t xml:space="preserve">in business numbers </w:t>
      </w:r>
      <w:r w:rsidR="00044D47">
        <w:t xml:space="preserve">was highest in </w:t>
      </w:r>
      <w:r w:rsidR="00EF23CC" w:rsidRPr="00EF23CC">
        <w:t>Western Australia (4.3%</w:t>
      </w:r>
      <w:r w:rsidR="00044D47">
        <w:t xml:space="preserve"> and 10,877 businesses</w:t>
      </w:r>
      <w:r w:rsidR="00EF23CC" w:rsidRPr="00EF23CC">
        <w:t>)</w:t>
      </w:r>
      <w:r w:rsidR="00044D47">
        <w:t xml:space="preserve"> and lowest in </w:t>
      </w:r>
      <w:r w:rsidR="00EF23CC" w:rsidRPr="00EF23CC">
        <w:t>Tasmania</w:t>
      </w:r>
      <w:r w:rsidR="005F4FDF">
        <w:t xml:space="preserve"> </w:t>
      </w:r>
      <w:r w:rsidR="00EF23CC" w:rsidRPr="00EF23CC">
        <w:t>(0.5%</w:t>
      </w:r>
      <w:r w:rsidR="00044D47">
        <w:t xml:space="preserve"> and 218 businesses</w:t>
      </w:r>
      <w:r w:rsidR="00EF23CC" w:rsidRPr="00EF23CC">
        <w:t>).</w:t>
      </w:r>
      <w:r w:rsidR="000771B0">
        <w:t xml:space="preserve"> However, New South Wales registered the largest net increase in </w:t>
      </w:r>
      <w:r w:rsidR="00044D47">
        <w:t xml:space="preserve">the </w:t>
      </w:r>
      <w:r w:rsidR="000771B0">
        <w:t>number of businesses at 20,040</w:t>
      </w:r>
      <w:r w:rsidR="00044D47">
        <w:t xml:space="preserve"> and 2.2%</w:t>
      </w:r>
      <w:r w:rsidR="004615A6">
        <w:t xml:space="preserve"> </w:t>
      </w:r>
      <w:r w:rsidR="00044D47">
        <w:t>growth</w:t>
      </w:r>
      <w:r w:rsidR="000771B0">
        <w:t>.</w:t>
      </w:r>
    </w:p>
    <w:p w14:paraId="44F7B43B" w14:textId="587F1260" w:rsidR="00212131" w:rsidRPr="00EF23CC" w:rsidRDefault="005F4FDF" w:rsidP="00C46B4D">
      <w:pPr>
        <w:pStyle w:val="ListParagraph"/>
        <w:numPr>
          <w:ilvl w:val="0"/>
          <w:numId w:val="9"/>
        </w:numPr>
      </w:pPr>
      <w:r>
        <w:t>T</w:t>
      </w:r>
      <w:r w:rsidR="00212131" w:rsidRPr="00EF23CC">
        <w:t xml:space="preserve">he Territory’s business entry rate remained steady at 17%, </w:t>
      </w:r>
      <w:r w:rsidR="006777A9">
        <w:t>above</w:t>
      </w:r>
      <w:r w:rsidR="00336CAC">
        <w:t xml:space="preserve"> </w:t>
      </w:r>
      <w:r w:rsidR="00927A1E">
        <w:t xml:space="preserve">the </w:t>
      </w:r>
      <w:r w:rsidR="00336CAC">
        <w:t>nationa</w:t>
      </w:r>
      <w:r w:rsidR="00927A1E">
        <w:t>l rate</w:t>
      </w:r>
      <w:r w:rsidR="00212131" w:rsidRPr="00EF23CC">
        <w:t xml:space="preserve"> </w:t>
      </w:r>
      <w:r w:rsidR="00336CAC">
        <w:t>(</w:t>
      </w:r>
      <w:r w:rsidR="00212131" w:rsidRPr="00EF23CC">
        <w:t>16.4%</w:t>
      </w:r>
      <w:r w:rsidR="00336CAC">
        <w:t>)</w:t>
      </w:r>
      <w:r w:rsidR="00212131" w:rsidRPr="00EF23CC">
        <w:t xml:space="preserve"> </w:t>
      </w:r>
      <w:r w:rsidR="00212131" w:rsidRPr="00326BA5">
        <w:t>(Chart</w:t>
      </w:r>
      <w:r w:rsidR="00927A1E">
        <w:t> </w:t>
      </w:r>
      <w:r w:rsidR="00212131" w:rsidRPr="00326BA5">
        <w:t>1</w:t>
      </w:r>
      <w:r w:rsidR="00212131" w:rsidRPr="00C46B4D">
        <w:rPr>
          <w:b/>
          <w:bCs/>
        </w:rPr>
        <w:t>)</w:t>
      </w:r>
      <w:r w:rsidR="00212131" w:rsidRPr="00EF23CC">
        <w:t xml:space="preserve">. </w:t>
      </w:r>
      <w:r w:rsidR="00CA6D42">
        <w:t>Entry</w:t>
      </w:r>
      <w:r w:rsidR="00212131" w:rsidRPr="00EF23CC">
        <w:t xml:space="preserve"> rates fell </w:t>
      </w:r>
      <w:r w:rsidR="00CA6D42">
        <w:t>in most</w:t>
      </w:r>
      <w:r w:rsidR="00212131" w:rsidRPr="00EF23CC">
        <w:t xml:space="preserve"> jurisdictions except Western </w:t>
      </w:r>
      <w:proofErr w:type="gramStart"/>
      <w:r w:rsidR="00212131" w:rsidRPr="00EF23CC">
        <w:t xml:space="preserve">Australia, </w:t>
      </w:r>
      <w:r w:rsidR="00927A1E">
        <w:t>and</w:t>
      </w:r>
      <w:proofErr w:type="gramEnd"/>
      <w:r w:rsidR="00927A1E">
        <w:t xml:space="preserve"> </w:t>
      </w:r>
      <w:r w:rsidR="006777A9">
        <w:t>rang</w:t>
      </w:r>
      <w:r w:rsidR="00927A1E">
        <w:t>ed</w:t>
      </w:r>
      <w:r w:rsidR="00212131" w:rsidRPr="00EF23CC">
        <w:t xml:space="preserve"> from</w:t>
      </w:r>
      <w:r w:rsidR="00212131">
        <w:t xml:space="preserve"> </w:t>
      </w:r>
      <w:r w:rsidR="00212131" w:rsidRPr="00EF23CC">
        <w:t>12.7% in Tasmania to 17.4% in the ACT.</w:t>
      </w:r>
    </w:p>
    <w:p w14:paraId="6DCA11D3" w14:textId="08EEBCD5" w:rsidR="00212131" w:rsidRPr="00EF23CC" w:rsidRDefault="00212131" w:rsidP="00C46B4D">
      <w:pPr>
        <w:pStyle w:val="ListParagraph"/>
        <w:numPr>
          <w:ilvl w:val="0"/>
          <w:numId w:val="9"/>
        </w:numPr>
      </w:pPr>
      <w:r w:rsidRPr="00EF23CC">
        <w:t>The Territory</w:t>
      </w:r>
      <w:r w:rsidR="00CA6D42">
        <w:t>’s exit rate</w:t>
      </w:r>
      <w:r w:rsidRPr="00EF23CC">
        <w:t xml:space="preserve"> was 13.7%, slightly </w:t>
      </w:r>
      <w:r>
        <w:t>below</w:t>
      </w:r>
      <w:r w:rsidRPr="00EF23CC">
        <w:t xml:space="preserve"> the national rate of 13.9%</w:t>
      </w:r>
      <w:r w:rsidR="00CA6D42">
        <w:t xml:space="preserve">, </w:t>
      </w:r>
      <w:r w:rsidR="006777A9">
        <w:t>and</w:t>
      </w:r>
      <w:r w:rsidR="00CA6D42">
        <w:t xml:space="preserve"> improved from 14.6% in the previous year</w:t>
      </w:r>
      <w:r w:rsidRPr="00EF23CC">
        <w:t xml:space="preserve">. </w:t>
      </w:r>
      <w:r>
        <w:t>The ACT</w:t>
      </w:r>
      <w:r w:rsidRPr="00EF23CC">
        <w:t xml:space="preserve"> </w:t>
      </w:r>
      <w:r>
        <w:t xml:space="preserve">recorded the highest exit rate </w:t>
      </w:r>
      <w:r w:rsidR="005F4FDF">
        <w:t>(</w:t>
      </w:r>
      <w:r w:rsidRPr="00EF23CC">
        <w:t>1</w:t>
      </w:r>
      <w:r>
        <w:t>5</w:t>
      </w:r>
      <w:r w:rsidRPr="00EF23CC">
        <w:t>.</w:t>
      </w:r>
      <w:r>
        <w:t>1</w:t>
      </w:r>
      <w:r w:rsidRPr="00EF23CC">
        <w:t>%</w:t>
      </w:r>
      <w:r w:rsidR="005F4FDF">
        <w:t>)</w:t>
      </w:r>
      <w:r w:rsidRPr="00EF23CC">
        <w:t xml:space="preserve"> while Tasmania had the lowest</w:t>
      </w:r>
      <w:r w:rsidR="005F4FDF">
        <w:t xml:space="preserve"> (</w:t>
      </w:r>
      <w:r>
        <w:t>12.1%</w:t>
      </w:r>
      <w:r w:rsidR="005F4FDF">
        <w:t>)</w:t>
      </w:r>
      <w:r w:rsidRPr="00EF23CC">
        <w:t xml:space="preserve">. </w:t>
      </w:r>
    </w:p>
    <w:p w14:paraId="3B8927F9" w14:textId="77777777" w:rsidR="00EF23CC" w:rsidRDefault="00EF23CC" w:rsidP="00EF23CC">
      <w:pPr>
        <w:spacing w:after="60"/>
        <w:jc w:val="center"/>
        <w:rPr>
          <w:spacing w:val="-4"/>
          <w:lang w:eastAsia="en-AU"/>
        </w:rPr>
      </w:pPr>
      <w:r>
        <w:rPr>
          <w:b/>
        </w:rPr>
        <w:t>Table 1: Business Counts for 2024</w:t>
      </w:r>
      <w:r>
        <w:rPr>
          <w:b/>
        </w:rPr>
        <w:noBreakHyphen/>
        <w:t>25</w:t>
      </w:r>
    </w:p>
    <w:tbl>
      <w:tblPr>
        <w:tblStyle w:val="NTGtabl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1276"/>
        <w:gridCol w:w="1134"/>
        <w:gridCol w:w="1559"/>
        <w:gridCol w:w="1134"/>
        <w:gridCol w:w="1418"/>
      </w:tblGrid>
      <w:tr w:rsidR="00C46B4D" w:rsidRPr="00DD363E" w14:paraId="18609470" w14:textId="77777777" w:rsidTr="00C46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17CF4078" w14:textId="77777777" w:rsidR="00C46B4D" w:rsidRPr="00DD363E" w:rsidRDefault="00C46B4D" w:rsidP="00E1056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4E8FA3D" w14:textId="77777777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Jun-2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14:paraId="10A22DB8" w14:textId="0D196A9B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Annual</w:t>
            </w:r>
            <w:r w:rsidRPr="00DD363E">
              <w:rPr>
                <w:sz w:val="21"/>
                <w:szCs w:val="21"/>
              </w:rPr>
              <w:t xml:space="preserve"> Change</w:t>
            </w:r>
          </w:p>
        </w:tc>
        <w:tc>
          <w:tcPr>
            <w:tcW w:w="1276" w:type="dxa"/>
          </w:tcPr>
          <w:p w14:paraId="38C0A551" w14:textId="77777777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Change (%)</w:t>
            </w:r>
          </w:p>
        </w:tc>
        <w:tc>
          <w:tcPr>
            <w:tcW w:w="1134" w:type="dxa"/>
          </w:tcPr>
          <w:p w14:paraId="5192D41D" w14:textId="77777777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Entries</w:t>
            </w:r>
          </w:p>
        </w:tc>
        <w:tc>
          <w:tcPr>
            <w:tcW w:w="1559" w:type="dxa"/>
          </w:tcPr>
          <w:p w14:paraId="08E04583" w14:textId="77777777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Entry rate (%)</w:t>
            </w:r>
          </w:p>
        </w:tc>
        <w:tc>
          <w:tcPr>
            <w:tcW w:w="1134" w:type="dxa"/>
          </w:tcPr>
          <w:p w14:paraId="1ED7786D" w14:textId="77777777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Exits</w:t>
            </w:r>
          </w:p>
        </w:tc>
        <w:tc>
          <w:tcPr>
            <w:tcW w:w="1418" w:type="dxa"/>
          </w:tcPr>
          <w:p w14:paraId="4B33AC2A" w14:textId="77777777" w:rsidR="00C46B4D" w:rsidRPr="00DD363E" w:rsidRDefault="00C46B4D" w:rsidP="00E105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Exit rate (%)</w:t>
            </w:r>
          </w:p>
        </w:tc>
      </w:tr>
      <w:tr w:rsidR="00C46B4D" w:rsidRPr="00DD363E" w14:paraId="2868C0F2" w14:textId="77777777" w:rsidTr="00C4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C2B439C" w14:textId="77777777" w:rsidR="00C46B4D" w:rsidRPr="00DD363E" w:rsidRDefault="00C46B4D" w:rsidP="00E1056F">
            <w:pPr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NT</w:t>
            </w:r>
          </w:p>
        </w:tc>
        <w:tc>
          <w:tcPr>
            <w:tcW w:w="1276" w:type="dxa"/>
          </w:tcPr>
          <w:p w14:paraId="32CD96FB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16,</w:t>
            </w:r>
            <w:r>
              <w:rPr>
                <w:sz w:val="21"/>
                <w:szCs w:val="21"/>
              </w:rPr>
              <w:t>796</w:t>
            </w:r>
          </w:p>
        </w:tc>
        <w:tc>
          <w:tcPr>
            <w:tcW w:w="992" w:type="dxa"/>
          </w:tcPr>
          <w:p w14:paraId="0F7AB5C0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416</w:t>
            </w:r>
          </w:p>
        </w:tc>
        <w:tc>
          <w:tcPr>
            <w:tcW w:w="1276" w:type="dxa"/>
          </w:tcPr>
          <w:p w14:paraId="719B49F5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134" w:type="dxa"/>
          </w:tcPr>
          <w:p w14:paraId="6D713995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2,7</w:t>
            </w:r>
            <w:r>
              <w:rPr>
                <w:sz w:val="21"/>
                <w:szCs w:val="21"/>
              </w:rPr>
              <w:t>86</w:t>
            </w:r>
          </w:p>
        </w:tc>
        <w:tc>
          <w:tcPr>
            <w:tcW w:w="1559" w:type="dxa"/>
          </w:tcPr>
          <w:p w14:paraId="2BBAF374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17.0</w:t>
            </w:r>
          </w:p>
        </w:tc>
        <w:tc>
          <w:tcPr>
            <w:tcW w:w="1134" w:type="dxa"/>
          </w:tcPr>
          <w:p w14:paraId="3E1A7964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</w:t>
            </w:r>
            <w:r>
              <w:rPr>
                <w:sz w:val="21"/>
                <w:szCs w:val="21"/>
              </w:rPr>
              <w:t>238</w:t>
            </w:r>
          </w:p>
        </w:tc>
        <w:tc>
          <w:tcPr>
            <w:tcW w:w="1418" w:type="dxa"/>
          </w:tcPr>
          <w:p w14:paraId="18AFB969" w14:textId="77777777" w:rsidR="00C46B4D" w:rsidRPr="00DD363E" w:rsidRDefault="00C46B4D" w:rsidP="00E10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</w:t>
            </w:r>
          </w:p>
        </w:tc>
      </w:tr>
      <w:tr w:rsidR="00C46B4D" w:rsidRPr="00DD363E" w14:paraId="0D0B2960" w14:textId="77777777" w:rsidTr="00C46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BEC88C" w14:textId="77777777" w:rsidR="00C46B4D" w:rsidRPr="00DD363E" w:rsidRDefault="00C46B4D" w:rsidP="00E1056F">
            <w:pPr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AUS</w:t>
            </w:r>
          </w:p>
        </w:tc>
        <w:tc>
          <w:tcPr>
            <w:tcW w:w="1276" w:type="dxa"/>
          </w:tcPr>
          <w:p w14:paraId="13208B63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</w:t>
            </w:r>
            <w:r>
              <w:rPr>
                <w:sz w:val="21"/>
                <w:szCs w:val="21"/>
              </w:rPr>
              <w:t>729</w:t>
            </w:r>
            <w:r w:rsidRPr="00DD363E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648</w:t>
            </w:r>
          </w:p>
        </w:tc>
        <w:tc>
          <w:tcPr>
            <w:tcW w:w="992" w:type="dxa"/>
          </w:tcPr>
          <w:p w14:paraId="4CDCAEFC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66,650</w:t>
            </w:r>
          </w:p>
        </w:tc>
        <w:tc>
          <w:tcPr>
            <w:tcW w:w="1276" w:type="dxa"/>
          </w:tcPr>
          <w:p w14:paraId="4931EAD7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14:paraId="1B0B0629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43</w:t>
            </w:r>
            <w:r>
              <w:rPr>
                <w:sz w:val="21"/>
                <w:szCs w:val="21"/>
              </w:rPr>
              <w:t>7</w:t>
            </w:r>
            <w:r w:rsidRPr="00DD363E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150</w:t>
            </w:r>
          </w:p>
        </w:tc>
        <w:tc>
          <w:tcPr>
            <w:tcW w:w="1559" w:type="dxa"/>
          </w:tcPr>
          <w:p w14:paraId="10F81463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14:paraId="1832C401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70</w:t>
            </w:r>
            <w:r w:rsidRPr="00DD363E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500</w:t>
            </w:r>
          </w:p>
        </w:tc>
        <w:tc>
          <w:tcPr>
            <w:tcW w:w="1418" w:type="dxa"/>
          </w:tcPr>
          <w:p w14:paraId="6E960A04" w14:textId="77777777" w:rsidR="00C46B4D" w:rsidRPr="00DD363E" w:rsidRDefault="00C46B4D" w:rsidP="00E105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13.9</w:t>
            </w:r>
          </w:p>
        </w:tc>
      </w:tr>
    </w:tbl>
    <w:p w14:paraId="5C3A7518" w14:textId="1DF0D301" w:rsidR="00EF23CC" w:rsidRDefault="00212131" w:rsidP="00C46B4D">
      <w:pPr>
        <w:pStyle w:val="ListParagraph"/>
        <w:numPr>
          <w:ilvl w:val="0"/>
          <w:numId w:val="9"/>
        </w:numPr>
        <w:spacing w:before="200"/>
      </w:pPr>
      <w:r>
        <w:t>The</w:t>
      </w:r>
      <w:r w:rsidR="00EF23CC" w:rsidRPr="00EF23CC">
        <w:t xml:space="preserve"> Territory had 64 businesses per 1,000 people</w:t>
      </w:r>
      <w:r w:rsidR="005F4FDF">
        <w:t>,</w:t>
      </w:r>
      <w:r w:rsidR="00EF23CC" w:rsidRPr="00EF23CC">
        <w:t xml:space="preserve"> down from 65 last year,</w:t>
      </w:r>
      <w:r w:rsidR="006777A9" w:rsidRPr="00EF23CC">
        <w:t xml:space="preserve"> below the national average of 100 businesses per 1,000 people</w:t>
      </w:r>
      <w:r w:rsidR="006777A9">
        <w:t>, and is</w:t>
      </w:r>
      <w:r w:rsidR="005F4FDF">
        <w:t xml:space="preserve"> the lowest </w:t>
      </w:r>
      <w:r w:rsidR="00927A1E">
        <w:t xml:space="preserve">of the </w:t>
      </w:r>
      <w:r w:rsidR="005F4FDF">
        <w:t xml:space="preserve">jurisdictions </w:t>
      </w:r>
      <w:r w:rsidR="00EF23CC" w:rsidRPr="00326BA5">
        <w:t>(Chart 2).</w:t>
      </w:r>
    </w:p>
    <w:p w14:paraId="39669B7E" w14:textId="77777777" w:rsidR="00F976B5" w:rsidRPr="00EF23CC" w:rsidRDefault="00F976B5" w:rsidP="00F976B5">
      <w:pPr>
        <w:pStyle w:val="ListParagraph"/>
        <w:spacing w:before="200"/>
        <w:ind w:left="720"/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EF23CC" w14:paraId="6B8A7A5A" w14:textId="77777777" w:rsidTr="00E1056F">
        <w:tc>
          <w:tcPr>
            <w:tcW w:w="5154" w:type="dxa"/>
          </w:tcPr>
          <w:p w14:paraId="49AAEE76" w14:textId="77777777" w:rsidR="00EF23CC" w:rsidRPr="00DE6663" w:rsidRDefault="00EF23CC" w:rsidP="00E1056F">
            <w:pPr>
              <w:jc w:val="center"/>
              <w:rPr>
                <w:b/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>Chart 1</w:t>
            </w:r>
          </w:p>
          <w:p w14:paraId="3D8B0F6A" w14:textId="77777777" w:rsidR="00EF23CC" w:rsidRDefault="00EF23CC" w:rsidP="00E1056F">
            <w:pPr>
              <w:jc w:val="center"/>
              <w:rPr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>Business entry and exit rates</w:t>
            </w:r>
          </w:p>
        </w:tc>
        <w:tc>
          <w:tcPr>
            <w:tcW w:w="5154" w:type="dxa"/>
          </w:tcPr>
          <w:p w14:paraId="1ADB3A97" w14:textId="77777777" w:rsidR="00EF23CC" w:rsidRPr="00DE6663" w:rsidRDefault="00EF23CC" w:rsidP="00E1056F">
            <w:pPr>
              <w:jc w:val="center"/>
              <w:rPr>
                <w:b/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>Chart 2</w:t>
            </w:r>
          </w:p>
          <w:p w14:paraId="6763679A" w14:textId="77777777" w:rsidR="00EF23CC" w:rsidRDefault="00EF23CC" w:rsidP="00E1056F">
            <w:pPr>
              <w:jc w:val="center"/>
              <w:rPr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 xml:space="preserve">Businesses per </w:t>
            </w:r>
            <w:r>
              <w:rPr>
                <w:b/>
                <w:spacing w:val="-4"/>
                <w:lang w:eastAsia="en-AU"/>
              </w:rPr>
              <w:t>1000 people, 2024-25</w:t>
            </w:r>
          </w:p>
        </w:tc>
      </w:tr>
      <w:tr w:rsidR="00EF23CC" w14:paraId="647B1A1B" w14:textId="77777777" w:rsidTr="00E1056F">
        <w:tc>
          <w:tcPr>
            <w:tcW w:w="5154" w:type="dxa"/>
          </w:tcPr>
          <w:p w14:paraId="3A84AEC1" w14:textId="77777777" w:rsidR="00EF23CC" w:rsidRDefault="00EF23CC" w:rsidP="00E1056F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064D2062" wp14:editId="7F246228">
                  <wp:extent cx="2710800" cy="2494800"/>
                  <wp:effectExtent l="0" t="0" r="0" b="1270"/>
                  <wp:docPr id="1465284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00" cy="249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0F30F6DC" w14:textId="77777777" w:rsidR="00EF23CC" w:rsidRDefault="00EF23CC" w:rsidP="00E1056F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45A121EF" wp14:editId="7A13436A">
                  <wp:extent cx="2703600" cy="2491200"/>
                  <wp:effectExtent l="0" t="0" r="1905" b="4445"/>
                  <wp:docPr id="1206072301" name="Picture 2" descr="A graph with different colored ba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072301" name="Picture 2" descr="A graph with different colored ba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249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8C187C" w14:textId="77777777" w:rsidR="00F976B5" w:rsidRDefault="00F976B5" w:rsidP="00F976B5">
      <w:pPr>
        <w:pStyle w:val="ListParagraph"/>
        <w:ind w:left="720"/>
      </w:pPr>
    </w:p>
    <w:p w14:paraId="5277F7CF" w14:textId="1478258D" w:rsidR="00EF23CC" w:rsidRDefault="00A3010C" w:rsidP="00C46B4D">
      <w:pPr>
        <w:pStyle w:val="ListParagraph"/>
        <w:numPr>
          <w:ilvl w:val="0"/>
          <w:numId w:val="9"/>
        </w:numPr>
      </w:pPr>
      <w:r>
        <w:lastRenderedPageBreak/>
        <w:t xml:space="preserve">The </w:t>
      </w:r>
      <w:r w:rsidR="00F56F3F" w:rsidRPr="007C3606">
        <w:t>Territory</w:t>
      </w:r>
      <w:r w:rsidR="00F56F3F">
        <w:t xml:space="preserve">’s </w:t>
      </w:r>
      <w:r>
        <w:t xml:space="preserve">overall </w:t>
      </w:r>
      <w:r w:rsidR="00F56F3F">
        <w:t>b</w:t>
      </w:r>
      <w:r w:rsidR="00DC75DE">
        <w:t>usiness</w:t>
      </w:r>
      <w:r w:rsidR="00EF23CC">
        <w:t xml:space="preserve"> </w:t>
      </w:r>
      <w:r w:rsidR="00EF23CC" w:rsidRPr="007C3606">
        <w:t>survival rate</w:t>
      </w:r>
      <w:r w:rsidR="00F56F3F">
        <w:t xml:space="preserve"> </w:t>
      </w:r>
      <w:r>
        <w:t xml:space="preserve">was </w:t>
      </w:r>
      <w:r w:rsidR="00EF23CC">
        <w:t>62.8%</w:t>
      </w:r>
      <w:r w:rsidR="005F4FDF">
        <w:t xml:space="preserve">, </w:t>
      </w:r>
      <w:r w:rsidR="00F56F3F">
        <w:t>close</w:t>
      </w:r>
      <w:r w:rsidR="00927A1E">
        <w:t>ly aligned</w:t>
      </w:r>
      <w:r w:rsidR="00EF23CC" w:rsidRPr="007C3606">
        <w:t xml:space="preserve"> to </w:t>
      </w:r>
      <w:r w:rsidR="00212131">
        <w:t xml:space="preserve">the </w:t>
      </w:r>
      <w:r w:rsidR="00EF23CC" w:rsidRPr="007C3606">
        <w:t>national</w:t>
      </w:r>
      <w:r w:rsidR="00927A1E">
        <w:t xml:space="preserve"> rate</w:t>
      </w:r>
      <w:r w:rsidR="00EF23CC" w:rsidRPr="007C3606">
        <w:t xml:space="preserve"> </w:t>
      </w:r>
      <w:r w:rsidR="00EF23CC">
        <w:t xml:space="preserve">(63.1%) </w:t>
      </w:r>
      <w:r w:rsidR="00EF23CC" w:rsidRPr="00326BA5">
        <w:t>(Chart 3)</w:t>
      </w:r>
      <w:r w:rsidR="00DC75DE">
        <w:t>.</w:t>
      </w:r>
      <w:r w:rsidR="00EF23CC" w:rsidRPr="007C3606">
        <w:t xml:space="preserve"> </w:t>
      </w:r>
      <w:r w:rsidR="00DC75DE">
        <w:t xml:space="preserve">However, </w:t>
      </w:r>
      <w:r w:rsidR="005F4FDF">
        <w:t xml:space="preserve">the survival of </w:t>
      </w:r>
      <w:r w:rsidR="00EF23CC">
        <w:t xml:space="preserve">new </w:t>
      </w:r>
      <w:r w:rsidR="005F4FDF">
        <w:t xml:space="preserve">Territory </w:t>
      </w:r>
      <w:r w:rsidR="00EF23CC">
        <w:t>businesses</w:t>
      </w:r>
      <w:r w:rsidR="007561CE">
        <w:t xml:space="preserve"> (49.2%)</w:t>
      </w:r>
      <w:r w:rsidR="005F4FDF">
        <w:t xml:space="preserve"> was</w:t>
      </w:r>
      <w:r w:rsidR="00212131">
        <w:t xml:space="preserve"> slightly</w:t>
      </w:r>
      <w:r w:rsidR="00EF23CC">
        <w:t xml:space="preserve"> </w:t>
      </w:r>
      <w:r w:rsidR="00DC75DE">
        <w:t xml:space="preserve">higher </w:t>
      </w:r>
      <w:r w:rsidR="00EF23CC">
        <w:t>than nationally (48%)</w:t>
      </w:r>
      <w:r w:rsidR="00EF23CC" w:rsidRPr="007C3606">
        <w:t xml:space="preserve"> </w:t>
      </w:r>
      <w:r w:rsidR="00EF23CC" w:rsidRPr="009351BA">
        <w:t xml:space="preserve">(Chart 4), </w:t>
      </w:r>
      <w:r w:rsidR="00DC75DE" w:rsidRPr="009351BA">
        <w:t>reflecting a national decline</w:t>
      </w:r>
      <w:r w:rsidR="00EF23CC" w:rsidRPr="009351BA">
        <w:t xml:space="preserve"> compared with the </w:t>
      </w:r>
      <w:r w:rsidR="00DC75DE" w:rsidRPr="009351BA">
        <w:t>last</w:t>
      </w:r>
      <w:r w:rsidR="00EF23CC" w:rsidRPr="009351BA">
        <w:t xml:space="preserve"> year, while the Territory’s rate remained </w:t>
      </w:r>
      <w:r w:rsidR="00DC75DE" w:rsidRPr="009351BA">
        <w:t>steady</w:t>
      </w:r>
      <w:r w:rsidR="00EF23CC" w:rsidRPr="007C3606"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EF23CC" w:rsidRPr="007C3606" w14:paraId="548B35A6" w14:textId="77777777" w:rsidTr="00E1056F">
        <w:tc>
          <w:tcPr>
            <w:tcW w:w="5154" w:type="dxa"/>
          </w:tcPr>
          <w:p w14:paraId="5F6AA041" w14:textId="681D75EA" w:rsidR="00EF23CC" w:rsidRPr="007C3606" w:rsidRDefault="00EF23CC" w:rsidP="00E1056F">
            <w:pPr>
              <w:jc w:val="center"/>
              <w:rPr>
                <w:b/>
                <w:lang w:eastAsia="en-AU"/>
              </w:rPr>
            </w:pPr>
            <w:r w:rsidRPr="007C3606">
              <w:rPr>
                <w:b/>
                <w:lang w:eastAsia="en-AU"/>
              </w:rPr>
              <w:t>Chart 3</w:t>
            </w:r>
          </w:p>
        </w:tc>
        <w:tc>
          <w:tcPr>
            <w:tcW w:w="5154" w:type="dxa"/>
          </w:tcPr>
          <w:p w14:paraId="1892D893" w14:textId="77777777" w:rsidR="00EF23CC" w:rsidRPr="007C3606" w:rsidRDefault="00EF23CC" w:rsidP="00E1056F">
            <w:pPr>
              <w:jc w:val="center"/>
              <w:rPr>
                <w:b/>
                <w:lang w:eastAsia="en-AU"/>
              </w:rPr>
            </w:pPr>
            <w:r w:rsidRPr="007C3606">
              <w:rPr>
                <w:b/>
                <w:lang w:eastAsia="en-AU"/>
              </w:rPr>
              <w:t>Chart 4</w:t>
            </w:r>
          </w:p>
        </w:tc>
      </w:tr>
      <w:tr w:rsidR="00EF23CC" w:rsidRPr="007C3606" w14:paraId="321F99A6" w14:textId="77777777" w:rsidTr="00E1056F">
        <w:tc>
          <w:tcPr>
            <w:tcW w:w="5154" w:type="dxa"/>
          </w:tcPr>
          <w:p w14:paraId="7B960E9F" w14:textId="77777777" w:rsidR="00EF23CC" w:rsidRPr="007C3606" w:rsidRDefault="00EF23CC" w:rsidP="00E1056F">
            <w:pPr>
              <w:jc w:val="center"/>
              <w:rPr>
                <w:b/>
                <w:lang w:eastAsia="en-AU"/>
              </w:rPr>
            </w:pPr>
            <w:r w:rsidRPr="007C3606">
              <w:rPr>
                <w:b/>
                <w:lang w:eastAsia="en-AU"/>
              </w:rPr>
              <w:t>Survival Rates (%)</w:t>
            </w:r>
          </w:p>
        </w:tc>
        <w:tc>
          <w:tcPr>
            <w:tcW w:w="5154" w:type="dxa"/>
          </w:tcPr>
          <w:p w14:paraId="46BBEA7D" w14:textId="77777777" w:rsidR="00EF23CC" w:rsidRPr="007C3606" w:rsidRDefault="00EF23CC" w:rsidP="00E1056F">
            <w:pPr>
              <w:jc w:val="center"/>
              <w:rPr>
                <w:b/>
                <w:lang w:eastAsia="en-AU"/>
              </w:rPr>
            </w:pPr>
            <w:r w:rsidRPr="007C3606">
              <w:rPr>
                <w:b/>
                <w:lang w:eastAsia="en-AU"/>
              </w:rPr>
              <w:t>Survival Rates of New Entries (%)</w:t>
            </w:r>
          </w:p>
        </w:tc>
      </w:tr>
      <w:tr w:rsidR="00EF23CC" w:rsidRPr="00E26005" w14:paraId="123F3658" w14:textId="77777777" w:rsidTr="00E1056F">
        <w:tc>
          <w:tcPr>
            <w:tcW w:w="5154" w:type="dxa"/>
          </w:tcPr>
          <w:p w14:paraId="01563FCA" w14:textId="77777777" w:rsidR="00EF23CC" w:rsidRPr="007C3606" w:rsidRDefault="00EF23CC" w:rsidP="00E1056F">
            <w:pPr>
              <w:jc w:val="center"/>
              <w:rPr>
                <w:lang w:eastAsia="en-AU"/>
              </w:rPr>
            </w:pPr>
            <w:r w:rsidRPr="007C3606">
              <w:rPr>
                <w:noProof/>
                <w:lang w:eastAsia="en-AU"/>
              </w:rPr>
              <w:drawing>
                <wp:inline distT="0" distB="0" distL="0" distR="0" wp14:anchorId="7285F23B" wp14:editId="77547BF5">
                  <wp:extent cx="2696400" cy="2480400"/>
                  <wp:effectExtent l="0" t="0" r="8890" b="0"/>
                  <wp:docPr id="463879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00" cy="248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64D9CAA0" w14:textId="3140B09C" w:rsidR="00EF23CC" w:rsidRPr="007C3606" w:rsidRDefault="00E81CCA" w:rsidP="00E1056F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0979396" wp14:editId="3FC4AE03">
                  <wp:extent cx="2700000" cy="2484000"/>
                  <wp:effectExtent l="0" t="0" r="5715" b="0"/>
                  <wp:docPr id="6011040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4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85A16" w14:textId="77777777" w:rsidR="00FD642A" w:rsidRDefault="00FD642A" w:rsidP="00FD642A">
      <w:pPr>
        <w:pStyle w:val="ListParagraph"/>
        <w:ind w:left="720"/>
      </w:pPr>
    </w:p>
    <w:p w14:paraId="09A425D6" w14:textId="7933477B" w:rsidR="00FD642A" w:rsidRDefault="00FD642A" w:rsidP="00B8137F">
      <w:pPr>
        <w:pStyle w:val="ListParagraph"/>
        <w:numPr>
          <w:ilvl w:val="0"/>
          <w:numId w:val="9"/>
        </w:numPr>
        <w:tabs>
          <w:tab w:val="left" w:pos="825"/>
        </w:tabs>
      </w:pPr>
      <w:r>
        <w:t xml:space="preserve">ABS will release detailed data </w:t>
      </w:r>
      <w:r w:rsidRPr="00FD642A">
        <w:t>by industry, turnover, employment and location in December 2025</w:t>
      </w:r>
      <w:r w:rsidR="00927A1E">
        <w:t>.</w:t>
      </w:r>
    </w:p>
    <w:p w14:paraId="3BA4363D" w14:textId="77777777" w:rsidR="00FD642A" w:rsidRDefault="00FD642A" w:rsidP="00FD642A">
      <w:pPr>
        <w:tabs>
          <w:tab w:val="left" w:pos="825"/>
        </w:tabs>
        <w:spacing w:after="120"/>
        <w:rPr>
          <w:b/>
          <w:bCs/>
        </w:rPr>
      </w:pPr>
    </w:p>
    <w:p w14:paraId="4C8EE821" w14:textId="279C8B99" w:rsidR="00FD642A" w:rsidRPr="00FD642A" w:rsidRDefault="00FD642A" w:rsidP="00FD642A">
      <w:pPr>
        <w:tabs>
          <w:tab w:val="left" w:pos="825"/>
        </w:tabs>
        <w:spacing w:after="120"/>
        <w:rPr>
          <w:b/>
          <w:bCs/>
        </w:rPr>
      </w:pPr>
      <w:r w:rsidRPr="00FD642A">
        <w:rPr>
          <w:b/>
          <w:bCs/>
        </w:rPr>
        <w:t>Analytics and Insights</w:t>
      </w:r>
    </w:p>
    <w:p w14:paraId="6586C605" w14:textId="1890C719" w:rsidR="00FD642A" w:rsidRPr="00FD642A" w:rsidRDefault="00FD642A" w:rsidP="00FD642A">
      <w:pPr>
        <w:tabs>
          <w:tab w:val="left" w:pos="825"/>
        </w:tabs>
        <w:spacing w:after="120"/>
        <w:rPr>
          <w:b/>
          <w:bCs/>
        </w:rPr>
      </w:pPr>
      <w:r w:rsidRPr="00FD642A">
        <w:rPr>
          <w:b/>
          <w:bCs/>
        </w:rPr>
        <w:t>September 2025</w:t>
      </w:r>
    </w:p>
    <w:sectPr w:rsidR="00FD642A" w:rsidRPr="00FD642A" w:rsidSect="00CF5B6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E32C" w14:textId="77777777" w:rsidR="00C34523" w:rsidRDefault="00C34523" w:rsidP="007332FF">
      <w:r>
        <w:separator/>
      </w:r>
    </w:p>
  </w:endnote>
  <w:endnote w:type="continuationSeparator" w:id="0">
    <w:p w14:paraId="79224312" w14:textId="77777777" w:rsidR="00C34523" w:rsidRDefault="00C3452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BF1C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F5B6E" w:rsidRPr="00132658" w14:paraId="24389BC4" w14:textId="77777777" w:rsidTr="000B40F2">
      <w:trPr>
        <w:cantSplit/>
        <w:trHeight w:hRule="exact" w:val="1134"/>
      </w:trPr>
      <w:tc>
        <w:tcPr>
          <w:tcW w:w="7767" w:type="dxa"/>
          <w:vAlign w:val="bottom"/>
        </w:tcPr>
        <w:p w14:paraId="01943D56" w14:textId="2DE70E25" w:rsidR="00CF5B6E" w:rsidRDefault="00CF5B6E" w:rsidP="00CF5B6E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24517741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7E1F97">
                <w:rPr>
                  <w:rStyle w:val="PageNumber"/>
                  <w:b/>
                  <w:bCs/>
                </w:rPr>
                <w:t>Trade, Business and Asian Relations</w:t>
              </w:r>
            </w:sdtContent>
          </w:sdt>
        </w:p>
        <w:p w14:paraId="2F01CD82" w14:textId="5AF2B97A" w:rsidR="00CF5B6E" w:rsidRPr="00CE6614" w:rsidRDefault="00972201" w:rsidP="00CF5B6E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75231772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66C25">
                <w:rPr>
                  <w:rStyle w:val="PageNumber"/>
                </w:rPr>
                <w:t>15 September 2025</w:t>
              </w:r>
            </w:sdtContent>
          </w:sdt>
          <w:r w:rsidR="00CF5B6E" w:rsidRPr="00CE6614">
            <w:rPr>
              <w:rStyle w:val="PageNumber"/>
            </w:rPr>
            <w:t xml:space="preserve"> </w:t>
          </w:r>
        </w:p>
        <w:p w14:paraId="7335AFB8" w14:textId="77777777" w:rsidR="00CF5B6E" w:rsidRPr="00CE30CF" w:rsidRDefault="00CF5B6E" w:rsidP="00CF5B6E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DA313B9" w14:textId="77777777" w:rsidR="00CF5B6E" w:rsidRPr="001E14EB" w:rsidRDefault="00CF5B6E" w:rsidP="00CF5B6E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ABC75E9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3562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61144" w:rsidRPr="00132658" w14:paraId="7185D65D" w14:textId="77777777" w:rsidTr="000905F6">
      <w:trPr>
        <w:cantSplit/>
        <w:trHeight w:hRule="exact" w:val="1134"/>
      </w:trPr>
      <w:tc>
        <w:tcPr>
          <w:tcW w:w="7767" w:type="dxa"/>
          <w:vAlign w:val="bottom"/>
        </w:tcPr>
        <w:p w14:paraId="339CBBE8" w14:textId="11D61ECA" w:rsidR="00A61144" w:rsidRDefault="00A61144" w:rsidP="00A61144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7E1F97">
                <w:rPr>
                  <w:rStyle w:val="PageNumber"/>
                  <w:b/>
                  <w:bCs/>
                </w:rPr>
                <w:t>Trade, Business and Asian Relations</w:t>
              </w:r>
            </w:sdtContent>
          </w:sdt>
        </w:p>
        <w:p w14:paraId="1EE17BD0" w14:textId="2ABF6B30" w:rsidR="00A61144" w:rsidRPr="00CE6614" w:rsidRDefault="00972201" w:rsidP="00A6114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66C25">
                <w:rPr>
                  <w:rStyle w:val="PageNumber"/>
                </w:rPr>
                <w:t>15 September 2025</w:t>
              </w:r>
            </w:sdtContent>
          </w:sdt>
        </w:p>
        <w:p w14:paraId="4B57ADCF" w14:textId="77777777" w:rsidR="00A61144" w:rsidRPr="00CE30CF" w:rsidRDefault="00A61144" w:rsidP="00A6114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7DB3B078" w14:textId="77777777" w:rsidR="00A61144" w:rsidRPr="001E14EB" w:rsidRDefault="00A61144" w:rsidP="00A61144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9EB02CE" wp14:editId="07D77933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67DA7D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A857" w14:textId="77777777" w:rsidR="00C34523" w:rsidRDefault="00C34523" w:rsidP="007332FF">
      <w:r>
        <w:separator/>
      </w:r>
    </w:p>
  </w:footnote>
  <w:footnote w:type="continuationSeparator" w:id="0">
    <w:p w14:paraId="43D01B8E" w14:textId="77777777" w:rsidR="00C34523" w:rsidRDefault="00C3452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57BC" w14:textId="7734E797" w:rsidR="00983000" w:rsidRPr="00162207" w:rsidRDefault="0097220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2131">
          <w:t>NT Business Count 2024-25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4551A" w:themeColor="text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0CF062F9" w14:textId="3E182E82" w:rsidR="00E54F9E" w:rsidRDefault="00212131" w:rsidP="00435082">
        <w:pPr>
          <w:pStyle w:val="Title"/>
        </w:pPr>
        <w:r w:rsidRPr="00490714">
          <w:rPr>
            <w:color w:val="F4551A" w:themeColor="text2"/>
          </w:rPr>
          <w:t>NT Business Count 2024-25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53842BC6"/>
    <w:multiLevelType w:val="multilevel"/>
    <w:tmpl w:val="0C78A7AC"/>
    <w:numStyleLink w:val="Tablebulletlist"/>
  </w:abstractNum>
  <w:abstractNum w:abstractNumId="2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7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2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0" w15:restartNumberingAfterBreak="0">
    <w:nsid w:val="64EE59B2"/>
    <w:multiLevelType w:val="hybridMultilevel"/>
    <w:tmpl w:val="A55C49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4620797">
    <w:abstractNumId w:val="19"/>
  </w:num>
  <w:num w:numId="2" w16cid:durableId="298344336">
    <w:abstractNumId w:val="11"/>
  </w:num>
  <w:num w:numId="3" w16cid:durableId="432751859">
    <w:abstractNumId w:val="34"/>
  </w:num>
  <w:num w:numId="4" w16cid:durableId="660087949">
    <w:abstractNumId w:val="22"/>
  </w:num>
  <w:num w:numId="5" w16cid:durableId="293217313">
    <w:abstractNumId w:val="15"/>
  </w:num>
  <w:num w:numId="6" w16cid:durableId="776290608">
    <w:abstractNumId w:val="7"/>
  </w:num>
  <w:num w:numId="7" w16cid:durableId="794257236">
    <w:abstractNumId w:val="24"/>
  </w:num>
  <w:num w:numId="8" w16cid:durableId="1772166039">
    <w:abstractNumId w:val="14"/>
  </w:num>
  <w:num w:numId="9" w16cid:durableId="43313899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F"/>
    <w:rsid w:val="00001DDF"/>
    <w:rsid w:val="0000322D"/>
    <w:rsid w:val="00007670"/>
    <w:rsid w:val="00010665"/>
    <w:rsid w:val="0002393A"/>
    <w:rsid w:val="00027DB8"/>
    <w:rsid w:val="00031847"/>
    <w:rsid w:val="00031A96"/>
    <w:rsid w:val="00040BF3"/>
    <w:rsid w:val="0004211C"/>
    <w:rsid w:val="00044D47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2E00"/>
    <w:rsid w:val="000771B0"/>
    <w:rsid w:val="000801B3"/>
    <w:rsid w:val="00080202"/>
    <w:rsid w:val="00080DCD"/>
    <w:rsid w:val="00080E22"/>
    <w:rsid w:val="00082573"/>
    <w:rsid w:val="000840A3"/>
    <w:rsid w:val="00085062"/>
    <w:rsid w:val="00086A5F"/>
    <w:rsid w:val="000879FD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19B7"/>
    <w:rsid w:val="001137EC"/>
    <w:rsid w:val="001152F5"/>
    <w:rsid w:val="00117743"/>
    <w:rsid w:val="00117F5B"/>
    <w:rsid w:val="00131ABD"/>
    <w:rsid w:val="00132658"/>
    <w:rsid w:val="0013567C"/>
    <w:rsid w:val="00150DC0"/>
    <w:rsid w:val="0015394D"/>
    <w:rsid w:val="00156CD4"/>
    <w:rsid w:val="0016153B"/>
    <w:rsid w:val="00162207"/>
    <w:rsid w:val="00164A3E"/>
    <w:rsid w:val="00166FF6"/>
    <w:rsid w:val="00170378"/>
    <w:rsid w:val="00172B64"/>
    <w:rsid w:val="00176123"/>
    <w:rsid w:val="00181620"/>
    <w:rsid w:val="00187130"/>
    <w:rsid w:val="0019014D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2131"/>
    <w:rsid w:val="00216245"/>
    <w:rsid w:val="00230031"/>
    <w:rsid w:val="00235C01"/>
    <w:rsid w:val="00247343"/>
    <w:rsid w:val="00247476"/>
    <w:rsid w:val="00265C56"/>
    <w:rsid w:val="002716CD"/>
    <w:rsid w:val="00274D4B"/>
    <w:rsid w:val="002806F5"/>
    <w:rsid w:val="00281577"/>
    <w:rsid w:val="00287D73"/>
    <w:rsid w:val="002926BC"/>
    <w:rsid w:val="002936C5"/>
    <w:rsid w:val="00293A72"/>
    <w:rsid w:val="002A0160"/>
    <w:rsid w:val="002A04E5"/>
    <w:rsid w:val="002A30C3"/>
    <w:rsid w:val="002A6F6A"/>
    <w:rsid w:val="002A7712"/>
    <w:rsid w:val="002B38F7"/>
    <w:rsid w:val="002B4F50"/>
    <w:rsid w:val="002B5591"/>
    <w:rsid w:val="002B6AA4"/>
    <w:rsid w:val="002B7938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001"/>
    <w:rsid w:val="00307FE1"/>
    <w:rsid w:val="003102DF"/>
    <w:rsid w:val="003164BA"/>
    <w:rsid w:val="003226BC"/>
    <w:rsid w:val="003258E6"/>
    <w:rsid w:val="00326BA5"/>
    <w:rsid w:val="0033359F"/>
    <w:rsid w:val="00336CAC"/>
    <w:rsid w:val="00342283"/>
    <w:rsid w:val="00343A87"/>
    <w:rsid w:val="00344A36"/>
    <w:rsid w:val="003456F4"/>
    <w:rsid w:val="00347FB6"/>
    <w:rsid w:val="00350328"/>
    <w:rsid w:val="003504FD"/>
    <w:rsid w:val="00350881"/>
    <w:rsid w:val="00352799"/>
    <w:rsid w:val="00355BDD"/>
    <w:rsid w:val="00357D55"/>
    <w:rsid w:val="00363513"/>
    <w:rsid w:val="003657E5"/>
    <w:rsid w:val="0036589C"/>
    <w:rsid w:val="00371312"/>
    <w:rsid w:val="00371DC7"/>
    <w:rsid w:val="00377B21"/>
    <w:rsid w:val="00377EDB"/>
    <w:rsid w:val="003804AD"/>
    <w:rsid w:val="00385B72"/>
    <w:rsid w:val="00390862"/>
    <w:rsid w:val="00390CE3"/>
    <w:rsid w:val="00394876"/>
    <w:rsid w:val="00394AAF"/>
    <w:rsid w:val="00394CE5"/>
    <w:rsid w:val="003A6341"/>
    <w:rsid w:val="003B67FD"/>
    <w:rsid w:val="003B6A61"/>
    <w:rsid w:val="003C1F39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3F7EF3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377C9"/>
    <w:rsid w:val="00443B6E"/>
    <w:rsid w:val="00450636"/>
    <w:rsid w:val="0045420A"/>
    <w:rsid w:val="004554D4"/>
    <w:rsid w:val="004615A6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572"/>
    <w:rsid w:val="00487603"/>
    <w:rsid w:val="00490714"/>
    <w:rsid w:val="00491B08"/>
    <w:rsid w:val="00494BE5"/>
    <w:rsid w:val="00496611"/>
    <w:rsid w:val="004A0EBA"/>
    <w:rsid w:val="004A2538"/>
    <w:rsid w:val="004A331E"/>
    <w:rsid w:val="004B0C15"/>
    <w:rsid w:val="004B35EA"/>
    <w:rsid w:val="004B69E4"/>
    <w:rsid w:val="004C365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0FA2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78AC"/>
    <w:rsid w:val="005C1F8F"/>
    <w:rsid w:val="005C2833"/>
    <w:rsid w:val="005E144D"/>
    <w:rsid w:val="005E1500"/>
    <w:rsid w:val="005E3A43"/>
    <w:rsid w:val="005F0B17"/>
    <w:rsid w:val="005F4FDF"/>
    <w:rsid w:val="005F6602"/>
    <w:rsid w:val="005F77C7"/>
    <w:rsid w:val="00614CEC"/>
    <w:rsid w:val="00620675"/>
    <w:rsid w:val="00622910"/>
    <w:rsid w:val="006254B6"/>
    <w:rsid w:val="00627FC8"/>
    <w:rsid w:val="006338E2"/>
    <w:rsid w:val="006433C3"/>
    <w:rsid w:val="00650F5B"/>
    <w:rsid w:val="006670D7"/>
    <w:rsid w:val="0066711A"/>
    <w:rsid w:val="00667AB3"/>
    <w:rsid w:val="006719EA"/>
    <w:rsid w:val="00671F13"/>
    <w:rsid w:val="006728AA"/>
    <w:rsid w:val="0067400A"/>
    <w:rsid w:val="006777A9"/>
    <w:rsid w:val="006847AD"/>
    <w:rsid w:val="006863DB"/>
    <w:rsid w:val="0069114B"/>
    <w:rsid w:val="006944C1"/>
    <w:rsid w:val="006A756A"/>
    <w:rsid w:val="006C0EC2"/>
    <w:rsid w:val="006D66F7"/>
    <w:rsid w:val="00705C9D"/>
    <w:rsid w:val="00705F13"/>
    <w:rsid w:val="0070624C"/>
    <w:rsid w:val="00706BC7"/>
    <w:rsid w:val="00707EF4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561CE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0B90"/>
    <w:rsid w:val="007D4893"/>
    <w:rsid w:val="007E1F97"/>
    <w:rsid w:val="007E70CF"/>
    <w:rsid w:val="007E74A4"/>
    <w:rsid w:val="007F1B6F"/>
    <w:rsid w:val="007F263F"/>
    <w:rsid w:val="008015A8"/>
    <w:rsid w:val="0080766E"/>
    <w:rsid w:val="00811169"/>
    <w:rsid w:val="0081304C"/>
    <w:rsid w:val="00815297"/>
    <w:rsid w:val="008170DB"/>
    <w:rsid w:val="00817BA1"/>
    <w:rsid w:val="00823022"/>
    <w:rsid w:val="0082598B"/>
    <w:rsid w:val="0082634E"/>
    <w:rsid w:val="008313C4"/>
    <w:rsid w:val="00835434"/>
    <w:rsid w:val="008358C0"/>
    <w:rsid w:val="00842838"/>
    <w:rsid w:val="00853F27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307"/>
    <w:rsid w:val="00897C94"/>
    <w:rsid w:val="008A4B30"/>
    <w:rsid w:val="008A6812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544"/>
    <w:rsid w:val="00902B13"/>
    <w:rsid w:val="00911941"/>
    <w:rsid w:val="0091343E"/>
    <w:rsid w:val="0092024D"/>
    <w:rsid w:val="00925146"/>
    <w:rsid w:val="009254DC"/>
    <w:rsid w:val="00925F0F"/>
    <w:rsid w:val="00927A1E"/>
    <w:rsid w:val="00932F6B"/>
    <w:rsid w:val="009351BA"/>
    <w:rsid w:val="0094273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B7D8D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10F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010C"/>
    <w:rsid w:val="00A31AE8"/>
    <w:rsid w:val="00A3739D"/>
    <w:rsid w:val="00A37DDA"/>
    <w:rsid w:val="00A45005"/>
    <w:rsid w:val="00A567EE"/>
    <w:rsid w:val="00A61144"/>
    <w:rsid w:val="00A655D0"/>
    <w:rsid w:val="00A671E4"/>
    <w:rsid w:val="00A70DD8"/>
    <w:rsid w:val="00A76790"/>
    <w:rsid w:val="00A85796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239"/>
    <w:rsid w:val="00B02EF1"/>
    <w:rsid w:val="00B07A1E"/>
    <w:rsid w:val="00B07C97"/>
    <w:rsid w:val="00B11C67"/>
    <w:rsid w:val="00B127FE"/>
    <w:rsid w:val="00B15754"/>
    <w:rsid w:val="00B16002"/>
    <w:rsid w:val="00B2046E"/>
    <w:rsid w:val="00B20E8B"/>
    <w:rsid w:val="00B257E1"/>
    <w:rsid w:val="00B2599A"/>
    <w:rsid w:val="00B27AC4"/>
    <w:rsid w:val="00B343CC"/>
    <w:rsid w:val="00B4294E"/>
    <w:rsid w:val="00B5084A"/>
    <w:rsid w:val="00B5393C"/>
    <w:rsid w:val="00B606A1"/>
    <w:rsid w:val="00B614F7"/>
    <w:rsid w:val="00B61B26"/>
    <w:rsid w:val="00B65E6B"/>
    <w:rsid w:val="00B67445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3096"/>
    <w:rsid w:val="00BA66F0"/>
    <w:rsid w:val="00BB2239"/>
    <w:rsid w:val="00BB2AE7"/>
    <w:rsid w:val="00BB6464"/>
    <w:rsid w:val="00BC1BB8"/>
    <w:rsid w:val="00BD4C73"/>
    <w:rsid w:val="00BD7FE1"/>
    <w:rsid w:val="00BE37CA"/>
    <w:rsid w:val="00BE6144"/>
    <w:rsid w:val="00BE635A"/>
    <w:rsid w:val="00BF17E9"/>
    <w:rsid w:val="00BF2ABB"/>
    <w:rsid w:val="00BF4BAB"/>
    <w:rsid w:val="00BF5099"/>
    <w:rsid w:val="00C0502A"/>
    <w:rsid w:val="00C07BB1"/>
    <w:rsid w:val="00C10B5E"/>
    <w:rsid w:val="00C10F10"/>
    <w:rsid w:val="00C13EA3"/>
    <w:rsid w:val="00C15D4D"/>
    <w:rsid w:val="00C175DC"/>
    <w:rsid w:val="00C30171"/>
    <w:rsid w:val="00C309D8"/>
    <w:rsid w:val="00C34523"/>
    <w:rsid w:val="00C43519"/>
    <w:rsid w:val="00C45263"/>
    <w:rsid w:val="00C46B4D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0860"/>
    <w:rsid w:val="00C83BB6"/>
    <w:rsid w:val="00C86609"/>
    <w:rsid w:val="00C9184D"/>
    <w:rsid w:val="00C92B4C"/>
    <w:rsid w:val="00C954F6"/>
    <w:rsid w:val="00CA15AF"/>
    <w:rsid w:val="00CA36A0"/>
    <w:rsid w:val="00CA6BC5"/>
    <w:rsid w:val="00CA6D42"/>
    <w:rsid w:val="00CC571B"/>
    <w:rsid w:val="00CC61CD"/>
    <w:rsid w:val="00CC6C02"/>
    <w:rsid w:val="00CC737B"/>
    <w:rsid w:val="00CD5011"/>
    <w:rsid w:val="00CE640F"/>
    <w:rsid w:val="00CE76BC"/>
    <w:rsid w:val="00CF0E3B"/>
    <w:rsid w:val="00CF1D5C"/>
    <w:rsid w:val="00CF540E"/>
    <w:rsid w:val="00CF5B6E"/>
    <w:rsid w:val="00CF7E89"/>
    <w:rsid w:val="00D02F07"/>
    <w:rsid w:val="00D04E66"/>
    <w:rsid w:val="00D15D88"/>
    <w:rsid w:val="00D259D9"/>
    <w:rsid w:val="00D27171"/>
    <w:rsid w:val="00D27D49"/>
    <w:rsid w:val="00D27EBE"/>
    <w:rsid w:val="00D36A49"/>
    <w:rsid w:val="00D40FE1"/>
    <w:rsid w:val="00D460A9"/>
    <w:rsid w:val="00D47DC7"/>
    <w:rsid w:val="00D50F86"/>
    <w:rsid w:val="00D517C6"/>
    <w:rsid w:val="00D66520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E2A"/>
    <w:rsid w:val="00DC4F3B"/>
    <w:rsid w:val="00DC5DD9"/>
    <w:rsid w:val="00DC6D2D"/>
    <w:rsid w:val="00DC75DE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2553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375FC"/>
    <w:rsid w:val="00E44C89"/>
    <w:rsid w:val="00E457A6"/>
    <w:rsid w:val="00E54F9E"/>
    <w:rsid w:val="00E572D2"/>
    <w:rsid w:val="00E61BA2"/>
    <w:rsid w:val="00E63864"/>
    <w:rsid w:val="00E6403F"/>
    <w:rsid w:val="00E75451"/>
    <w:rsid w:val="00E76AD6"/>
    <w:rsid w:val="00E770C4"/>
    <w:rsid w:val="00E81CCA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1554"/>
    <w:rsid w:val="00EE38FA"/>
    <w:rsid w:val="00EE3E2C"/>
    <w:rsid w:val="00EE5D23"/>
    <w:rsid w:val="00EE750D"/>
    <w:rsid w:val="00EF23CC"/>
    <w:rsid w:val="00EF3CA4"/>
    <w:rsid w:val="00EF49A8"/>
    <w:rsid w:val="00EF7859"/>
    <w:rsid w:val="00F014DA"/>
    <w:rsid w:val="00F02591"/>
    <w:rsid w:val="00F30AE1"/>
    <w:rsid w:val="00F37032"/>
    <w:rsid w:val="00F5696E"/>
    <w:rsid w:val="00F56F3F"/>
    <w:rsid w:val="00F60EFF"/>
    <w:rsid w:val="00F66C25"/>
    <w:rsid w:val="00F67D2D"/>
    <w:rsid w:val="00F77F27"/>
    <w:rsid w:val="00F858F2"/>
    <w:rsid w:val="00F860CC"/>
    <w:rsid w:val="00F94398"/>
    <w:rsid w:val="00F976B5"/>
    <w:rsid w:val="00FB2B56"/>
    <w:rsid w:val="00FB55D5"/>
    <w:rsid w:val="00FC12BF"/>
    <w:rsid w:val="00FC2C60"/>
    <w:rsid w:val="00FD3E6F"/>
    <w:rsid w:val="00FD51B9"/>
    <w:rsid w:val="00FD5849"/>
    <w:rsid w:val="00FD642A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3CB01"/>
  <w15:docId w15:val="{4CD305F3-50BD-419F-A7E4-B8EED17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96611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96611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C03A09" w:themeColor="accent1" w:themeShade="BF"/>
    </w:rPr>
  </w:style>
  <w:style w:type="paragraph" w:styleId="Revision">
    <w:name w:val="Revision"/>
    <w:hidden/>
    <w:uiPriority w:val="99"/>
    <w:semiHidden/>
    <w:rsid w:val="00212131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21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131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131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Business Count 2024-25</vt:lpstr>
    </vt:vector>
  </TitlesOfParts>
  <Company>Trade, Business and Asian Relations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Business Count 2024-25</dc:title>
  <dc:creator>Northern Territory Government</dc:creator>
  <cp:lastModifiedBy>Babu Ram Pantha</cp:lastModifiedBy>
  <cp:revision>6</cp:revision>
  <cp:lastPrinted>2025-09-15T00:00:00Z</cp:lastPrinted>
  <dcterms:created xsi:type="dcterms:W3CDTF">2025-09-12T05:23:00Z</dcterms:created>
  <dcterms:modified xsi:type="dcterms:W3CDTF">2025-09-15T00:00:00Z</dcterms:modified>
</cp:coreProperties>
</file>