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946" w:rsidRDefault="00022DB3" w:rsidP="003C3370">
      <w:pPr>
        <w:pStyle w:val="Heading1"/>
      </w:pPr>
      <w:r w:rsidRPr="00022DB3">
        <w:t>Northe</w:t>
      </w:r>
      <w:r w:rsidR="00856533">
        <w:t>rn Territory business count 2020</w:t>
      </w:r>
    </w:p>
    <w:p w:rsidR="00022DB3" w:rsidRDefault="00022DB3" w:rsidP="00022DB3">
      <w:r>
        <w:t xml:space="preserve">The Northern Territory (NT) had </w:t>
      </w:r>
      <w:r w:rsidR="007902DB">
        <w:t>15 072</w:t>
      </w:r>
      <w:r>
        <w:t xml:space="preserve"> actively</w:t>
      </w:r>
      <w:r w:rsidR="00FD69C1">
        <w:t xml:space="preserve"> trading businesses at June 2020</w:t>
      </w:r>
      <w:r>
        <w:t xml:space="preserve">, comprising 0.62% of total actively trading businesses in Australia. </w:t>
      </w:r>
    </w:p>
    <w:p w:rsidR="00DB6161" w:rsidRDefault="00022DB3" w:rsidP="00022DB3">
      <w:r>
        <w:t xml:space="preserve">The highest number of operating businesses was in New South Wales. </w:t>
      </w:r>
      <w:proofErr w:type="gramStart"/>
      <w:r>
        <w:t>This was followed by Victoria, Queensland, Western Australia, South Australia, Tasmania, the Australian Capital Territory and the Northern Territory</w:t>
      </w:r>
      <w:proofErr w:type="gramEnd"/>
      <w:r>
        <w:t>.</w:t>
      </w:r>
    </w:p>
    <w:p w:rsidR="00022DB3" w:rsidRDefault="00022DB3" w:rsidP="003C3370">
      <w:pPr>
        <w:pStyle w:val="Heading1"/>
      </w:pPr>
      <w:r w:rsidRPr="00C37E4D">
        <w:t>Business counts</w:t>
      </w:r>
    </w:p>
    <w:p w:rsidR="00022DB3" w:rsidRDefault="00065B86" w:rsidP="00022DB3">
      <w:r>
        <w:t xml:space="preserve">There were </w:t>
      </w:r>
      <w:r w:rsidR="007902DB">
        <w:t>15 072</w:t>
      </w:r>
      <w:r w:rsidR="00022DB3">
        <w:t xml:space="preserve"> actively operating b</w:t>
      </w:r>
      <w:r w:rsidR="00856533">
        <w:t>usinesses in the NT at June 2020, an increase of 303</w:t>
      </w:r>
      <w:r w:rsidR="00692620">
        <w:t> </w:t>
      </w:r>
      <w:r w:rsidR="00022DB3">
        <w:t>business</w:t>
      </w:r>
      <w:r w:rsidR="00692620">
        <w:t>es</w:t>
      </w:r>
      <w:r w:rsidR="00022DB3">
        <w:t xml:space="preserve"> (2.1%) compared with June 201</w:t>
      </w:r>
      <w:r w:rsidR="00856533">
        <w:t>9</w:t>
      </w:r>
      <w:r w:rsidR="00022DB3">
        <w:t>.</w:t>
      </w:r>
    </w:p>
    <w:p w:rsidR="00022DB3" w:rsidRDefault="00065B86" w:rsidP="00022DB3">
      <w:r>
        <w:t xml:space="preserve">In June 2020, the NT had </w:t>
      </w:r>
      <w:r w:rsidR="007902DB">
        <w:t>15 072</w:t>
      </w:r>
      <w:r w:rsidR="00022DB3">
        <w:t xml:space="preserve"> tradin</w:t>
      </w:r>
      <w:r w:rsidR="00856533">
        <w:t>g businesses, compared with 14 76</w:t>
      </w:r>
      <w:r w:rsidR="00022DB3">
        <w:t>9 bu</w:t>
      </w:r>
      <w:r w:rsidR="00856533">
        <w:t>sinesses in June</w:t>
      </w:r>
      <w:r w:rsidR="00692620">
        <w:t> </w:t>
      </w:r>
      <w:r w:rsidR="00856533">
        <w:t>2019 and 14 470 businesses in June 2018</w:t>
      </w:r>
      <w:r w:rsidR="00022DB3">
        <w:t>.</w:t>
      </w:r>
    </w:p>
    <w:p w:rsidR="00623913" w:rsidRDefault="00856533" w:rsidP="00022DB3">
      <w:r>
        <w:t xml:space="preserve">There were </w:t>
      </w:r>
      <w:r w:rsidR="007902DB">
        <w:t>2 422 404</w:t>
      </w:r>
      <w:r w:rsidR="00065B86">
        <w:t xml:space="preserve"> </w:t>
      </w:r>
      <w:r w:rsidR="00022DB3">
        <w:t xml:space="preserve">actively operating businesses in Australia at </w:t>
      </w:r>
      <w:r>
        <w:t>June 2020, an increase of 46</w:t>
      </w:r>
      <w:r w:rsidR="00692620">
        <w:t> </w:t>
      </w:r>
      <w:r>
        <w:t>651 businesses (2.0</w:t>
      </w:r>
      <w:r w:rsidR="00022DB3">
        <w:t>%) fr</w:t>
      </w:r>
      <w:r>
        <w:t>om June 2019</w:t>
      </w:r>
      <w:r w:rsidR="00022DB3">
        <w:t>.</w:t>
      </w:r>
    </w:p>
    <w:p w:rsidR="0083740B" w:rsidRDefault="00022DB3" w:rsidP="003C3370">
      <w:pPr>
        <w:pStyle w:val="Heading1"/>
      </w:pPr>
      <w:r w:rsidRPr="00C37E4D">
        <w:t>Business entry, exit and survival</w:t>
      </w:r>
    </w:p>
    <w:p w:rsidR="00022DB3" w:rsidRDefault="00856533" w:rsidP="00022DB3">
      <w:r>
        <w:t>In 2019-20</w:t>
      </w:r>
      <w:r w:rsidR="00022DB3">
        <w:t>, the entry rate f</w:t>
      </w:r>
      <w:r>
        <w:t>or businesses in the NT was 14.7</w:t>
      </w:r>
      <w:r w:rsidR="00022DB3">
        <w:t xml:space="preserve">%, </w:t>
      </w:r>
      <w:r w:rsidR="007902DB">
        <w:t xml:space="preserve">slightly higher </w:t>
      </w:r>
      <w:r w:rsidR="00022DB3">
        <w:t>t</w:t>
      </w:r>
      <w:r>
        <w:t>han the national average of 14.5</w:t>
      </w:r>
      <w:r w:rsidR="00022DB3">
        <w:t>%.</w:t>
      </w:r>
    </w:p>
    <w:p w:rsidR="00022DB3" w:rsidRDefault="00022DB3" w:rsidP="00022DB3">
      <w:r>
        <w:t>The highest entry rate was in the Au</w:t>
      </w:r>
      <w:r w:rsidR="00856533">
        <w:t>stralian Capital Territory (16.2%) followed by Victoria</w:t>
      </w:r>
      <w:r w:rsidR="00692620">
        <w:t> </w:t>
      </w:r>
      <w:r w:rsidR="00856533">
        <w:t>(15.6</w:t>
      </w:r>
      <w:r>
        <w:t>%) and</w:t>
      </w:r>
      <w:r w:rsidR="00856533">
        <w:t xml:space="preserve"> New South Wales (14</w:t>
      </w:r>
      <w:r>
        <w:t xml:space="preserve">.8%). </w:t>
      </w:r>
      <w:r w:rsidR="007902DB">
        <w:t>South Australia had the lowest entry rate</w:t>
      </w:r>
      <w:r w:rsidR="003A6212">
        <w:t> </w:t>
      </w:r>
      <w:r w:rsidR="007902DB">
        <w:t>(12.3%)</w:t>
      </w:r>
      <w:r>
        <w:t>.</w:t>
      </w:r>
    </w:p>
    <w:p w:rsidR="00692620" w:rsidRDefault="00692620" w:rsidP="00F35F01">
      <w:r>
        <w:br w:type="page"/>
      </w:r>
    </w:p>
    <w:p w:rsidR="00022DB3" w:rsidRDefault="00022DB3" w:rsidP="003C3370">
      <w:pPr>
        <w:pStyle w:val="Heading2"/>
      </w:pPr>
      <w:r w:rsidRPr="003E68CE">
        <w:lastRenderedPageBreak/>
        <w:t>Business count (actively</w:t>
      </w:r>
      <w:r w:rsidRPr="00C37E4D">
        <w:t xml:space="preserve"> trading), June </w:t>
      </w:r>
      <w:r w:rsidR="00FD69C1">
        <w:t>2020</w:t>
      </w:r>
    </w:p>
    <w:p w:rsidR="00022DB3" w:rsidRPr="00022DB3" w:rsidRDefault="00022DB3" w:rsidP="003C3370">
      <w:pPr>
        <w:rPr>
          <w:b/>
          <w:bCs/>
        </w:rPr>
      </w:pPr>
      <w:r w:rsidRPr="00022DB3">
        <w:t xml:space="preserve">National count: </w:t>
      </w:r>
      <w:r w:rsidR="006120E8">
        <w:t xml:space="preserve"> 2 422 404</w:t>
      </w:r>
    </w:p>
    <w:p w:rsidR="00022DB3" w:rsidRDefault="00022DB3" w:rsidP="003C3370">
      <w:pPr>
        <w:rPr>
          <w:b/>
          <w:bCs/>
        </w:rPr>
      </w:pPr>
      <w:r w:rsidRPr="00022DB3">
        <w:t xml:space="preserve">Currently not distributed: </w:t>
      </w:r>
      <w:r w:rsidR="00091B0B">
        <w:t xml:space="preserve"> 1 462</w:t>
      </w:r>
    </w:p>
    <w:p w:rsidR="003C3370" w:rsidRDefault="00451B90" w:rsidP="003C3370">
      <w:r>
        <w:rPr>
          <w:noProof/>
          <w:lang w:eastAsia="en-AU" w:bidi="ar-SA"/>
        </w:rPr>
        <w:drawing>
          <wp:inline distT="0" distB="0" distL="0" distR="0">
            <wp:extent cx="4588067" cy="3752490"/>
            <wp:effectExtent l="0" t="0" r="3175" b="635"/>
            <wp:docPr id="2" name="Picture 2" descr="Map of Australia: Business count (actively trading), June 2020 - WA 234,103; NT 15,072; QLD 464,990; NSW 820,375; ACT 30,858; VIC 660,214; TAS 40,955; SA 154,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7">
                      <a:extLst>
                        <a:ext uri="{28A0092B-C50C-407E-A947-70E740481C1C}">
                          <a14:useLocalDpi xmlns:a14="http://schemas.microsoft.com/office/drawing/2010/main" val="0"/>
                        </a:ext>
                      </a:extLst>
                    </a:blip>
                    <a:stretch>
                      <a:fillRect/>
                    </a:stretch>
                  </pic:blipFill>
                  <pic:spPr>
                    <a:xfrm>
                      <a:off x="0" y="0"/>
                      <a:ext cx="4613532" cy="3773318"/>
                    </a:xfrm>
                    <a:prstGeom prst="rect">
                      <a:avLst/>
                    </a:prstGeom>
                  </pic:spPr>
                </pic:pic>
              </a:graphicData>
            </a:graphic>
          </wp:inline>
        </w:drawing>
      </w:r>
    </w:p>
    <w:p w:rsidR="008735BA" w:rsidRPr="00271F6B" w:rsidRDefault="00022DB3" w:rsidP="00271F6B">
      <w:pPr>
        <w:rPr>
          <w:i/>
          <w:sz w:val="16"/>
        </w:rPr>
      </w:pPr>
      <w:r w:rsidRPr="00022DB3">
        <w:rPr>
          <w:i/>
          <w:sz w:val="16"/>
        </w:rPr>
        <w:t>Source: ABS Cat No 8165.0</w:t>
      </w:r>
    </w:p>
    <w:p w:rsidR="000C459E" w:rsidRDefault="000C459E" w:rsidP="003C3370">
      <w:pPr>
        <w:pStyle w:val="Heading2"/>
      </w:pPr>
      <w:r>
        <w:t>Number and growth of NT businesses</w:t>
      </w:r>
    </w:p>
    <w:p w:rsidR="003C3370" w:rsidRPr="003C3370" w:rsidRDefault="003C3370" w:rsidP="003C3370">
      <w:r>
        <w:rPr>
          <w:noProof/>
          <w:lang w:eastAsia="en-AU" w:bidi="ar-SA"/>
        </w:rPr>
        <w:drawing>
          <wp:inline distT="0" distB="0" distL="0" distR="0" wp14:anchorId="508721D8" wp14:editId="6B2A2B6A">
            <wp:extent cx="5020574" cy="3098274"/>
            <wp:effectExtent l="0" t="0" r="8890" b="6985"/>
            <wp:docPr id="3" name="Picture 3" descr="The number pf NT businesses increased in 2018-19 and 2019-20" title="Number and growth of NT busines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b="4572"/>
                    <a:stretch/>
                  </pic:blipFill>
                  <pic:spPr bwMode="auto">
                    <a:xfrm>
                      <a:off x="0" y="0"/>
                      <a:ext cx="5029282" cy="3103648"/>
                    </a:xfrm>
                    <a:prstGeom prst="rect">
                      <a:avLst/>
                    </a:prstGeom>
                    <a:ln>
                      <a:noFill/>
                    </a:ln>
                    <a:extLst>
                      <a:ext uri="{53640926-AAD7-44D8-BBD7-CCE9431645EC}">
                        <a14:shadowObscured xmlns:a14="http://schemas.microsoft.com/office/drawing/2010/main"/>
                      </a:ext>
                    </a:extLst>
                  </pic:spPr>
                </pic:pic>
              </a:graphicData>
            </a:graphic>
          </wp:inline>
        </w:drawing>
      </w:r>
    </w:p>
    <w:p w:rsidR="009A1926" w:rsidRPr="009A1926" w:rsidRDefault="009A1926" w:rsidP="009A1926">
      <w:pPr>
        <w:rPr>
          <w:i/>
          <w:sz w:val="16"/>
        </w:rPr>
      </w:pPr>
      <w:r w:rsidRPr="009A1926">
        <w:rPr>
          <w:i/>
          <w:sz w:val="16"/>
        </w:rPr>
        <w:t>Source: ABS Cat No 8165.0</w:t>
      </w:r>
    </w:p>
    <w:p w:rsidR="00022DB3" w:rsidRDefault="000C459E" w:rsidP="00022DB3">
      <w:r>
        <w:t>In 2019-20</w:t>
      </w:r>
      <w:r w:rsidR="00022DB3">
        <w:t xml:space="preserve">, the exit rate for NT was 12.4%, lower than the entry rate and resulting in an increase in the number of overall </w:t>
      </w:r>
      <w:r>
        <w:t>businesses. The NT had the fourth lowest exit rate while Australia Capital Territory</w:t>
      </w:r>
      <w:r w:rsidR="00271F6B">
        <w:t xml:space="preserve"> (ACT)</w:t>
      </w:r>
      <w:r>
        <w:t xml:space="preserve"> had the highest (13.7</w:t>
      </w:r>
      <w:r w:rsidR="00022DB3">
        <w:t>%). Nationally, the exit rate was 1</w:t>
      </w:r>
      <w:r>
        <w:t>2.5</w:t>
      </w:r>
      <w:r w:rsidR="00022DB3">
        <w:t>%.</w:t>
      </w:r>
    </w:p>
    <w:p w:rsidR="00022DB3" w:rsidRDefault="000C459E" w:rsidP="00022DB3">
      <w:r>
        <w:t xml:space="preserve">Of the 14 289 </w:t>
      </w:r>
      <w:r w:rsidR="00022DB3">
        <w:t>b</w:t>
      </w:r>
      <w:r>
        <w:t>usinesses operating in June 2016 in the NT, 87.3</w:t>
      </w:r>
      <w:r w:rsidR="00022DB3">
        <w:t>% w</w:t>
      </w:r>
      <w:r>
        <w:t>ere still operating in June</w:t>
      </w:r>
      <w:r w:rsidR="00271F6B">
        <w:t> </w:t>
      </w:r>
      <w:r>
        <w:t>2017, 77.3% survived to June 2018, 70.3</w:t>
      </w:r>
      <w:r w:rsidR="00022DB3">
        <w:t>% w</w:t>
      </w:r>
      <w:r>
        <w:t>ere still operating in June 2019 and 64.6% survived to June 2020</w:t>
      </w:r>
      <w:r w:rsidR="00022DB3">
        <w:t xml:space="preserve">. </w:t>
      </w:r>
    </w:p>
    <w:p w:rsidR="00022DB3" w:rsidRDefault="000C459E" w:rsidP="00022DB3">
      <w:r>
        <w:t>Nationally, 65.1</w:t>
      </w:r>
      <w:r w:rsidR="00022DB3">
        <w:t>% of the businesses operating i</w:t>
      </w:r>
      <w:r>
        <w:t>n June 2016 survived to June 2020</w:t>
      </w:r>
      <w:r w:rsidR="00022DB3">
        <w:t>.</w:t>
      </w:r>
    </w:p>
    <w:p w:rsidR="009A1926" w:rsidRDefault="009A1926" w:rsidP="009A1926">
      <w:r>
        <w:t>Of the b</w:t>
      </w:r>
      <w:r w:rsidR="000C459E">
        <w:t>usinesses operating in June 2016</w:t>
      </w:r>
      <w:r>
        <w:t>, the hi</w:t>
      </w:r>
      <w:r w:rsidR="000C459E">
        <w:t>ghest survival rate in June 2020 was recorded in Tasmania (68.7</w:t>
      </w:r>
      <w:r>
        <w:t>%), f</w:t>
      </w:r>
      <w:r w:rsidR="000C459E">
        <w:t>ollowed by South Australia (67.7</w:t>
      </w:r>
      <w:r>
        <w:t>%). The lowest su</w:t>
      </w:r>
      <w:r w:rsidR="000C459E">
        <w:t>rvival rate was in the ACT</w:t>
      </w:r>
      <w:r w:rsidR="00271F6B">
        <w:t> </w:t>
      </w:r>
      <w:r w:rsidR="000C459E">
        <w:t>(62.5</w:t>
      </w:r>
      <w:r>
        <w:t>%).</w:t>
      </w:r>
    </w:p>
    <w:p w:rsidR="00022DB3" w:rsidRDefault="000C459E" w:rsidP="009A1926">
      <w:r>
        <w:t>In June 2017</w:t>
      </w:r>
      <w:r w:rsidR="009A1926">
        <w:t>, the Te</w:t>
      </w:r>
      <w:r>
        <w:t>rritory had 1988</w:t>
      </w:r>
      <w:r w:rsidR="009A1926">
        <w:t xml:space="preserve"> bu</w:t>
      </w:r>
      <w:r>
        <w:t>siness entries and of these 77.2% survived to June 2018, 60.0% survived to June 2019</w:t>
      </w:r>
      <w:r w:rsidR="00821980">
        <w:t xml:space="preserve"> and 51.0% survived to June 2020</w:t>
      </w:r>
      <w:r w:rsidR="009A1926">
        <w:t xml:space="preserve">. Nationally, the survival rate in June </w:t>
      </w:r>
      <w:r w:rsidR="003854DB">
        <w:t xml:space="preserve">2020 </w:t>
      </w:r>
      <w:r w:rsidR="00821980">
        <w:t>of business entries in 2016-17 was 53.3</w:t>
      </w:r>
      <w:r w:rsidR="009A1926">
        <w:t>%.</w:t>
      </w:r>
    </w:p>
    <w:p w:rsidR="009A1926" w:rsidRDefault="009A1926" w:rsidP="00734213">
      <w:pPr>
        <w:pStyle w:val="Heading1"/>
      </w:pPr>
      <w:r>
        <w:t>Business size</w:t>
      </w:r>
    </w:p>
    <w:p w:rsidR="00FD69C1" w:rsidRDefault="009A1926" w:rsidP="009A1926">
      <w:r>
        <w:t>Australian Bureau of Statistics (ABS) defines business size by level of employment as follows:</w:t>
      </w:r>
    </w:p>
    <w:p w:rsidR="009A1926" w:rsidRDefault="009A1926" w:rsidP="009A1926">
      <w:pPr>
        <w:pStyle w:val="ListParagraph"/>
        <w:numPr>
          <w:ilvl w:val="0"/>
          <w:numId w:val="2"/>
        </w:numPr>
      </w:pPr>
      <w:r>
        <w:t>Small business : 0-19 employees</w:t>
      </w:r>
    </w:p>
    <w:p w:rsidR="009A1926" w:rsidRDefault="009A1926" w:rsidP="009A1926">
      <w:pPr>
        <w:pStyle w:val="ListParagraph"/>
        <w:numPr>
          <w:ilvl w:val="0"/>
          <w:numId w:val="2"/>
        </w:numPr>
      </w:pPr>
      <w:r>
        <w:t>Medium business: 20-199 employees</w:t>
      </w:r>
    </w:p>
    <w:p w:rsidR="009A1926" w:rsidRDefault="009A1926" w:rsidP="009A1926">
      <w:pPr>
        <w:pStyle w:val="ListParagraph"/>
        <w:numPr>
          <w:ilvl w:val="0"/>
          <w:numId w:val="2"/>
        </w:numPr>
      </w:pPr>
      <w:r>
        <w:t>Large business: 200+ employees</w:t>
      </w:r>
    </w:p>
    <w:p w:rsidR="009A1926" w:rsidRDefault="009A1926" w:rsidP="009A1926">
      <w:r>
        <w:t>The majority of actively trading businesses i</w:t>
      </w:r>
      <w:r w:rsidR="00821980">
        <w:t>n the NT are small. In June 2020, 96.2</w:t>
      </w:r>
      <w:r>
        <w:t>%</w:t>
      </w:r>
      <w:r w:rsidR="00821980">
        <w:t xml:space="preserve"> were small businesses, 3.6</w:t>
      </w:r>
      <w:r>
        <w:t>% were medium businesses and 0.2% were la</w:t>
      </w:r>
      <w:r w:rsidR="00821980">
        <w:t>rge businesses. Nationally, 97.5</w:t>
      </w:r>
      <w:r>
        <w:t>% of the businesses were small.</w:t>
      </w:r>
    </w:p>
    <w:p w:rsidR="009A1926" w:rsidRDefault="009A1926" w:rsidP="003C3370">
      <w:pPr>
        <w:pStyle w:val="Heading2"/>
      </w:pPr>
      <w:r>
        <w:t>Business</w:t>
      </w:r>
      <w:r w:rsidR="00FD5A13">
        <w:t xml:space="preserve"> entry and exit rates, June 2020</w:t>
      </w:r>
    </w:p>
    <w:p w:rsidR="003C3370" w:rsidRPr="003C3370" w:rsidRDefault="003C3370" w:rsidP="003C3370">
      <w:r>
        <w:rPr>
          <w:noProof/>
          <w:lang w:eastAsia="en-AU" w:bidi="ar-SA"/>
        </w:rPr>
        <w:drawing>
          <wp:inline distT="0" distB="0" distL="0" distR="0" wp14:anchorId="42A67B8C" wp14:editId="07DE7684">
            <wp:extent cx="5095875" cy="2713567"/>
            <wp:effectExtent l="0" t="0" r="0" b="0"/>
            <wp:docPr id="8" name="Picture 8" descr="The NT business entry rate was 14.7% higher than the national average of all jurisdictions of 14.5%. The NT has a business exit rate of 12.4 the third lowest rate of jursidications." title="Business entry and exit rates - June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098315" cy="2714866"/>
                    </a:xfrm>
                    <a:prstGeom prst="rect">
                      <a:avLst/>
                    </a:prstGeom>
                  </pic:spPr>
                </pic:pic>
              </a:graphicData>
            </a:graphic>
          </wp:inline>
        </w:drawing>
      </w:r>
    </w:p>
    <w:p w:rsidR="009A1926" w:rsidRPr="009A1926" w:rsidRDefault="009A1926" w:rsidP="009A1926">
      <w:pPr>
        <w:rPr>
          <w:i/>
          <w:sz w:val="16"/>
        </w:rPr>
      </w:pPr>
      <w:r w:rsidRPr="009A1926">
        <w:rPr>
          <w:i/>
          <w:sz w:val="16"/>
        </w:rPr>
        <w:t>Source: ABS Cat No 8165.0</w:t>
      </w:r>
    </w:p>
    <w:p w:rsidR="009A1926" w:rsidRDefault="00FD5A13" w:rsidP="003C3370">
      <w:pPr>
        <w:pStyle w:val="Heading2"/>
      </w:pPr>
      <w:r>
        <w:t>NT business size, June 2020</w:t>
      </w:r>
    </w:p>
    <w:p w:rsidR="003C3370" w:rsidRDefault="00FD5A13" w:rsidP="009A1926">
      <w:pPr>
        <w:rPr>
          <w:i/>
          <w:sz w:val="16"/>
        </w:rPr>
      </w:pPr>
      <w:r>
        <w:rPr>
          <w:noProof/>
          <w:lang w:eastAsia="en-AU" w:bidi="ar-SA"/>
        </w:rPr>
        <w:drawing>
          <wp:inline distT="0" distB="0" distL="0" distR="0">
            <wp:extent cx="5097145" cy="2700068"/>
            <wp:effectExtent l="0" t="0" r="8255" b="5080"/>
            <wp:docPr id="13" name="Picture 13" descr="In the NT 96.2 per cent of businesses were small, 3.6 per cent were medium and 0.2 per cent were large in 2019-20." title="NT business size- June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677" t="6802" r="16613" b="8028"/>
                    <a:stretch/>
                  </pic:blipFill>
                  <pic:spPr bwMode="auto">
                    <a:xfrm>
                      <a:off x="0" y="0"/>
                      <a:ext cx="5122809" cy="2713663"/>
                    </a:xfrm>
                    <a:prstGeom prst="rect">
                      <a:avLst/>
                    </a:prstGeom>
                    <a:ln>
                      <a:noFill/>
                    </a:ln>
                    <a:extLst>
                      <a:ext uri="{53640926-AAD7-44D8-BBD7-CCE9431645EC}">
                        <a14:shadowObscured xmlns:a14="http://schemas.microsoft.com/office/drawing/2010/main"/>
                      </a:ext>
                    </a:extLst>
                  </pic:spPr>
                </pic:pic>
              </a:graphicData>
            </a:graphic>
          </wp:inline>
        </w:drawing>
      </w:r>
    </w:p>
    <w:p w:rsidR="009A1926" w:rsidRPr="009A1926" w:rsidRDefault="009A1926" w:rsidP="009A1926">
      <w:pPr>
        <w:rPr>
          <w:i/>
          <w:sz w:val="16"/>
        </w:rPr>
      </w:pPr>
      <w:r w:rsidRPr="009A1926">
        <w:rPr>
          <w:i/>
          <w:sz w:val="16"/>
        </w:rPr>
        <w:t>Source: ABS Cat No 8165.0</w:t>
      </w:r>
    </w:p>
    <w:p w:rsidR="009B3770" w:rsidRDefault="009B3770" w:rsidP="009B3770">
      <w:r>
        <w:t>Of th</w:t>
      </w:r>
      <w:r w:rsidR="00FD5A13">
        <w:t>e small businesses in the NT, 63.2</w:t>
      </w:r>
      <w:r>
        <w:t>% w</w:t>
      </w:r>
      <w:r w:rsidR="00FD5A13">
        <w:t>ere non</w:t>
      </w:r>
      <w:r w:rsidR="00271F6B">
        <w:t>-</w:t>
      </w:r>
      <w:r w:rsidR="00FD5A13">
        <w:t>employing businesses, 23.3</w:t>
      </w:r>
      <w:r>
        <w:t>% had 1</w:t>
      </w:r>
      <w:r w:rsidR="00692620">
        <w:noBreakHyphen/>
      </w:r>
      <w:r>
        <w:t>4</w:t>
      </w:r>
      <w:r w:rsidR="00692620">
        <w:t> </w:t>
      </w:r>
      <w:r>
        <w:t>employees and 13.5% had between 5</w:t>
      </w:r>
      <w:r w:rsidR="00271F6B">
        <w:t xml:space="preserve"> and </w:t>
      </w:r>
      <w:r>
        <w:t>19 employees.</w:t>
      </w:r>
    </w:p>
    <w:p w:rsidR="00623913" w:rsidRDefault="009B3770" w:rsidP="009B3770">
      <w:r>
        <w:t>The non-employing businesses as a percentage of total number of busines</w:t>
      </w:r>
      <w:r w:rsidR="00FD5A13">
        <w:t>ses in the NT accounted for 61.4</w:t>
      </w:r>
      <w:r>
        <w:t>%.</w:t>
      </w:r>
    </w:p>
    <w:p w:rsidR="009B3770" w:rsidRDefault="009B3770" w:rsidP="003C3370">
      <w:pPr>
        <w:pStyle w:val="Heading1"/>
      </w:pPr>
      <w:r>
        <w:t>Business numbers - industry sector distribution</w:t>
      </w:r>
    </w:p>
    <w:p w:rsidR="009B3770" w:rsidRDefault="00A579B8" w:rsidP="009B3770">
      <w:r>
        <w:t>In June 2020</w:t>
      </w:r>
      <w:r w:rsidR="009B3770">
        <w:t>, the ‘Construction” industry had the highest number of business</w:t>
      </w:r>
      <w:r w:rsidR="00FD5A13">
        <w:t>es operating in the NT with 18.8</w:t>
      </w:r>
      <w:r w:rsidR="009B3770">
        <w:t>% of total businesses. This was followed by ‘Rental, Hiring</w:t>
      </w:r>
      <w:r w:rsidR="00FD5A13">
        <w:t xml:space="preserve"> and Real Estate Services’ (12.6</w:t>
      </w:r>
      <w:r w:rsidR="009B3770">
        <w:t>%); ‘Professional, Scientific and Technical Services’ (9.6%); ‘Transpo</w:t>
      </w:r>
      <w:r w:rsidR="00FD5A13">
        <w:t>rt, Postal and Warehousing’ (8.8%); ‘Retail Trade’ (6.2</w:t>
      </w:r>
      <w:r w:rsidR="009B3770">
        <w:t>%) and ‘Finance and Insurance Services’ (6.1%).</w:t>
      </w:r>
    </w:p>
    <w:p w:rsidR="009B3770" w:rsidRDefault="009B3770" w:rsidP="009B3770">
      <w:r>
        <w:t>At the national level, ‘Construction’ industry had the hi</w:t>
      </w:r>
      <w:r w:rsidR="00FD5A13">
        <w:t>ghest number of businesses (16.4</w:t>
      </w:r>
      <w:r>
        <w:t>%) followed by ‘Professional, Scientif</w:t>
      </w:r>
      <w:r w:rsidR="00FD5A13">
        <w:t>ic and Technical Services’ (12.5</w:t>
      </w:r>
      <w:r>
        <w:t>%), ‘Rental, Hiring and Real</w:t>
      </w:r>
      <w:r w:rsidR="00692620">
        <w:t> </w:t>
      </w:r>
      <w:r>
        <w:t>Estate Services’ (10.9%), and ‘Fin</w:t>
      </w:r>
      <w:r w:rsidR="00FD5A13">
        <w:t>ancial &amp; Insurance Services (9.0</w:t>
      </w:r>
      <w:r>
        <w:t>%).</w:t>
      </w:r>
    </w:p>
    <w:p w:rsidR="009B3770" w:rsidRDefault="009B3770" w:rsidP="009B3770">
      <w:r w:rsidRPr="009B3770">
        <w:t>The majority of businesses in the NT are in the ‘services sector’ (all industries except ‘Agriculture, Forestry and Fishing’; ‘Mining’; ‘Manufacturing’; ‘Electricity, water, gas and waste services’; and ‘Construction’). In June 20</w:t>
      </w:r>
      <w:r w:rsidR="00FD69C1">
        <w:t>20</w:t>
      </w:r>
      <w:r w:rsidR="00FD5A13">
        <w:t>, the ‘services sector’ had 71.5</w:t>
      </w:r>
      <w:r w:rsidRPr="009B3770">
        <w:t>% of all NT businesses.</w:t>
      </w:r>
    </w:p>
    <w:p w:rsidR="00734213" w:rsidRDefault="00734213" w:rsidP="009B3770"/>
    <w:p w:rsidR="001E6EDE" w:rsidRDefault="001E6EDE">
      <w:pPr>
        <w:widowControl w:val="0"/>
        <w:spacing w:after="0" w:line="240" w:lineRule="auto"/>
        <w:rPr>
          <w:b/>
          <w:bCs/>
          <w:color w:val="1F1F5F"/>
          <w:sz w:val="32"/>
          <w:szCs w:val="32"/>
        </w:rPr>
      </w:pPr>
      <w:r>
        <w:br w:type="page"/>
      </w:r>
    </w:p>
    <w:p w:rsidR="009B3770" w:rsidRDefault="009B3770" w:rsidP="003C3370">
      <w:pPr>
        <w:pStyle w:val="Heading1"/>
      </w:pPr>
      <w:r>
        <w:t xml:space="preserve">Regional </w:t>
      </w:r>
      <w:r w:rsidRPr="00F86933">
        <w:t>distribution</w:t>
      </w:r>
      <w:r>
        <w:t xml:space="preserve"> of business</w:t>
      </w:r>
    </w:p>
    <w:p w:rsidR="009B3770" w:rsidRDefault="009B3770" w:rsidP="009B3770">
      <w:r>
        <w:t>The majority of the businesses in the Territory are located in the Greater Darwin region (Darwin</w:t>
      </w:r>
      <w:r w:rsidR="00692620">
        <w:t> </w:t>
      </w:r>
      <w:r>
        <w:t>City, Darwin Suburbs, Litchfield and Palmerston).</w:t>
      </w:r>
    </w:p>
    <w:p w:rsidR="009B3770" w:rsidRDefault="003A5928" w:rsidP="003C3370">
      <w:pPr>
        <w:pStyle w:val="Heading2"/>
      </w:pPr>
      <w:r w:rsidRPr="003E68CE">
        <w:t>NT small business sub</w:t>
      </w:r>
      <w:r w:rsidRPr="00924AB5">
        <w:t>-categories</w:t>
      </w:r>
    </w:p>
    <w:p w:rsidR="009B3770" w:rsidRDefault="00FD5A13" w:rsidP="009B3770">
      <w:r>
        <w:rPr>
          <w:noProof/>
          <w:lang w:eastAsia="en-AU" w:bidi="ar-SA"/>
        </w:rPr>
        <w:drawing>
          <wp:inline distT="0" distB="0" distL="0" distR="0" wp14:anchorId="0163A3ED" wp14:editId="29DE6E7F">
            <wp:extent cx="5276850" cy="2966679"/>
            <wp:effectExtent l="0" t="0" r="0" b="5715"/>
            <wp:docPr id="14" name="Picture 14" descr="Of the small businesses in the NT, 63.2% were non employing businesses, 23.3% had 1-4 employees and 13.5% had between 5-19 employees." title="NT small business sub-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9971" t="4672" b="6061"/>
                    <a:stretch/>
                  </pic:blipFill>
                  <pic:spPr bwMode="auto">
                    <a:xfrm>
                      <a:off x="0" y="0"/>
                      <a:ext cx="5292042" cy="2975220"/>
                    </a:xfrm>
                    <a:prstGeom prst="rect">
                      <a:avLst/>
                    </a:prstGeom>
                    <a:ln>
                      <a:noFill/>
                    </a:ln>
                    <a:extLst>
                      <a:ext uri="{53640926-AAD7-44D8-BBD7-CCE9431645EC}">
                        <a14:shadowObscured xmlns:a14="http://schemas.microsoft.com/office/drawing/2010/main"/>
                      </a:ext>
                    </a:extLst>
                  </pic:spPr>
                </pic:pic>
              </a:graphicData>
            </a:graphic>
          </wp:inline>
        </w:drawing>
      </w:r>
    </w:p>
    <w:p w:rsidR="003A5928" w:rsidRDefault="003A5928" w:rsidP="009B3770">
      <w:pPr>
        <w:rPr>
          <w:i/>
          <w:sz w:val="16"/>
        </w:rPr>
      </w:pPr>
      <w:r w:rsidRPr="009A1926">
        <w:rPr>
          <w:i/>
          <w:sz w:val="16"/>
        </w:rPr>
        <w:t>Source: ABS Cat No 8165.0</w:t>
      </w:r>
    </w:p>
    <w:p w:rsidR="003A5928" w:rsidRDefault="003A5928" w:rsidP="003C3370">
      <w:pPr>
        <w:pStyle w:val="Heading2"/>
      </w:pPr>
      <w:r w:rsidRPr="003A5928">
        <w:t>NT</w:t>
      </w:r>
      <w:r w:rsidR="00A579B8">
        <w:t xml:space="preserve"> business by industry, June 2020</w:t>
      </w:r>
    </w:p>
    <w:p w:rsidR="00734213" w:rsidRDefault="00A579B8" w:rsidP="00734213">
      <w:pPr>
        <w:rPr>
          <w:i/>
          <w:sz w:val="16"/>
        </w:rPr>
      </w:pPr>
      <w:r>
        <w:rPr>
          <w:noProof/>
          <w:lang w:eastAsia="en-AU" w:bidi="ar-SA"/>
        </w:rPr>
        <w:drawing>
          <wp:inline distT="0" distB="0" distL="0" distR="0" wp14:anchorId="1B329117" wp14:editId="7BAC583F">
            <wp:extent cx="5600065" cy="3165895"/>
            <wp:effectExtent l="0" t="0" r="635" b="0"/>
            <wp:docPr id="15" name="Picture 15" descr="In June 2020, the ‘Construction” industry had the highest number of businesses operating in the NT with 18.8% of total businesses. This was followed by ‘Rental, Hiring and Real Estate Services’ (12.6%); ‘Professional, Scientific and Technical Services’ (9.6%); ‘Transport, Postal and Warehousing’ (8.8%); ‘Retail Trade’ (6.2%) and ‘Finance and Insurance Services’ (6.1%).&#10;&#10;&#10;&#10;" title="NT business by industry, June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4208"/>
                    <a:stretch/>
                  </pic:blipFill>
                  <pic:spPr bwMode="auto">
                    <a:xfrm>
                      <a:off x="0" y="0"/>
                      <a:ext cx="5616229" cy="3175033"/>
                    </a:xfrm>
                    <a:prstGeom prst="rect">
                      <a:avLst/>
                    </a:prstGeom>
                    <a:ln>
                      <a:noFill/>
                    </a:ln>
                    <a:extLst>
                      <a:ext uri="{53640926-AAD7-44D8-BBD7-CCE9431645EC}">
                        <a14:shadowObscured xmlns:a14="http://schemas.microsoft.com/office/drawing/2010/main"/>
                      </a:ext>
                    </a:extLst>
                  </pic:spPr>
                </pic:pic>
              </a:graphicData>
            </a:graphic>
          </wp:inline>
        </w:drawing>
      </w:r>
    </w:p>
    <w:p w:rsidR="00271F6B" w:rsidRDefault="003A5928" w:rsidP="00734213">
      <w:r w:rsidRPr="009A1926">
        <w:rPr>
          <w:i/>
          <w:sz w:val="16"/>
        </w:rPr>
        <w:t>Source: ABS Cat No 8165.0</w:t>
      </w:r>
      <w:r w:rsidR="00734213">
        <w:rPr>
          <w:i/>
          <w:sz w:val="16"/>
        </w:rPr>
        <w:t xml:space="preserve"> </w:t>
      </w:r>
      <w:r w:rsidR="00271F6B">
        <w:br w:type="page"/>
      </w:r>
    </w:p>
    <w:p w:rsidR="009B3770" w:rsidRDefault="008B74F6" w:rsidP="009B3770">
      <w:r>
        <w:t>In June 2020</w:t>
      </w:r>
      <w:r w:rsidR="009B3770">
        <w:t xml:space="preserve">, </w:t>
      </w:r>
      <w:r w:rsidR="00A579B8">
        <w:t>74.1</w:t>
      </w:r>
      <w:r w:rsidR="009B3770">
        <w:t>% of all businesses in the NT were located in the Greater Darwin region. The Alice Springs region had the second highest number of businesses (14.1</w:t>
      </w:r>
      <w:r w:rsidR="00A579B8">
        <w:t>%), the Katherine region had 6.4%, Daly-Tiwi-West Arnhem had 2.4%, East Arnhem had 1.7</w:t>
      </w:r>
      <w:r w:rsidR="009B3770">
        <w:t>%, and the Barkly r</w:t>
      </w:r>
      <w:r w:rsidR="00A579B8">
        <w:t>egion had 1.3</w:t>
      </w:r>
      <w:r w:rsidR="009B3770">
        <w:t>%.</w:t>
      </w:r>
      <w:r w:rsidR="00A579B8">
        <w:t xml:space="preserve"> Business locations of about 1.2</w:t>
      </w:r>
      <w:r w:rsidR="009B3770">
        <w:t>% of the businesses were ‘currently unknown’.</w:t>
      </w:r>
    </w:p>
    <w:p w:rsidR="005A22B5" w:rsidRDefault="005A22B5" w:rsidP="003C3370">
      <w:pPr>
        <w:pStyle w:val="Heading1"/>
      </w:pPr>
      <w:r>
        <w:t>Annual business turnover</w:t>
      </w:r>
    </w:p>
    <w:p w:rsidR="00130609" w:rsidRDefault="00130609" w:rsidP="00130609">
      <w:r>
        <w:t xml:space="preserve">At June 2020, the NT had 25.2% of businesses operating in the ‘zero to &lt;$50k’ turnover range. About </w:t>
      </w:r>
      <w:r w:rsidR="006120E8">
        <w:t xml:space="preserve"> 12.8% </w:t>
      </w:r>
      <w:r>
        <w:t xml:space="preserve">of the businesses were operating in the ‘$50k to &lt;$100k’ range, </w:t>
      </w:r>
      <w:r w:rsidR="006120E8">
        <w:t xml:space="preserve"> 17.6%</w:t>
      </w:r>
      <w:r>
        <w:t xml:space="preserve"> in the ‘$100k to &lt;$200k’ range, </w:t>
      </w:r>
      <w:r w:rsidR="006120E8">
        <w:t xml:space="preserve"> 18.5%</w:t>
      </w:r>
      <w:r>
        <w:t xml:space="preserve"> were in the ‘$200k to &lt;$500k’ range, </w:t>
      </w:r>
      <w:r w:rsidR="006120E8">
        <w:t xml:space="preserve"> 17.0%</w:t>
      </w:r>
      <w:r>
        <w:t xml:space="preserve"> in the ‘$500k to &lt;$2m’ range, 5.4% in the ‘$2m to &lt;$5m range, 1.8% in the $5m to &lt;$10m range, and </w:t>
      </w:r>
      <w:r w:rsidR="006120E8">
        <w:t xml:space="preserve"> 1.7%</w:t>
      </w:r>
      <w:r>
        <w:t xml:space="preserve"> in the $10m+ range. </w:t>
      </w:r>
    </w:p>
    <w:p w:rsidR="00130609" w:rsidRDefault="00130609" w:rsidP="00130609">
      <w:r>
        <w:t>•More than half (55.8%) of the NT businesses have an annual turnover of less than $200k.</w:t>
      </w:r>
    </w:p>
    <w:p w:rsidR="009B3770" w:rsidRDefault="005A22B5" w:rsidP="005A22B5">
      <w:r>
        <w:t>Nationally, around 25.0% of businesses were operating in the turnover range of ‘zero to &lt;$50k’, 34.1% in the ‘$50k to &lt;$200k’ turnover range, 33.9% in the ‘$200k to &lt;$2m’ turnover range, 4.0% in the ‘$2m to &lt;$5m’ turnover range; 1.4% in the ‘$5m to &lt;$10m’ turnover range and 1.6% in the $10m or more’ turnover range.</w:t>
      </w:r>
    </w:p>
    <w:p w:rsidR="005A22B5" w:rsidRDefault="003A5928" w:rsidP="003C3370">
      <w:pPr>
        <w:pStyle w:val="Heading2"/>
      </w:pPr>
      <w:r w:rsidRPr="003A5928">
        <w:t>NT businesses by region</w:t>
      </w:r>
      <w:r w:rsidR="00FD69C1">
        <w:t>, June 2020</w:t>
      </w:r>
    </w:p>
    <w:p w:rsidR="00091B0B" w:rsidRPr="00091B0B" w:rsidRDefault="00091B0B" w:rsidP="00091B0B">
      <w:r>
        <w:rPr>
          <w:noProof/>
          <w:lang w:eastAsia="en-AU" w:bidi="ar-SA"/>
        </w:rPr>
        <w:drawing>
          <wp:inline distT="0" distB="0" distL="0" distR="0" wp14:anchorId="4B477D60" wp14:editId="74688B83">
            <wp:extent cx="5658929" cy="2834638"/>
            <wp:effectExtent l="0" t="0" r="0" b="4445"/>
            <wp:docPr id="1" name="Picture 1" descr="In June 2020, 74.% of all businesses in the NT were located in the Greater Darwin region. The Alice Springs region had the second highest number of businesses (14.1%), the Katherine region had 6.5%, Daly-Tiwi-West Arnhem had 2.4%, East Arnhem had 1.7%, and the Barkly region had 1.3%. Business locations of about 1.2% of the businesses were ‘currently unkn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93286" cy="2851848"/>
                    </a:xfrm>
                    <a:prstGeom prst="rect">
                      <a:avLst/>
                    </a:prstGeom>
                  </pic:spPr>
                </pic:pic>
              </a:graphicData>
            </a:graphic>
          </wp:inline>
        </w:drawing>
      </w:r>
    </w:p>
    <w:p w:rsidR="003A5928" w:rsidRDefault="003A5928" w:rsidP="003A5928">
      <w:pPr>
        <w:rPr>
          <w:i/>
          <w:sz w:val="16"/>
        </w:rPr>
      </w:pPr>
      <w:r w:rsidRPr="009A1926">
        <w:rPr>
          <w:i/>
          <w:sz w:val="16"/>
        </w:rPr>
        <w:t>Source: ABS Cat No 8165.0</w:t>
      </w:r>
    </w:p>
    <w:p w:rsidR="003A5928" w:rsidRDefault="00FD69C1" w:rsidP="003C3370">
      <w:pPr>
        <w:pStyle w:val="Heading2"/>
      </w:pPr>
      <w:r>
        <w:t xml:space="preserve">Business </w:t>
      </w:r>
      <w:r w:rsidR="00FE0575">
        <w:t>l</w:t>
      </w:r>
      <w:r>
        <w:t>ocation, June 2020</w:t>
      </w:r>
    </w:p>
    <w:p w:rsidR="003A5928" w:rsidRDefault="008B74F6" w:rsidP="003A5928">
      <w:pPr>
        <w:rPr>
          <w:i/>
          <w:sz w:val="16"/>
        </w:rPr>
      </w:pPr>
      <w:r>
        <w:rPr>
          <w:noProof/>
          <w:lang w:eastAsia="en-AU" w:bidi="ar-SA"/>
        </w:rPr>
        <w:drawing>
          <wp:inline distT="0" distB="0" distL="0" distR="0" wp14:anchorId="1B429E3B" wp14:editId="28CA5703">
            <wp:extent cx="5924679" cy="2363638"/>
            <wp:effectExtent l="0" t="0" r="0" b="0"/>
            <wp:docPr id="17" name="Picture 17" descr="The majority of the businesses in the Territory are located in the Greater Darwin region (Darwin City, Darwin Suburbs, Litchfield and Palmerston)." title="Business Location, June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3292" b="5758"/>
                    <a:stretch/>
                  </pic:blipFill>
                  <pic:spPr bwMode="auto">
                    <a:xfrm>
                      <a:off x="0" y="0"/>
                      <a:ext cx="5934473" cy="2367545"/>
                    </a:xfrm>
                    <a:prstGeom prst="rect">
                      <a:avLst/>
                    </a:prstGeom>
                    <a:ln>
                      <a:noFill/>
                    </a:ln>
                    <a:extLst>
                      <a:ext uri="{53640926-AAD7-44D8-BBD7-CCE9431645EC}">
                        <a14:shadowObscured xmlns:a14="http://schemas.microsoft.com/office/drawing/2010/main"/>
                      </a:ext>
                    </a:extLst>
                  </pic:spPr>
                </pic:pic>
              </a:graphicData>
            </a:graphic>
          </wp:inline>
        </w:drawing>
      </w:r>
      <w:r w:rsidR="003A5928" w:rsidRPr="009A1926">
        <w:rPr>
          <w:i/>
          <w:sz w:val="16"/>
        </w:rPr>
        <w:t>Source: ABS Cat No 8165.0</w:t>
      </w:r>
    </w:p>
    <w:p w:rsidR="003A5928" w:rsidRDefault="003A5928" w:rsidP="003C3370">
      <w:pPr>
        <w:pStyle w:val="Heading2"/>
      </w:pPr>
      <w:r w:rsidRPr="003A5928">
        <w:t>NT busin</w:t>
      </w:r>
      <w:r w:rsidR="00FD69C1">
        <w:t>ess count by turnover, June 2020</w:t>
      </w:r>
    </w:p>
    <w:p w:rsidR="003A5928" w:rsidRDefault="00AB4D94" w:rsidP="005A22B5">
      <w:r>
        <w:rPr>
          <w:noProof/>
          <w:lang w:eastAsia="en-AU" w:bidi="ar-SA"/>
        </w:rPr>
        <w:drawing>
          <wp:inline distT="0" distB="0" distL="0" distR="0" wp14:anchorId="51125EA5">
            <wp:extent cx="5408763" cy="3188880"/>
            <wp:effectExtent l="0" t="0" r="1905" b="0"/>
            <wp:docPr id="7" name="Picture 7" descr="More than half (55.6 per cent) of the NT businesses have an annual turnover of less than $2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420850" cy="3196006"/>
                    </a:xfrm>
                    <a:prstGeom prst="rect">
                      <a:avLst/>
                    </a:prstGeom>
                    <a:noFill/>
                  </pic:spPr>
                </pic:pic>
              </a:graphicData>
            </a:graphic>
          </wp:inline>
        </w:drawing>
      </w:r>
      <w:bookmarkStart w:id="0" w:name="_GoBack"/>
      <w:bookmarkEnd w:id="0"/>
    </w:p>
    <w:p w:rsidR="003A5928" w:rsidRDefault="003A5928" w:rsidP="005A22B5">
      <w:pPr>
        <w:rPr>
          <w:i/>
          <w:sz w:val="16"/>
        </w:rPr>
      </w:pPr>
      <w:r w:rsidRPr="003A5928">
        <w:rPr>
          <w:i/>
          <w:sz w:val="16"/>
        </w:rPr>
        <w:t>Source: ABS Cat. No. 8165.0 and ABS unpublished data</w:t>
      </w:r>
    </w:p>
    <w:p w:rsidR="00AB4D94" w:rsidRDefault="00AB4D94" w:rsidP="00FE0575">
      <w:pPr>
        <w:pStyle w:val="Heading1"/>
      </w:pPr>
      <w:r w:rsidRPr="00640FCA">
        <w:t>The conceptual and practical basis for counts of</w:t>
      </w:r>
      <w:r>
        <w:t xml:space="preserve"> </w:t>
      </w:r>
      <w:r w:rsidRPr="00640FCA">
        <w:t xml:space="preserve">Australian businesses, including </w:t>
      </w:r>
      <w:r w:rsidRPr="00F86933">
        <w:t>entries</w:t>
      </w:r>
      <w:r w:rsidRPr="00640FCA">
        <w:t xml:space="preserve"> and exits</w:t>
      </w:r>
    </w:p>
    <w:p w:rsidR="00AB4D94" w:rsidRDefault="00AB4D94" w:rsidP="00AB4D94">
      <w:pPr>
        <w:pStyle w:val="Heading2"/>
      </w:pPr>
      <w:r>
        <w:t xml:space="preserve">Reference </w:t>
      </w:r>
      <w:r w:rsidR="00FE0575">
        <w:t>p</w:t>
      </w:r>
      <w:r>
        <w:t>eriod</w:t>
      </w:r>
      <w:r w:rsidR="00FE0575">
        <w:t>,</w:t>
      </w:r>
      <w:r>
        <w:t xml:space="preserve"> June 2020</w:t>
      </w:r>
      <w:r w:rsidRPr="00640FCA">
        <w:t>(a)</w:t>
      </w:r>
    </w:p>
    <w:p w:rsidR="00AB4D94" w:rsidRDefault="00AB4D94" w:rsidP="00AB4D94">
      <w:r w:rsidRPr="00082B88">
        <w:rPr>
          <w:noProof/>
          <w:lang w:eastAsia="en-AU" w:bidi="ar-SA"/>
        </w:rPr>
        <w:drawing>
          <wp:inline distT="0" distB="0" distL="0" distR="0" wp14:anchorId="70DDCEEC" wp14:editId="08581765">
            <wp:extent cx="6122670" cy="5814462"/>
            <wp:effectExtent l="0" t="0" r="0" b="0"/>
            <wp:docPr id="5" name="Picture 5" descr="Flow chart: The conceptual and practical basis for counts of Australian businesses, including entries and exits.&#10;Reference Period June 2020(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2670" cy="5814462"/>
                    </a:xfrm>
                    <a:prstGeom prst="rect">
                      <a:avLst/>
                    </a:prstGeom>
                    <a:noFill/>
                    <a:ln>
                      <a:noFill/>
                    </a:ln>
                  </pic:spPr>
                </pic:pic>
              </a:graphicData>
            </a:graphic>
          </wp:inline>
        </w:drawing>
      </w:r>
    </w:p>
    <w:p w:rsidR="00AB4D94" w:rsidRPr="00640FCA" w:rsidRDefault="00AB4D94" w:rsidP="00AB4D94">
      <w:pPr>
        <w:spacing w:line="288" w:lineRule="auto"/>
        <w:rPr>
          <w:sz w:val="18"/>
        </w:rPr>
      </w:pPr>
      <w:r w:rsidRPr="00640FCA">
        <w:rPr>
          <w:sz w:val="18"/>
          <w:szCs w:val="18"/>
        </w:rPr>
        <w:t xml:space="preserve">(a) The ABS Business Register </w:t>
      </w:r>
      <w:proofErr w:type="gramStart"/>
      <w:r w:rsidRPr="00640FCA">
        <w:rPr>
          <w:sz w:val="18"/>
          <w:szCs w:val="18"/>
        </w:rPr>
        <w:t>is updated</w:t>
      </w:r>
      <w:proofErr w:type="gramEnd"/>
      <w:r w:rsidRPr="00640FCA">
        <w:rPr>
          <w:sz w:val="18"/>
          <w:szCs w:val="18"/>
        </w:rPr>
        <w:t xml:space="preserve"> monthly and data is extracted as close to 30 June 2019 as possible. Therefore, in addition to out of scope ABNs, minor differences in the timing of the CABEE frame contribute to the difference between end </w:t>
      </w:r>
      <w:r w:rsidRPr="00640FCA">
        <w:rPr>
          <w:sz w:val="18"/>
        </w:rPr>
        <w:t>of year business counts presented in this release and those published by the ABR.</w:t>
      </w:r>
    </w:p>
    <w:p w:rsidR="00AB4D94" w:rsidRPr="00640FCA" w:rsidRDefault="00AB4D94" w:rsidP="00AB4D94">
      <w:pPr>
        <w:spacing w:after="0"/>
        <w:rPr>
          <w:sz w:val="18"/>
        </w:rPr>
      </w:pPr>
      <w:r w:rsidRPr="00640FCA">
        <w:rPr>
          <w:sz w:val="18"/>
        </w:rPr>
        <w:t>(b)</w:t>
      </w:r>
    </w:p>
    <w:p w:rsidR="00AB4D94" w:rsidRPr="00640FCA" w:rsidRDefault="00AB4D94" w:rsidP="00AB4D94">
      <w:pPr>
        <w:spacing w:line="288" w:lineRule="auto"/>
        <w:rPr>
          <w:sz w:val="18"/>
        </w:rPr>
      </w:pPr>
      <w:proofErr w:type="gramStart"/>
      <w:r w:rsidRPr="00640FCA">
        <w:rPr>
          <w:sz w:val="18"/>
        </w:rPr>
        <w:t>No. of active ABNs with no active in-scope roles</w:t>
      </w:r>
      <w:r>
        <w:rPr>
          <w:sz w:val="18"/>
        </w:rPr>
        <w:br/>
      </w:r>
      <w:r w:rsidRPr="00640FCA">
        <w:rPr>
          <w:sz w:val="18"/>
        </w:rPr>
        <w:t>No. of active ABNs with active in-scope roles other than active ITW and GST roles</w:t>
      </w:r>
      <w:r>
        <w:rPr>
          <w:sz w:val="18"/>
        </w:rPr>
        <w:br/>
      </w:r>
      <w:r w:rsidRPr="00640FCA">
        <w:rPr>
          <w:sz w:val="18"/>
        </w:rPr>
        <w:t>No. of active ABNs with invalid ANZSIC / SISCA / State - active ITW or GST roles only</w:t>
      </w:r>
      <w:r>
        <w:rPr>
          <w:sz w:val="18"/>
        </w:rPr>
        <w:br/>
      </w:r>
      <w:r w:rsidRPr="00640FCA">
        <w:rPr>
          <w:sz w:val="18"/>
        </w:rPr>
        <w:t>No. of mutually exclusive active ABNs excluded due to being ITW or GST LTNRs</w:t>
      </w:r>
      <w:r>
        <w:rPr>
          <w:sz w:val="18"/>
        </w:rPr>
        <w:br/>
      </w:r>
      <w:r w:rsidRPr="00640FCA">
        <w:rPr>
          <w:sz w:val="18"/>
        </w:rPr>
        <w:t>Active ABNs with active ITW role only</w:t>
      </w:r>
      <w:r>
        <w:rPr>
          <w:sz w:val="18"/>
        </w:rPr>
        <w:br/>
      </w:r>
      <w:r w:rsidRPr="00640FCA">
        <w:rPr>
          <w:sz w:val="18"/>
        </w:rPr>
        <w:t>Out of scope TOLO / ANZSIC / SISCA</w:t>
      </w:r>
      <w:proofErr w:type="gramEnd"/>
    </w:p>
    <w:p w:rsidR="00AB4D94" w:rsidRPr="006D037D" w:rsidRDefault="00AB4D94" w:rsidP="00AB4D94">
      <w:pPr>
        <w:rPr>
          <w:i/>
          <w:sz w:val="18"/>
        </w:rPr>
      </w:pPr>
      <w:r w:rsidRPr="006D037D">
        <w:rPr>
          <w:i/>
          <w:sz w:val="18"/>
        </w:rPr>
        <w:t>Source: ABS Cat. No. 8165.0</w:t>
      </w:r>
    </w:p>
    <w:p w:rsidR="00640FCA" w:rsidRPr="00640FCA" w:rsidRDefault="00640FCA" w:rsidP="003C3370">
      <w:pPr>
        <w:pStyle w:val="Heading2"/>
      </w:pPr>
      <w:r w:rsidRPr="00640FCA">
        <w:t xml:space="preserve">Notes: </w:t>
      </w:r>
    </w:p>
    <w:p w:rsidR="00640FCA" w:rsidRPr="00640FCA" w:rsidRDefault="00640FCA" w:rsidP="00734213">
      <w:pPr>
        <w:spacing w:after="160" w:line="288" w:lineRule="auto"/>
        <w:rPr>
          <w:sz w:val="18"/>
        </w:rPr>
      </w:pPr>
      <w:r w:rsidRPr="00640FCA">
        <w:rPr>
          <w:sz w:val="18"/>
        </w:rPr>
        <w:t xml:space="preserve">ABS business count </w:t>
      </w:r>
      <w:proofErr w:type="gramStart"/>
      <w:r w:rsidRPr="00640FCA">
        <w:rPr>
          <w:sz w:val="18"/>
        </w:rPr>
        <w:t>is derived</w:t>
      </w:r>
      <w:proofErr w:type="gramEnd"/>
      <w:r w:rsidRPr="00640FCA">
        <w:rPr>
          <w:sz w:val="18"/>
        </w:rPr>
        <w:t xml:space="preserve"> from Australian Bureau of Statistics Business Register (ABSBR) and is populated with information from the Australian Business Register (ABR). Most businesses in Australia are required to have an Australian Business Number (ABN) and register with ABR. Actively trading businesses with a turnover of at least of $75,000 per annum and $150 000 for non-profit organisations are required to have an ABN and remit GST.  Businesses with &lt;$75,000 turnover can voluntary register for ABN and these voluntarily registered businesses are included in the business counts. See appendix 1 for details on the basis for counts of businesses. For further </w:t>
      </w:r>
      <w:r w:rsidR="00F86933" w:rsidRPr="00640FCA">
        <w:rPr>
          <w:sz w:val="18"/>
        </w:rPr>
        <w:t>information,</w:t>
      </w:r>
      <w:r w:rsidRPr="00640FCA">
        <w:rPr>
          <w:sz w:val="18"/>
        </w:rPr>
        <w:t xml:space="preserve"> please refer to ABS Catalogue number 8165.0.</w:t>
      </w:r>
    </w:p>
    <w:p w:rsidR="00640FCA" w:rsidRPr="00640FCA" w:rsidRDefault="00640FCA" w:rsidP="00734213">
      <w:pPr>
        <w:spacing w:after="160" w:line="288" w:lineRule="auto"/>
        <w:rPr>
          <w:sz w:val="18"/>
        </w:rPr>
      </w:pPr>
      <w:r w:rsidRPr="00640FCA">
        <w:rPr>
          <w:sz w:val="18"/>
        </w:rPr>
        <w:t xml:space="preserve">The ABS definition of business exit is ‘a business for which the ABN or GST role has been cancelled and/or which has ceased to remit GST for at least five consecutive quarters in respect of that ABN (or 3 consecutive years for annual remitters)’. It </w:t>
      </w:r>
      <w:proofErr w:type="gramStart"/>
      <w:r w:rsidRPr="00640FCA">
        <w:rPr>
          <w:sz w:val="18"/>
        </w:rPr>
        <w:t>should be noted</w:t>
      </w:r>
      <w:proofErr w:type="gramEnd"/>
      <w:r w:rsidRPr="00640FCA">
        <w:rPr>
          <w:sz w:val="18"/>
        </w:rPr>
        <w:t xml:space="preserve"> that a business exit event does not necessarily equate to a business ‘failure’.  There may be other reasons such as sale of business (owner retiring, </w:t>
      </w:r>
      <w:proofErr w:type="spellStart"/>
      <w:r w:rsidRPr="00640FCA">
        <w:rPr>
          <w:sz w:val="18"/>
        </w:rPr>
        <w:t>etc</w:t>
      </w:r>
      <w:proofErr w:type="spellEnd"/>
      <w:r w:rsidRPr="00640FCA">
        <w:rPr>
          <w:sz w:val="18"/>
        </w:rPr>
        <w:t>) or change in the business structure e.g. mergers and takeovers.</w:t>
      </w:r>
    </w:p>
    <w:p w:rsidR="00640FCA" w:rsidRPr="00640FCA" w:rsidRDefault="00FE0575" w:rsidP="003C3370">
      <w:pPr>
        <w:pStyle w:val="Heading2"/>
      </w:pPr>
      <w:r>
        <w:t>Data s</w:t>
      </w:r>
      <w:r w:rsidR="00640FCA" w:rsidRPr="00640FCA">
        <w:t>ource:</w:t>
      </w:r>
    </w:p>
    <w:p w:rsidR="00640FCA" w:rsidRPr="00640FCA" w:rsidRDefault="00640FCA" w:rsidP="00734213">
      <w:pPr>
        <w:tabs>
          <w:tab w:val="left" w:pos="742"/>
        </w:tabs>
        <w:spacing w:after="160" w:line="288" w:lineRule="auto"/>
        <w:rPr>
          <w:sz w:val="18"/>
        </w:rPr>
      </w:pPr>
      <w:r w:rsidRPr="00640FCA">
        <w:rPr>
          <w:sz w:val="18"/>
        </w:rPr>
        <w:t>Australian Bureau of Statistics, Catalogue Number 8165.0</w:t>
      </w:r>
      <w:r>
        <w:rPr>
          <w:sz w:val="18"/>
        </w:rPr>
        <w:br/>
      </w:r>
      <w:r w:rsidR="002C264F">
        <w:rPr>
          <w:sz w:val="18"/>
        </w:rPr>
        <w:t>For f</w:t>
      </w:r>
      <w:r w:rsidRPr="00640FCA">
        <w:rPr>
          <w:sz w:val="18"/>
        </w:rPr>
        <w:t xml:space="preserve">urther </w:t>
      </w:r>
      <w:r w:rsidR="002C264F">
        <w:rPr>
          <w:sz w:val="18"/>
        </w:rPr>
        <w:t>i</w:t>
      </w:r>
      <w:r w:rsidRPr="00640FCA">
        <w:rPr>
          <w:sz w:val="18"/>
        </w:rPr>
        <w:t>nformation</w:t>
      </w:r>
      <w:proofErr w:type="gramStart"/>
      <w:r w:rsidRPr="00640FCA">
        <w:rPr>
          <w:sz w:val="18"/>
        </w:rPr>
        <w:t>:</w:t>
      </w:r>
      <w:proofErr w:type="gramEnd"/>
      <w:r>
        <w:rPr>
          <w:sz w:val="18"/>
        </w:rPr>
        <w:br/>
      </w:r>
      <w:r w:rsidRPr="00640FCA">
        <w:rPr>
          <w:sz w:val="18"/>
        </w:rPr>
        <w:t xml:space="preserve">Contact: Economic </w:t>
      </w:r>
      <w:r w:rsidR="00AE3E95">
        <w:rPr>
          <w:sz w:val="18"/>
        </w:rPr>
        <w:t>Analysis</w:t>
      </w:r>
      <w:r>
        <w:rPr>
          <w:sz w:val="18"/>
        </w:rPr>
        <w:br/>
      </w:r>
      <w:r w:rsidR="002C264F" w:rsidRPr="002C264F">
        <w:rPr>
          <w:sz w:val="18"/>
        </w:rPr>
        <w:tab/>
      </w:r>
      <w:r w:rsidRPr="00640FCA">
        <w:rPr>
          <w:sz w:val="18"/>
        </w:rPr>
        <w:t>Department of Trade, Business and Innovation</w:t>
      </w:r>
      <w:r>
        <w:rPr>
          <w:sz w:val="18"/>
        </w:rPr>
        <w:br/>
        <w:t>Phone:</w:t>
      </w:r>
      <w:r w:rsidRPr="00640FCA">
        <w:rPr>
          <w:sz w:val="18"/>
        </w:rPr>
        <w:tab/>
        <w:t>89995139</w:t>
      </w:r>
    </w:p>
    <w:p w:rsidR="00640FCA" w:rsidRPr="00640FCA" w:rsidRDefault="00640FCA" w:rsidP="00734213">
      <w:pPr>
        <w:spacing w:after="160" w:line="288" w:lineRule="auto"/>
        <w:rPr>
          <w:sz w:val="18"/>
        </w:rPr>
      </w:pPr>
      <w:r w:rsidRPr="00640FCA">
        <w:rPr>
          <w:sz w:val="18"/>
        </w:rPr>
        <w:t xml:space="preserve">Information current as at:  30 </w:t>
      </w:r>
      <w:r w:rsidR="000945AA">
        <w:rPr>
          <w:sz w:val="18"/>
        </w:rPr>
        <w:t>June</w:t>
      </w:r>
      <w:r w:rsidRPr="00640FCA">
        <w:rPr>
          <w:sz w:val="18"/>
        </w:rPr>
        <w:t xml:space="preserve"> 2020</w:t>
      </w:r>
      <w:r w:rsidR="002C264F">
        <w:rPr>
          <w:sz w:val="18"/>
        </w:rPr>
        <w:t xml:space="preserve"> </w:t>
      </w:r>
    </w:p>
    <w:p w:rsidR="003A5928" w:rsidRDefault="00640FCA" w:rsidP="00734213">
      <w:pPr>
        <w:spacing w:after="160" w:line="288" w:lineRule="auto"/>
        <w:rPr>
          <w:sz w:val="18"/>
        </w:rPr>
      </w:pPr>
      <w:r w:rsidRPr="00640FCA">
        <w:rPr>
          <w:sz w:val="18"/>
        </w:rPr>
        <w:t xml:space="preserve">Disclaimer: The Northern Territory of Australia gives no warranty of assurance, and makes no representation as to the accuracy of any information or advice contained in this publication, or that it is suitable for your intended use. You should not rely upon information in this publication </w:t>
      </w:r>
      <w:proofErr w:type="gramStart"/>
      <w:r w:rsidRPr="00640FCA">
        <w:rPr>
          <w:sz w:val="18"/>
        </w:rPr>
        <w:t>for the purpose of</w:t>
      </w:r>
      <w:proofErr w:type="gramEnd"/>
      <w:r w:rsidRPr="00640FCA">
        <w:rPr>
          <w:sz w:val="18"/>
        </w:rPr>
        <w:t xml:space="preserve"> making any serious business or investment decisions without obtaining independent and/or professional advice in relation to your particular situation</w:t>
      </w:r>
      <w:r w:rsidR="00734213">
        <w:rPr>
          <w:sz w:val="18"/>
        </w:rPr>
        <w:t>.</w:t>
      </w:r>
    </w:p>
    <w:sectPr w:rsidR="003A5928" w:rsidSect="003A5928">
      <w:headerReference w:type="default" r:id="rId17"/>
      <w:footerReference w:type="default" r:id="rId18"/>
      <w:headerReference w:type="first" r:id="rId19"/>
      <w:footerReference w:type="first" r:id="rId20"/>
      <w:pgSz w:w="11910" w:h="16840" w:code="9"/>
      <w:pgMar w:top="1134" w:right="1134" w:bottom="1134" w:left="1134" w:header="454"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5C6" w:rsidRDefault="00A975C6" w:rsidP="00F70946">
      <w:r>
        <w:separator/>
      </w:r>
    </w:p>
    <w:p w:rsidR="00A975C6" w:rsidRDefault="00A975C6" w:rsidP="00F70946"/>
  </w:endnote>
  <w:endnote w:type="continuationSeparator" w:id="0">
    <w:p w:rsidR="00A975C6" w:rsidRDefault="00A975C6" w:rsidP="00F70946">
      <w:r>
        <w:continuationSeparator/>
      </w:r>
    </w:p>
    <w:p w:rsidR="00A975C6" w:rsidRDefault="00A975C6" w:rsidP="00F70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buntu">
    <w:panose1 w:val="020B05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210"/>
      <w:gridCol w:w="3211"/>
      <w:gridCol w:w="3211"/>
    </w:tblGrid>
    <w:tr w:rsidR="00E206D4" w:rsidRPr="00E206D4" w:rsidTr="00A8258A">
      <w:tc>
        <w:tcPr>
          <w:tcW w:w="3210" w:type="dxa"/>
          <w:vAlign w:val="center"/>
        </w:tcPr>
        <w:p w:rsidR="00C44E36" w:rsidRPr="00E206D4" w:rsidRDefault="00293F75" w:rsidP="00D440D0">
          <w:pPr>
            <w:pStyle w:val="Webaddress"/>
          </w:pPr>
          <w:r>
            <w:t>industry.nt.gov.au</w:t>
          </w:r>
        </w:p>
      </w:tc>
      <w:tc>
        <w:tcPr>
          <w:tcW w:w="3211" w:type="dxa"/>
          <w:vAlign w:val="center"/>
        </w:tcPr>
        <w:sdt>
          <w:sdtPr>
            <w:id w:val="-881095502"/>
            <w:docPartObj>
              <w:docPartGallery w:val="Page Numbers (Bottom of Page)"/>
              <w:docPartUnique/>
            </w:docPartObj>
          </w:sdtPr>
          <w:sdtEndPr/>
          <w:sdtContent>
            <w:sdt>
              <w:sdtPr>
                <w:id w:val="-634104520"/>
                <w:docPartObj>
                  <w:docPartGallery w:val="Page Numbers (Top of Page)"/>
                  <w:docPartUnique/>
                </w:docPartObj>
              </w:sdtPr>
              <w:sdtEndPr/>
              <w:sdtContent>
                <w:p w:rsidR="00C44E36" w:rsidRPr="00E206D4" w:rsidRDefault="00C44E36" w:rsidP="00A8258A">
                  <w:pPr>
                    <w:pStyle w:val="Footer"/>
                    <w:jc w:val="center"/>
                  </w:pPr>
                  <w:r w:rsidRPr="00E206D4">
                    <w:t xml:space="preserve">Page </w:t>
                  </w:r>
                  <w:r w:rsidRPr="00E206D4">
                    <w:fldChar w:fldCharType="begin"/>
                  </w:r>
                  <w:r w:rsidRPr="00E206D4">
                    <w:instrText xml:space="preserve"> PAGE </w:instrText>
                  </w:r>
                  <w:r w:rsidRPr="00E206D4">
                    <w:fldChar w:fldCharType="separate"/>
                  </w:r>
                  <w:r w:rsidR="001E6EDE">
                    <w:rPr>
                      <w:noProof/>
                    </w:rPr>
                    <w:t>9</w:t>
                  </w:r>
                  <w:r w:rsidRPr="00E206D4">
                    <w:fldChar w:fldCharType="end"/>
                  </w:r>
                  <w:r w:rsidRPr="00E206D4">
                    <w:t xml:space="preserve"> of </w:t>
                  </w:r>
                  <w:r w:rsidR="00DE402B" w:rsidRPr="00E206D4">
                    <w:rPr>
                      <w:noProof/>
                    </w:rPr>
                    <w:fldChar w:fldCharType="begin"/>
                  </w:r>
                  <w:r w:rsidR="00DE402B" w:rsidRPr="00E206D4">
                    <w:rPr>
                      <w:noProof/>
                    </w:rPr>
                    <w:instrText xml:space="preserve"> NUMPAGES  </w:instrText>
                  </w:r>
                  <w:r w:rsidR="00DE402B" w:rsidRPr="00E206D4">
                    <w:rPr>
                      <w:noProof/>
                    </w:rPr>
                    <w:fldChar w:fldCharType="separate"/>
                  </w:r>
                  <w:r w:rsidR="001E6EDE">
                    <w:rPr>
                      <w:noProof/>
                    </w:rPr>
                    <w:t>9</w:t>
                  </w:r>
                  <w:r w:rsidR="00DE402B" w:rsidRPr="00E206D4">
                    <w:rPr>
                      <w:noProof/>
                    </w:rPr>
                    <w:fldChar w:fldCharType="end"/>
                  </w:r>
                </w:p>
              </w:sdtContent>
            </w:sdt>
          </w:sdtContent>
        </w:sdt>
      </w:tc>
      <w:tc>
        <w:tcPr>
          <w:tcW w:w="3211" w:type="dxa"/>
          <w:vAlign w:val="center"/>
        </w:tcPr>
        <w:p w:rsidR="00C44E36" w:rsidRPr="00E206D4" w:rsidRDefault="00C44E36" w:rsidP="00A8258A">
          <w:pPr>
            <w:pStyle w:val="Footer"/>
            <w:jc w:val="right"/>
          </w:pPr>
          <w:r w:rsidRPr="00E206D4">
            <w:rPr>
              <w:noProof/>
              <w:lang w:eastAsia="en-AU" w:bidi="ar-SA"/>
            </w:rPr>
            <w:drawing>
              <wp:inline distT="0" distB="0" distL="0" distR="0" wp14:anchorId="7D4ADBE7" wp14:editId="3BE33357">
                <wp:extent cx="1243934" cy="442421"/>
                <wp:effectExtent l="0" t="0" r="0" b="0"/>
                <wp:docPr id="9" name="image1.png"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3934" cy="442421"/>
                        </a:xfrm>
                        <a:prstGeom prst="rect">
                          <a:avLst/>
                        </a:prstGeom>
                      </pic:spPr>
                    </pic:pic>
                  </a:graphicData>
                </a:graphic>
              </wp:inline>
            </w:drawing>
          </w:r>
        </w:p>
      </w:tc>
    </w:tr>
  </w:tbl>
  <w:p w:rsidR="00C44E36" w:rsidRPr="00C44E36" w:rsidRDefault="00C44E36" w:rsidP="00015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210"/>
      <w:gridCol w:w="3211"/>
      <w:gridCol w:w="3211"/>
    </w:tblGrid>
    <w:tr w:rsidR="00E206D4" w:rsidRPr="00E206D4" w:rsidTr="0083740B">
      <w:tc>
        <w:tcPr>
          <w:tcW w:w="3210" w:type="dxa"/>
          <w:vAlign w:val="center"/>
        </w:tcPr>
        <w:p w:rsidR="00F70946" w:rsidRPr="00E206D4" w:rsidRDefault="00293F75" w:rsidP="00B06EF5">
          <w:pPr>
            <w:pStyle w:val="Webaddress"/>
          </w:pPr>
          <w:r>
            <w:t>industry</w:t>
          </w:r>
          <w:r w:rsidR="00D440D0">
            <w:t>.nt.gov.au</w:t>
          </w:r>
        </w:p>
      </w:tc>
      <w:tc>
        <w:tcPr>
          <w:tcW w:w="3211" w:type="dxa"/>
          <w:vAlign w:val="center"/>
        </w:tcPr>
        <w:sdt>
          <w:sdtPr>
            <w:id w:val="-91709627"/>
            <w:docPartObj>
              <w:docPartGallery w:val="Page Numbers (Bottom of Page)"/>
              <w:docPartUnique/>
            </w:docPartObj>
          </w:sdtPr>
          <w:sdtEndPr/>
          <w:sdtContent>
            <w:sdt>
              <w:sdtPr>
                <w:id w:val="-2090840423"/>
                <w:docPartObj>
                  <w:docPartGallery w:val="Page Numbers (Top of Page)"/>
                  <w:docPartUnique/>
                </w:docPartObj>
              </w:sdtPr>
              <w:sdtEndPr/>
              <w:sdtContent>
                <w:p w:rsidR="00F70946" w:rsidRPr="00E206D4" w:rsidRDefault="00F70946" w:rsidP="0001577F">
                  <w:pPr>
                    <w:pStyle w:val="Footer"/>
                    <w:jc w:val="center"/>
                  </w:pPr>
                  <w:r w:rsidRPr="00E206D4">
                    <w:t xml:space="preserve">Page </w:t>
                  </w:r>
                  <w:r w:rsidRPr="00E206D4">
                    <w:fldChar w:fldCharType="begin"/>
                  </w:r>
                  <w:r w:rsidRPr="00E206D4">
                    <w:instrText xml:space="preserve"> PAGE </w:instrText>
                  </w:r>
                  <w:r w:rsidRPr="00E206D4">
                    <w:fldChar w:fldCharType="separate"/>
                  </w:r>
                  <w:r w:rsidR="001E6EDE">
                    <w:rPr>
                      <w:noProof/>
                    </w:rPr>
                    <w:t>1</w:t>
                  </w:r>
                  <w:r w:rsidRPr="00E206D4">
                    <w:fldChar w:fldCharType="end"/>
                  </w:r>
                  <w:r w:rsidRPr="00E206D4">
                    <w:t xml:space="preserve"> of </w:t>
                  </w:r>
                  <w:r w:rsidR="00DE402B" w:rsidRPr="00E206D4">
                    <w:rPr>
                      <w:noProof/>
                    </w:rPr>
                    <w:fldChar w:fldCharType="begin"/>
                  </w:r>
                  <w:r w:rsidR="00DE402B" w:rsidRPr="00E206D4">
                    <w:rPr>
                      <w:noProof/>
                    </w:rPr>
                    <w:instrText xml:space="preserve"> NUMPAGES  </w:instrText>
                  </w:r>
                  <w:r w:rsidR="00DE402B" w:rsidRPr="00E206D4">
                    <w:rPr>
                      <w:noProof/>
                    </w:rPr>
                    <w:fldChar w:fldCharType="separate"/>
                  </w:r>
                  <w:r w:rsidR="001E6EDE">
                    <w:rPr>
                      <w:noProof/>
                    </w:rPr>
                    <w:t>9</w:t>
                  </w:r>
                  <w:r w:rsidR="00DE402B" w:rsidRPr="00E206D4">
                    <w:rPr>
                      <w:noProof/>
                    </w:rPr>
                    <w:fldChar w:fldCharType="end"/>
                  </w:r>
                </w:p>
              </w:sdtContent>
            </w:sdt>
          </w:sdtContent>
        </w:sdt>
      </w:tc>
      <w:tc>
        <w:tcPr>
          <w:tcW w:w="3211" w:type="dxa"/>
          <w:vAlign w:val="center"/>
        </w:tcPr>
        <w:p w:rsidR="00F70946" w:rsidRPr="00E206D4" w:rsidRDefault="00F70946" w:rsidP="0001577F">
          <w:pPr>
            <w:pStyle w:val="Footer"/>
            <w:jc w:val="right"/>
          </w:pPr>
          <w:r w:rsidRPr="00E206D4">
            <w:rPr>
              <w:noProof/>
              <w:lang w:eastAsia="en-AU" w:bidi="ar-SA"/>
            </w:rPr>
            <w:drawing>
              <wp:inline distT="0" distB="0" distL="0" distR="0" wp14:anchorId="434B02DC" wp14:editId="2FB9859E">
                <wp:extent cx="1243934" cy="442421"/>
                <wp:effectExtent l="0" t="0" r="0" b="0"/>
                <wp:docPr id="12" name="image1.png"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3934" cy="442421"/>
                        </a:xfrm>
                        <a:prstGeom prst="rect">
                          <a:avLst/>
                        </a:prstGeom>
                      </pic:spPr>
                    </pic:pic>
                  </a:graphicData>
                </a:graphic>
              </wp:inline>
            </w:drawing>
          </w:r>
        </w:p>
      </w:tc>
    </w:tr>
  </w:tbl>
  <w:p w:rsidR="000B2709" w:rsidRDefault="000B2709" w:rsidP="00015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5C6" w:rsidRDefault="00A975C6" w:rsidP="00F70946">
      <w:r>
        <w:separator/>
      </w:r>
    </w:p>
    <w:p w:rsidR="00A975C6" w:rsidRDefault="00A975C6" w:rsidP="00F70946"/>
  </w:footnote>
  <w:footnote w:type="continuationSeparator" w:id="0">
    <w:p w:rsidR="00A975C6" w:rsidRDefault="00A975C6" w:rsidP="00F70946">
      <w:r>
        <w:continuationSeparator/>
      </w:r>
    </w:p>
    <w:p w:rsidR="00A975C6" w:rsidRDefault="00A975C6" w:rsidP="00F7094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025"/>
      <w:gridCol w:w="5613"/>
    </w:tblGrid>
    <w:tr w:rsidR="00E206D4" w:rsidRPr="00E206D4" w:rsidTr="00A8258A">
      <w:tc>
        <w:tcPr>
          <w:tcW w:w="4025" w:type="dxa"/>
        </w:tcPr>
        <w:p w:rsidR="00A8258A" w:rsidRPr="00E206D4" w:rsidRDefault="00293F75" w:rsidP="00293F75">
          <w:pPr>
            <w:pStyle w:val="Header"/>
            <w:rPr>
              <w:b w:val="0"/>
            </w:rPr>
          </w:pPr>
          <w:r w:rsidRPr="00E206D4">
            <w:rPr>
              <w:b w:val="0"/>
            </w:rPr>
            <w:t xml:space="preserve">Department of </w:t>
          </w:r>
          <w:r>
            <w:rPr>
              <w:b w:val="0"/>
            </w:rPr>
            <w:t xml:space="preserve">Industry, Tourism and </w:t>
          </w:r>
          <w:r w:rsidR="00A8258A" w:rsidRPr="00E206D4">
            <w:rPr>
              <w:b w:val="0"/>
            </w:rPr>
            <w:t>Trade</w:t>
          </w:r>
        </w:p>
      </w:tc>
      <w:sdt>
        <w:sdtPr>
          <w:alias w:val="Title"/>
          <w:tag w:val=""/>
          <w:id w:val="829647284"/>
          <w:dataBinding w:prefixMappings="xmlns:ns0='http://purl.org/dc/elements/1.1/' xmlns:ns1='http://schemas.openxmlformats.org/package/2006/metadata/core-properties' " w:xpath="/ns1:coreProperties[1]/ns0:title[1]" w:storeItemID="{6C3C8BC8-F283-45AE-878A-BAB7291924A1}"/>
          <w:text/>
        </w:sdtPr>
        <w:sdtEndPr/>
        <w:sdtContent>
          <w:tc>
            <w:tcPr>
              <w:tcW w:w="5613" w:type="dxa"/>
            </w:tcPr>
            <w:p w:rsidR="00A8258A" w:rsidRPr="00E206D4" w:rsidRDefault="00022DB3" w:rsidP="00A8258A">
              <w:pPr>
                <w:pStyle w:val="Header"/>
                <w:jc w:val="right"/>
              </w:pPr>
              <w:r>
                <w:t>Economic Quick Facts</w:t>
              </w:r>
            </w:p>
          </w:tc>
        </w:sdtContent>
      </w:sdt>
    </w:tr>
  </w:tbl>
  <w:p w:rsidR="00C44E36" w:rsidRDefault="00C44E36" w:rsidP="00A82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709" w:rsidRDefault="003D589C" w:rsidP="003D589C">
    <w:pPr>
      <w:pStyle w:val="Header"/>
      <w:spacing w:after="600"/>
      <w:rPr>
        <w:b w:val="0"/>
      </w:rPr>
    </w:pPr>
    <w:r w:rsidRPr="00E206D4">
      <w:rPr>
        <w:noProof/>
        <w:lang w:eastAsia="en-AU" w:bidi="ar-SA"/>
      </w:rPr>
      <w:drawing>
        <wp:anchor distT="0" distB="0" distL="114300" distR="114300" simplePos="0" relativeHeight="251659264" behindDoc="1" locked="0" layoutInCell="1" allowOverlap="1" wp14:anchorId="783799F5" wp14:editId="5E1020B4">
          <wp:simplePos x="0" y="0"/>
          <wp:positionH relativeFrom="page">
            <wp:align>left</wp:align>
          </wp:positionH>
          <wp:positionV relativeFrom="paragraph">
            <wp:posOffset>238364</wp:posOffset>
          </wp:positionV>
          <wp:extent cx="7563600" cy="1155600"/>
          <wp:effectExtent l="0" t="0" r="0" b="6985"/>
          <wp:wrapNone/>
          <wp:docPr id="10" name="Picture 1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 header_busine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155600"/>
                  </a:xfrm>
                  <a:prstGeom prst="rect">
                    <a:avLst/>
                  </a:prstGeom>
                </pic:spPr>
              </pic:pic>
            </a:graphicData>
          </a:graphic>
          <wp14:sizeRelH relativeFrom="margin">
            <wp14:pctWidth>0</wp14:pctWidth>
          </wp14:sizeRelH>
          <wp14:sizeRelV relativeFrom="margin">
            <wp14:pctHeight>0</wp14:pctHeight>
          </wp14:sizeRelV>
        </wp:anchor>
      </w:drawing>
    </w:r>
    <w:r w:rsidR="000B2709" w:rsidRPr="00E206D4">
      <w:rPr>
        <w:b w:val="0"/>
      </w:rPr>
      <w:t xml:space="preserve">Department of </w:t>
    </w:r>
    <w:r w:rsidR="00293F75">
      <w:rPr>
        <w:b w:val="0"/>
      </w:rPr>
      <w:t xml:space="preserve">Industry, Tourism and </w:t>
    </w:r>
    <w:r w:rsidR="000B2709" w:rsidRPr="00E206D4">
      <w:rPr>
        <w:b w:val="0"/>
      </w:rPr>
      <w:t>Trade</w:t>
    </w:r>
  </w:p>
  <w:tbl>
    <w:tblPr>
      <w:tblW w:w="9706" w:type="dxa"/>
      <w:tblLook w:val="04A0" w:firstRow="1" w:lastRow="0" w:firstColumn="1" w:lastColumn="0" w:noHBand="0" w:noVBand="1"/>
    </w:tblPr>
    <w:tblGrid>
      <w:gridCol w:w="7540"/>
      <w:gridCol w:w="2166"/>
    </w:tblGrid>
    <w:tr w:rsidR="003D589C" w:rsidTr="003D589C">
      <w:tc>
        <w:tcPr>
          <w:tcW w:w="7540" w:type="dxa"/>
          <w:vAlign w:val="bottom"/>
        </w:tcPr>
        <w:sdt>
          <w:sdtPr>
            <w:rPr>
              <w:rStyle w:val="TitleChar"/>
              <w:rFonts w:ascii="Ubuntu" w:hAnsi="Ubuntu"/>
              <w:b/>
              <w:lang w:val="en-AU"/>
            </w:rPr>
            <w:alias w:val="Title"/>
            <w:tag w:val=""/>
            <w:id w:val="-224913442"/>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p w:rsidR="003D589C" w:rsidRPr="00F35F01" w:rsidRDefault="00022DB3" w:rsidP="00F35F01">
              <w:pPr>
                <w:pStyle w:val="Title"/>
              </w:pPr>
              <w:r w:rsidRPr="00F35F01">
                <w:rPr>
                  <w:rStyle w:val="TitleChar"/>
                  <w:rFonts w:ascii="Ubuntu" w:hAnsi="Ubuntu"/>
                  <w:b/>
                  <w:lang w:val="en-AU"/>
                </w:rPr>
                <w:t>Economic Quick Facts</w:t>
              </w:r>
            </w:p>
          </w:sdtContent>
        </w:sdt>
        <w:p w:rsidR="003D589C" w:rsidRPr="003D589C" w:rsidRDefault="00856533" w:rsidP="003D589C">
          <w:pPr>
            <w:pStyle w:val="Subtitle"/>
          </w:pPr>
          <w:r>
            <w:t>Business Count NT - June 2020</w:t>
          </w:r>
        </w:p>
      </w:tc>
      <w:tc>
        <w:tcPr>
          <w:tcW w:w="2166" w:type="dxa"/>
          <w:vAlign w:val="bottom"/>
        </w:tcPr>
        <w:p w:rsidR="003D589C" w:rsidRDefault="003D589C" w:rsidP="003D589C">
          <w:pPr>
            <w:pStyle w:val="Header"/>
            <w:spacing w:after="0"/>
            <w:jc w:val="right"/>
            <w:rPr>
              <w:b w:val="0"/>
            </w:rPr>
          </w:pPr>
          <w:r>
            <w:rPr>
              <w:noProof/>
              <w:lang w:eastAsia="en-AU" w:bidi="ar-SA"/>
            </w:rPr>
            <w:drawing>
              <wp:inline distT="0" distB="0" distL="0" distR="0" wp14:anchorId="58BC159A" wp14:editId="55332A31">
                <wp:extent cx="1231900" cy="560637"/>
                <wp:effectExtent l="0" t="0" r="6350" b="0"/>
                <wp:docPr id="11" name="Picture 11" descr="The Territory | Boundless Pos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T logo_white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1900" cy="560637"/>
                        </a:xfrm>
                        <a:prstGeom prst="rect">
                          <a:avLst/>
                        </a:prstGeom>
                      </pic:spPr>
                    </pic:pic>
                  </a:graphicData>
                </a:graphic>
              </wp:inline>
            </w:drawing>
          </w:r>
        </w:p>
      </w:tc>
    </w:tr>
  </w:tbl>
  <w:p w:rsidR="003D589C" w:rsidRPr="00A8258A" w:rsidRDefault="003D589C" w:rsidP="003D589C">
    <w:pPr>
      <w:pStyle w:val="Header"/>
      <w:spacing w:after="600"/>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94B01"/>
    <w:multiLevelType w:val="hybridMultilevel"/>
    <w:tmpl w:val="5874F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0654C8"/>
    <w:multiLevelType w:val="hybridMultilevel"/>
    <w:tmpl w:val="68CCE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F27"/>
    <w:rsid w:val="0001577F"/>
    <w:rsid w:val="00015794"/>
    <w:rsid w:val="00015908"/>
    <w:rsid w:val="00022DB3"/>
    <w:rsid w:val="00027DFC"/>
    <w:rsid w:val="00065B86"/>
    <w:rsid w:val="00082B88"/>
    <w:rsid w:val="00091B0B"/>
    <w:rsid w:val="000945AA"/>
    <w:rsid w:val="000B2709"/>
    <w:rsid w:val="000C459E"/>
    <w:rsid w:val="000D1056"/>
    <w:rsid w:val="000E6E17"/>
    <w:rsid w:val="001107B7"/>
    <w:rsid w:val="00130609"/>
    <w:rsid w:val="00146859"/>
    <w:rsid w:val="00197777"/>
    <w:rsid w:val="001E6EDE"/>
    <w:rsid w:val="00214436"/>
    <w:rsid w:val="00247914"/>
    <w:rsid w:val="00262C88"/>
    <w:rsid w:val="00271F6B"/>
    <w:rsid w:val="002929D7"/>
    <w:rsid w:val="00293F75"/>
    <w:rsid w:val="002C20F0"/>
    <w:rsid w:val="002C264F"/>
    <w:rsid w:val="002F30D3"/>
    <w:rsid w:val="002F5A17"/>
    <w:rsid w:val="00325349"/>
    <w:rsid w:val="003854DB"/>
    <w:rsid w:val="00394B43"/>
    <w:rsid w:val="003A5928"/>
    <w:rsid w:val="003A6212"/>
    <w:rsid w:val="003C3370"/>
    <w:rsid w:val="003D589C"/>
    <w:rsid w:val="00451B90"/>
    <w:rsid w:val="00481113"/>
    <w:rsid w:val="004A2C95"/>
    <w:rsid w:val="004E1B1E"/>
    <w:rsid w:val="00525324"/>
    <w:rsid w:val="00527BA7"/>
    <w:rsid w:val="00531C26"/>
    <w:rsid w:val="00531C38"/>
    <w:rsid w:val="005437B6"/>
    <w:rsid w:val="005A22B5"/>
    <w:rsid w:val="005B1AED"/>
    <w:rsid w:val="005C2B54"/>
    <w:rsid w:val="006120E8"/>
    <w:rsid w:val="00623913"/>
    <w:rsid w:val="006352CD"/>
    <w:rsid w:val="00640FCA"/>
    <w:rsid w:val="00663149"/>
    <w:rsid w:val="00692620"/>
    <w:rsid w:val="006D037D"/>
    <w:rsid w:val="00710BCA"/>
    <w:rsid w:val="00711005"/>
    <w:rsid w:val="007238F2"/>
    <w:rsid w:val="00734213"/>
    <w:rsid w:val="00744025"/>
    <w:rsid w:val="007902DB"/>
    <w:rsid w:val="007F2C37"/>
    <w:rsid w:val="00821980"/>
    <w:rsid w:val="0082735A"/>
    <w:rsid w:val="00827D62"/>
    <w:rsid w:val="0083740B"/>
    <w:rsid w:val="00846A46"/>
    <w:rsid w:val="00856533"/>
    <w:rsid w:val="008735BA"/>
    <w:rsid w:val="008B74F6"/>
    <w:rsid w:val="009175B5"/>
    <w:rsid w:val="00947242"/>
    <w:rsid w:val="009513F1"/>
    <w:rsid w:val="0095608C"/>
    <w:rsid w:val="009A1926"/>
    <w:rsid w:val="009B3770"/>
    <w:rsid w:val="009D4C93"/>
    <w:rsid w:val="009E6532"/>
    <w:rsid w:val="009F438D"/>
    <w:rsid w:val="00A579B8"/>
    <w:rsid w:val="00A8258A"/>
    <w:rsid w:val="00A975C6"/>
    <w:rsid w:val="00AB4D94"/>
    <w:rsid w:val="00AD6A0D"/>
    <w:rsid w:val="00AE3E95"/>
    <w:rsid w:val="00AF20A4"/>
    <w:rsid w:val="00B06EF5"/>
    <w:rsid w:val="00B426BE"/>
    <w:rsid w:val="00B52F27"/>
    <w:rsid w:val="00B54C08"/>
    <w:rsid w:val="00BE40FD"/>
    <w:rsid w:val="00C10642"/>
    <w:rsid w:val="00C33E93"/>
    <w:rsid w:val="00C449EC"/>
    <w:rsid w:val="00C44E36"/>
    <w:rsid w:val="00C92AC2"/>
    <w:rsid w:val="00C9435F"/>
    <w:rsid w:val="00CB7D52"/>
    <w:rsid w:val="00CD5101"/>
    <w:rsid w:val="00CF4F7B"/>
    <w:rsid w:val="00D15DD7"/>
    <w:rsid w:val="00D40BC3"/>
    <w:rsid w:val="00D440D0"/>
    <w:rsid w:val="00D6300F"/>
    <w:rsid w:val="00DA0DE5"/>
    <w:rsid w:val="00DA38E6"/>
    <w:rsid w:val="00DB6161"/>
    <w:rsid w:val="00DE367E"/>
    <w:rsid w:val="00DE402B"/>
    <w:rsid w:val="00E066DF"/>
    <w:rsid w:val="00E206D4"/>
    <w:rsid w:val="00E71448"/>
    <w:rsid w:val="00EA42A6"/>
    <w:rsid w:val="00EB5B93"/>
    <w:rsid w:val="00ED0003"/>
    <w:rsid w:val="00F329ED"/>
    <w:rsid w:val="00F35F01"/>
    <w:rsid w:val="00F447BE"/>
    <w:rsid w:val="00F70946"/>
    <w:rsid w:val="00F86933"/>
    <w:rsid w:val="00F958BE"/>
    <w:rsid w:val="00FD035D"/>
    <w:rsid w:val="00FD5A13"/>
    <w:rsid w:val="00FD69C1"/>
    <w:rsid w:val="00FE0575"/>
    <w:rsid w:val="00FF0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CBE36AB-CED5-4195-8AA0-60F2AD9E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E40FD"/>
    <w:pPr>
      <w:widowControl/>
      <w:spacing w:after="200" w:line="312" w:lineRule="auto"/>
    </w:pPr>
    <w:rPr>
      <w:rFonts w:ascii="Ubuntu" w:eastAsia="Ubuntu" w:hAnsi="Ubuntu" w:cs="Ubuntu"/>
      <w:lang w:val="en-AU" w:eastAsia="en-GB" w:bidi="en-GB"/>
    </w:rPr>
  </w:style>
  <w:style w:type="paragraph" w:styleId="Heading1">
    <w:name w:val="heading 1"/>
    <w:basedOn w:val="Normal"/>
    <w:next w:val="Normal"/>
    <w:uiPriority w:val="1"/>
    <w:qFormat/>
    <w:rsid w:val="00BE40FD"/>
    <w:pPr>
      <w:keepNext/>
      <w:outlineLvl w:val="0"/>
    </w:pPr>
    <w:rPr>
      <w:b/>
      <w:bCs/>
      <w:color w:val="1F1F5F"/>
      <w:sz w:val="32"/>
      <w:szCs w:val="32"/>
    </w:rPr>
  </w:style>
  <w:style w:type="paragraph" w:styleId="Heading2">
    <w:name w:val="heading 2"/>
    <w:basedOn w:val="Normal"/>
    <w:next w:val="Normal"/>
    <w:link w:val="Heading2Char"/>
    <w:uiPriority w:val="9"/>
    <w:unhideWhenUsed/>
    <w:qFormat/>
    <w:rsid w:val="00BE40FD"/>
    <w:pPr>
      <w:keepNext/>
      <w:outlineLvl w:val="1"/>
    </w:pPr>
    <w:rPr>
      <w:b/>
      <w:color w:val="454347"/>
      <w:sz w:val="28"/>
      <w:szCs w:val="28"/>
    </w:rPr>
  </w:style>
  <w:style w:type="paragraph" w:styleId="Heading3">
    <w:name w:val="heading 3"/>
    <w:basedOn w:val="Normal"/>
    <w:next w:val="Normal"/>
    <w:link w:val="Heading3Char"/>
    <w:uiPriority w:val="9"/>
    <w:unhideWhenUsed/>
    <w:qFormat/>
    <w:rsid w:val="00BE40FD"/>
    <w:pPr>
      <w:keepNext/>
      <w:outlineLvl w:val="2"/>
    </w:pPr>
    <w:rPr>
      <w:b/>
      <w:color w:val="1F1F5F"/>
      <w:sz w:val="24"/>
      <w:szCs w:val="24"/>
    </w:rPr>
  </w:style>
  <w:style w:type="paragraph" w:styleId="Heading4">
    <w:name w:val="heading 4"/>
    <w:basedOn w:val="Normal"/>
    <w:next w:val="Normal"/>
    <w:link w:val="Heading4Char"/>
    <w:uiPriority w:val="9"/>
    <w:unhideWhenUsed/>
    <w:qFormat/>
    <w:rsid w:val="00BE40FD"/>
    <w:pPr>
      <w:keepNext/>
      <w:outlineLvl w:val="3"/>
    </w:pPr>
    <w:rPr>
      <w:b/>
      <w:color w:val="454347"/>
    </w:rPr>
  </w:style>
  <w:style w:type="paragraph" w:styleId="Heading5">
    <w:name w:val="heading 5"/>
    <w:basedOn w:val="Normal"/>
    <w:next w:val="Normal"/>
    <w:link w:val="Heading5Char"/>
    <w:uiPriority w:val="9"/>
    <w:semiHidden/>
    <w:unhideWhenUsed/>
    <w:qFormat/>
    <w:rsid w:val="00D440D0"/>
    <w:pPr>
      <w:keepNext/>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440D0"/>
    <w:pPr>
      <w:spacing w:after="0"/>
    </w:pPr>
  </w:style>
  <w:style w:type="paragraph" w:styleId="ListParagraph">
    <w:name w:val="List Paragraph"/>
    <w:basedOn w:val="Normal"/>
    <w:uiPriority w:val="1"/>
    <w:qFormat/>
    <w:rsid w:val="00D440D0"/>
    <w:pPr>
      <w:contextualSpacing/>
    </w:pPr>
  </w:style>
  <w:style w:type="paragraph" w:customStyle="1" w:styleId="TableParagraph">
    <w:name w:val="Table Paragraph"/>
    <w:basedOn w:val="Normal"/>
    <w:uiPriority w:val="1"/>
    <w:qFormat/>
    <w:rsid w:val="00D440D0"/>
    <w:pPr>
      <w:spacing w:after="0"/>
    </w:pPr>
  </w:style>
  <w:style w:type="paragraph" w:styleId="Header">
    <w:name w:val="header"/>
    <w:basedOn w:val="Normal"/>
    <w:link w:val="HeaderChar"/>
    <w:uiPriority w:val="99"/>
    <w:unhideWhenUsed/>
    <w:rsid w:val="00E206D4"/>
    <w:pPr>
      <w:tabs>
        <w:tab w:val="center" w:pos="4513"/>
        <w:tab w:val="right" w:pos="9026"/>
      </w:tabs>
      <w:spacing w:after="120"/>
    </w:pPr>
    <w:rPr>
      <w:b/>
      <w:color w:val="1F1F5F"/>
      <w:sz w:val="18"/>
      <w:szCs w:val="16"/>
    </w:rPr>
  </w:style>
  <w:style w:type="character" w:customStyle="1" w:styleId="HeaderChar">
    <w:name w:val="Header Char"/>
    <w:basedOn w:val="DefaultParagraphFont"/>
    <w:link w:val="Header"/>
    <w:uiPriority w:val="99"/>
    <w:rsid w:val="00E206D4"/>
    <w:rPr>
      <w:rFonts w:ascii="Arial" w:eastAsia="Ubuntu" w:hAnsi="Arial" w:cs="Ubuntu"/>
      <w:b/>
      <w:color w:val="1F1F5F"/>
      <w:sz w:val="18"/>
      <w:szCs w:val="16"/>
      <w:lang w:val="en-GB" w:eastAsia="en-GB" w:bidi="en-GB"/>
    </w:rPr>
  </w:style>
  <w:style w:type="paragraph" w:styleId="Footer">
    <w:name w:val="footer"/>
    <w:basedOn w:val="Normal"/>
    <w:link w:val="FooterChar"/>
    <w:uiPriority w:val="99"/>
    <w:unhideWhenUsed/>
    <w:rsid w:val="00E206D4"/>
    <w:pPr>
      <w:tabs>
        <w:tab w:val="center" w:pos="4513"/>
        <w:tab w:val="right" w:pos="9026"/>
      </w:tabs>
      <w:spacing w:after="0" w:line="240" w:lineRule="auto"/>
    </w:pPr>
    <w:rPr>
      <w:color w:val="1F1F5F"/>
      <w:sz w:val="16"/>
      <w:szCs w:val="16"/>
    </w:rPr>
  </w:style>
  <w:style w:type="character" w:customStyle="1" w:styleId="FooterChar">
    <w:name w:val="Footer Char"/>
    <w:basedOn w:val="DefaultParagraphFont"/>
    <w:link w:val="Footer"/>
    <w:uiPriority w:val="99"/>
    <w:rsid w:val="00E206D4"/>
    <w:rPr>
      <w:rFonts w:ascii="Arial" w:eastAsia="Ubuntu" w:hAnsi="Arial" w:cs="Ubuntu"/>
      <w:color w:val="1F1F5F"/>
      <w:sz w:val="16"/>
      <w:szCs w:val="16"/>
      <w:lang w:val="en-GB" w:eastAsia="en-GB" w:bidi="en-GB"/>
    </w:rPr>
  </w:style>
  <w:style w:type="character" w:styleId="PageNumber">
    <w:name w:val="page number"/>
    <w:basedOn w:val="DefaultParagraphFont"/>
    <w:uiPriority w:val="99"/>
    <w:semiHidden/>
    <w:unhideWhenUsed/>
    <w:rsid w:val="007238F2"/>
  </w:style>
  <w:style w:type="table" w:styleId="TableGrid">
    <w:name w:val="Table Grid"/>
    <w:basedOn w:val="TableNormal"/>
    <w:uiPriority w:val="59"/>
    <w:rsid w:val="00ED0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address">
    <w:name w:val="Web address"/>
    <w:basedOn w:val="Footer"/>
    <w:uiPriority w:val="1"/>
    <w:qFormat/>
    <w:rsid w:val="00E206D4"/>
    <w:rPr>
      <w:b/>
      <w:sz w:val="22"/>
      <w:szCs w:val="22"/>
    </w:rPr>
  </w:style>
  <w:style w:type="character" w:styleId="PlaceholderText">
    <w:name w:val="Placeholder Text"/>
    <w:basedOn w:val="DefaultParagraphFont"/>
    <w:uiPriority w:val="99"/>
    <w:semiHidden/>
    <w:rsid w:val="005B1AED"/>
    <w:rPr>
      <w:color w:val="808080"/>
    </w:rPr>
  </w:style>
  <w:style w:type="paragraph" w:styleId="Title">
    <w:name w:val="Title"/>
    <w:basedOn w:val="Normal"/>
    <w:next w:val="Normal"/>
    <w:link w:val="TitleChar"/>
    <w:uiPriority w:val="10"/>
    <w:qFormat/>
    <w:rsid w:val="00B54C08"/>
    <w:pPr>
      <w:spacing w:after="0" w:line="240" w:lineRule="auto"/>
    </w:pPr>
    <w:rPr>
      <w:b/>
      <w:color w:val="FFFFFF" w:themeColor="background1"/>
      <w:sz w:val="36"/>
    </w:rPr>
  </w:style>
  <w:style w:type="character" w:customStyle="1" w:styleId="TitleChar">
    <w:name w:val="Title Char"/>
    <w:basedOn w:val="DefaultParagraphFont"/>
    <w:link w:val="Title"/>
    <w:uiPriority w:val="10"/>
    <w:rsid w:val="00B54C08"/>
    <w:rPr>
      <w:rFonts w:ascii="Arial" w:eastAsia="Ubuntu" w:hAnsi="Arial" w:cs="Ubuntu"/>
      <w:b/>
      <w:color w:val="FFFFFF" w:themeColor="background1"/>
      <w:sz w:val="36"/>
      <w:lang w:val="en-GB" w:eastAsia="en-GB" w:bidi="en-GB"/>
    </w:rPr>
  </w:style>
  <w:style w:type="paragraph" w:styleId="Subtitle">
    <w:name w:val="Subtitle"/>
    <w:basedOn w:val="Normal"/>
    <w:next w:val="Normal"/>
    <w:link w:val="SubtitleChar"/>
    <w:uiPriority w:val="11"/>
    <w:qFormat/>
    <w:rsid w:val="00214436"/>
    <w:pPr>
      <w:spacing w:before="60" w:after="0" w:line="240" w:lineRule="auto"/>
    </w:pPr>
    <w:rPr>
      <w:color w:val="FFFFFF" w:themeColor="background1"/>
      <w:sz w:val="24"/>
      <w:szCs w:val="24"/>
    </w:rPr>
  </w:style>
  <w:style w:type="character" w:customStyle="1" w:styleId="SubtitleChar">
    <w:name w:val="Subtitle Char"/>
    <w:basedOn w:val="DefaultParagraphFont"/>
    <w:link w:val="Subtitle"/>
    <w:uiPriority w:val="11"/>
    <w:rsid w:val="00214436"/>
    <w:rPr>
      <w:rFonts w:ascii="Arial" w:eastAsia="Ubuntu" w:hAnsi="Arial" w:cs="Ubuntu"/>
      <w:color w:val="FFFFFF" w:themeColor="background1"/>
      <w:sz w:val="24"/>
      <w:szCs w:val="24"/>
      <w:lang w:val="en-GB" w:eastAsia="en-GB" w:bidi="en-GB"/>
    </w:rPr>
  </w:style>
  <w:style w:type="character" w:customStyle="1" w:styleId="Heading2Char">
    <w:name w:val="Heading 2 Char"/>
    <w:basedOn w:val="DefaultParagraphFont"/>
    <w:link w:val="Heading2"/>
    <w:uiPriority w:val="9"/>
    <w:rsid w:val="00BE40FD"/>
    <w:rPr>
      <w:rFonts w:ascii="Ubuntu" w:eastAsia="Ubuntu" w:hAnsi="Ubuntu" w:cs="Ubuntu"/>
      <w:b/>
      <w:color w:val="454347"/>
      <w:sz w:val="28"/>
      <w:szCs w:val="28"/>
      <w:lang w:val="en-AU" w:eastAsia="en-GB" w:bidi="en-GB"/>
    </w:rPr>
  </w:style>
  <w:style w:type="character" w:customStyle="1" w:styleId="Heading3Char">
    <w:name w:val="Heading 3 Char"/>
    <w:basedOn w:val="DefaultParagraphFont"/>
    <w:link w:val="Heading3"/>
    <w:uiPriority w:val="9"/>
    <w:rsid w:val="00BE40FD"/>
    <w:rPr>
      <w:rFonts w:ascii="Ubuntu" w:eastAsia="Ubuntu" w:hAnsi="Ubuntu" w:cs="Ubuntu"/>
      <w:b/>
      <w:color w:val="1F1F5F"/>
      <w:sz w:val="24"/>
      <w:szCs w:val="24"/>
      <w:lang w:val="en-AU" w:eastAsia="en-GB" w:bidi="en-GB"/>
    </w:rPr>
  </w:style>
  <w:style w:type="character" w:customStyle="1" w:styleId="Heading4Char">
    <w:name w:val="Heading 4 Char"/>
    <w:basedOn w:val="DefaultParagraphFont"/>
    <w:link w:val="Heading4"/>
    <w:uiPriority w:val="9"/>
    <w:rsid w:val="00BE40FD"/>
    <w:rPr>
      <w:rFonts w:ascii="Ubuntu" w:eastAsia="Ubuntu" w:hAnsi="Ubuntu" w:cs="Ubuntu"/>
      <w:b/>
      <w:color w:val="454347"/>
      <w:lang w:val="en-AU" w:eastAsia="en-GB" w:bidi="en-GB"/>
    </w:rPr>
  </w:style>
  <w:style w:type="character" w:customStyle="1" w:styleId="Heading5Char">
    <w:name w:val="Heading 5 Char"/>
    <w:basedOn w:val="DefaultParagraphFont"/>
    <w:link w:val="Heading5"/>
    <w:uiPriority w:val="9"/>
    <w:semiHidden/>
    <w:rsid w:val="00D440D0"/>
    <w:rPr>
      <w:rFonts w:ascii="Arial" w:eastAsiaTheme="majorEastAsia" w:hAnsi="Arial" w:cstheme="majorBidi"/>
      <w:lang w:val="en-AU" w:eastAsia="en-GB" w:bidi="en-GB"/>
    </w:rPr>
  </w:style>
  <w:style w:type="paragraph" w:styleId="BalloonText">
    <w:name w:val="Balloon Text"/>
    <w:basedOn w:val="Normal"/>
    <w:link w:val="BalloonTextChar"/>
    <w:uiPriority w:val="99"/>
    <w:semiHidden/>
    <w:unhideWhenUsed/>
    <w:rsid w:val="00F869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933"/>
    <w:rPr>
      <w:rFonts w:ascii="Segoe UI" w:eastAsia="Ubuntu" w:hAnsi="Segoe UI" w:cs="Segoe UI"/>
      <w:sz w:val="18"/>
      <w:szCs w:val="18"/>
      <w:lang w:val="en-AU"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roc\AppData\Local\Packages\Microsoft.MicrosoftEdge_8wekyb3d8bbwe\TempState\Downloads\template-business-look-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template-business-look-word (1).dotx</Template>
  <TotalTime>2</TotalTime>
  <Pages>9</Pages>
  <Words>1388</Words>
  <Characters>7195</Characters>
  <Application>Microsoft Office Word</Application>
  <DocSecurity>0</DocSecurity>
  <Lines>143</Lines>
  <Paragraphs>80</Paragraphs>
  <ScaleCrop>false</ScaleCrop>
  <HeadingPairs>
    <vt:vector size="2" baseType="variant">
      <vt:variant>
        <vt:lpstr>Title</vt:lpstr>
      </vt:variant>
      <vt:variant>
        <vt:i4>1</vt:i4>
      </vt:variant>
    </vt:vector>
  </HeadingPairs>
  <TitlesOfParts>
    <vt:vector size="1" baseType="lpstr">
      <vt:lpstr>Economic Quick Facts</vt:lpstr>
    </vt:vector>
  </TitlesOfParts>
  <Company>Department of Industry, Tourism and Trade</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Quick Facts</dc:title>
  <dc:creator>Northern Territory Government</dc:creator>
  <cp:lastModifiedBy>Barbara Beamsley</cp:lastModifiedBy>
  <cp:revision>4</cp:revision>
  <cp:lastPrinted>2021-03-10T01:20:00Z</cp:lastPrinted>
  <dcterms:created xsi:type="dcterms:W3CDTF">2021-03-10T06:24:00Z</dcterms:created>
  <dcterms:modified xsi:type="dcterms:W3CDTF">2021-03-10T06:27:00Z</dcterms:modified>
</cp:coreProperties>
</file>